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CB52" w14:textId="230DF91B" w:rsidR="008750F6" w:rsidRPr="00CB502D" w:rsidRDefault="003101B8" w:rsidP="0067025F">
      <w:pPr>
        <w:pStyle w:val="00BulletinTitle00Heads"/>
        <w:spacing w:after="240"/>
        <w:jc w:val="center"/>
        <w:rPr>
          <w:rFonts w:ascii="Arial" w:hAnsi="Arial" w:cs="Arial"/>
          <w:b/>
          <w:sz w:val="24"/>
          <w:szCs w:val="24"/>
        </w:rPr>
      </w:pPr>
      <w:r w:rsidRPr="00CB502D">
        <w:rPr>
          <w:rFonts w:ascii="Arial" w:hAnsi="Arial" w:cs="Arial"/>
          <w:b/>
          <w:i/>
          <w:sz w:val="24"/>
          <w:szCs w:val="24"/>
        </w:rPr>
        <w:t xml:space="preserve">CRAWFORD </w:t>
      </w:r>
      <w:r w:rsidR="00031728" w:rsidRPr="00CB502D">
        <w:rPr>
          <w:rFonts w:ascii="Arial" w:hAnsi="Arial" w:cs="Arial"/>
          <w:b/>
          <w:sz w:val="24"/>
          <w:szCs w:val="24"/>
        </w:rPr>
        <w:t xml:space="preserve">&amp; </w:t>
      </w:r>
      <w:r w:rsidR="00E60C5A" w:rsidRPr="00CB502D">
        <w:rPr>
          <w:rFonts w:ascii="Arial" w:hAnsi="Arial" w:cs="Arial"/>
          <w:b/>
          <w:sz w:val="24"/>
          <w:szCs w:val="24"/>
        </w:rPr>
        <w:t>THE CONFRONTATION CLAUSE</w:t>
      </w:r>
    </w:p>
    <w:p w14:paraId="3CCBEA6C" w14:textId="2679B7A0" w:rsidR="0046300C" w:rsidRDefault="008750F6" w:rsidP="00020B2A">
      <w:pPr>
        <w:pStyle w:val="00BulletinTitle00Heads"/>
        <w:spacing w:after="0" w:line="240" w:lineRule="auto"/>
        <w:rPr>
          <w:rFonts w:ascii="Arial" w:hAnsi="Arial" w:cs="Arial"/>
          <w:sz w:val="22"/>
          <w:szCs w:val="22"/>
        </w:rPr>
      </w:pPr>
      <w:r w:rsidRPr="00CB502D">
        <w:rPr>
          <w:rFonts w:ascii="Arial" w:hAnsi="Arial" w:cs="Arial"/>
          <w:sz w:val="22"/>
          <w:szCs w:val="22"/>
        </w:rPr>
        <w:t>Jessica Smith, UNC School of Government (</w:t>
      </w:r>
      <w:r w:rsidR="00CB435B" w:rsidRPr="00CB502D">
        <w:rPr>
          <w:rFonts w:ascii="Arial" w:hAnsi="Arial" w:cs="Arial"/>
          <w:sz w:val="22"/>
          <w:szCs w:val="22"/>
        </w:rPr>
        <w:t>Ju</w:t>
      </w:r>
      <w:r w:rsidR="00031728" w:rsidRPr="00CB502D">
        <w:rPr>
          <w:rFonts w:ascii="Arial" w:hAnsi="Arial" w:cs="Arial"/>
          <w:sz w:val="22"/>
          <w:szCs w:val="22"/>
        </w:rPr>
        <w:t>ly</w:t>
      </w:r>
      <w:r w:rsidR="00CB435B" w:rsidRPr="00CB502D">
        <w:rPr>
          <w:rFonts w:ascii="Arial" w:hAnsi="Arial" w:cs="Arial"/>
          <w:sz w:val="22"/>
          <w:szCs w:val="22"/>
        </w:rPr>
        <w:t xml:space="preserve"> 2018</w:t>
      </w:r>
      <w:r w:rsidRPr="00CB502D">
        <w:rPr>
          <w:rFonts w:ascii="Arial" w:hAnsi="Arial" w:cs="Arial"/>
          <w:sz w:val="22"/>
          <w:szCs w:val="22"/>
        </w:rPr>
        <w:t>)</w:t>
      </w:r>
      <w:bookmarkStart w:id="0" w:name="_Toc334521993"/>
      <w:bookmarkStart w:id="1" w:name="_Toc334522112"/>
    </w:p>
    <w:p w14:paraId="046907A7" w14:textId="59B1C26E" w:rsidR="006A7CF9" w:rsidRPr="00CB502D" w:rsidRDefault="006A7CF9" w:rsidP="00020B2A">
      <w:pPr>
        <w:pStyle w:val="00BulletinTitle00Heads"/>
        <w:spacing w:after="0" w:line="240" w:lineRule="auto"/>
        <w:rPr>
          <w:rFonts w:ascii="Arial" w:hAnsi="Arial" w:cs="Arial"/>
          <w:sz w:val="22"/>
          <w:szCs w:val="22"/>
        </w:rPr>
      </w:pPr>
      <w:r>
        <w:rPr>
          <w:rFonts w:ascii="Arial" w:hAnsi="Arial" w:cs="Arial"/>
          <w:sz w:val="22"/>
          <w:szCs w:val="22"/>
        </w:rPr>
        <w:t>Updated by Phil Dixon, UNC School of Government (</w:t>
      </w:r>
      <w:r w:rsidR="00CF436B">
        <w:rPr>
          <w:rFonts w:ascii="Arial" w:hAnsi="Arial" w:cs="Arial"/>
          <w:sz w:val="22"/>
          <w:szCs w:val="22"/>
        </w:rPr>
        <w:t>Feb</w:t>
      </w:r>
      <w:r>
        <w:rPr>
          <w:rFonts w:ascii="Arial" w:hAnsi="Arial" w:cs="Arial"/>
          <w:sz w:val="22"/>
          <w:szCs w:val="22"/>
        </w:rPr>
        <w:t>. 202</w:t>
      </w:r>
      <w:r w:rsidR="00CF436B">
        <w:rPr>
          <w:rFonts w:ascii="Arial" w:hAnsi="Arial" w:cs="Arial"/>
          <w:sz w:val="22"/>
          <w:szCs w:val="22"/>
        </w:rPr>
        <w:t>6</w:t>
      </w:r>
      <w:r>
        <w:rPr>
          <w:rFonts w:ascii="Arial" w:hAnsi="Arial" w:cs="Arial"/>
          <w:sz w:val="22"/>
          <w:szCs w:val="22"/>
        </w:rPr>
        <w:t>)</w:t>
      </w:r>
    </w:p>
    <w:p w14:paraId="75ECFEC8" w14:textId="77777777" w:rsidR="00F32D19" w:rsidRPr="00CB502D" w:rsidRDefault="00F32D19" w:rsidP="008546B1"/>
    <w:p w14:paraId="198DA2D9" w14:textId="6B5075F8" w:rsidR="00BB2627" w:rsidRPr="006D733D" w:rsidRDefault="00235E16">
      <w:r w:rsidRPr="00CB502D">
        <w:rPr>
          <w:b/>
        </w:rPr>
        <w:t>Contents</w:t>
      </w:r>
    </w:p>
    <w:p w14:paraId="5F31B295" w14:textId="6D9B7780" w:rsidR="006D733D" w:rsidRPr="006D733D" w:rsidRDefault="00D65E75">
      <w:pPr>
        <w:pStyle w:val="TOC1"/>
        <w:tabs>
          <w:tab w:val="left" w:pos="720"/>
          <w:tab w:val="right" w:leader="dot" w:pos="9350"/>
        </w:tabs>
        <w:rPr>
          <w:rFonts w:asciiTheme="minorHAnsi" w:hAnsiTheme="minorHAnsi" w:cstheme="minorBidi"/>
          <w:bCs w:val="0"/>
          <w:noProof/>
          <w:kern w:val="2"/>
          <w:sz w:val="24"/>
          <w14:ligatures w14:val="standardContextual"/>
        </w:rPr>
      </w:pPr>
      <w:r w:rsidRPr="006D733D">
        <w:rPr>
          <w:bCs w:val="0"/>
        </w:rPr>
        <w:fldChar w:fldCharType="begin"/>
      </w:r>
      <w:r w:rsidRPr="006D733D">
        <w:rPr>
          <w:bCs w:val="0"/>
        </w:rPr>
        <w:instrText xml:space="preserve"> TOC \o "1-2" \h \z \u </w:instrText>
      </w:r>
      <w:r w:rsidRPr="006D733D">
        <w:rPr>
          <w:bCs w:val="0"/>
        </w:rPr>
        <w:fldChar w:fldCharType="separate"/>
      </w:r>
      <w:hyperlink w:anchor="_Toc223731884" w:history="1">
        <w:r w:rsidR="006D733D" w:rsidRPr="006D733D">
          <w:rPr>
            <w:rStyle w:val="Hyperlink"/>
            <w:rFonts w:cs="Arial"/>
            <w:bCs w:val="0"/>
            <w:noProof/>
          </w:rPr>
          <w:t>I.</w:t>
        </w:r>
        <w:r w:rsidR="006D733D" w:rsidRPr="006D733D">
          <w:rPr>
            <w:rFonts w:asciiTheme="minorHAnsi" w:hAnsiTheme="minorHAnsi" w:cstheme="minorBidi"/>
            <w:bCs w:val="0"/>
            <w:noProof/>
            <w:kern w:val="2"/>
            <w:sz w:val="24"/>
            <w14:ligatures w14:val="standardContextual"/>
          </w:rPr>
          <w:tab/>
        </w:r>
        <w:r w:rsidR="006D733D" w:rsidRPr="006D733D">
          <w:rPr>
            <w:rStyle w:val="Hyperlink"/>
            <w:rFonts w:cs="Arial"/>
            <w:bCs w:val="0"/>
            <w:noProof/>
          </w:rPr>
          <w:t xml:space="preserve">The </w:t>
        </w:r>
        <w:r w:rsidR="006D733D" w:rsidRPr="006D733D">
          <w:rPr>
            <w:rStyle w:val="Hyperlink"/>
            <w:rFonts w:cs="Arial"/>
            <w:bCs w:val="0"/>
            <w:i/>
            <w:noProof/>
          </w:rPr>
          <w:t>Crawford</w:t>
        </w:r>
        <w:r w:rsidR="006D733D" w:rsidRPr="006D733D">
          <w:rPr>
            <w:rStyle w:val="Hyperlink"/>
            <w:rFonts w:cs="Arial"/>
            <w:bCs w:val="0"/>
            <w:noProof/>
          </w:rPr>
          <w:t xml:space="preserve"> Rule.</w:t>
        </w:r>
        <w:r w:rsidR="006D733D" w:rsidRPr="006D733D">
          <w:rPr>
            <w:bCs w:val="0"/>
            <w:noProof/>
            <w:webHidden/>
          </w:rPr>
          <w:tab/>
        </w:r>
        <w:r w:rsidR="006D733D" w:rsidRPr="006D733D">
          <w:rPr>
            <w:bCs w:val="0"/>
            <w:noProof/>
            <w:webHidden/>
          </w:rPr>
          <w:fldChar w:fldCharType="begin"/>
        </w:r>
        <w:r w:rsidR="006D733D" w:rsidRPr="006D733D">
          <w:rPr>
            <w:bCs w:val="0"/>
            <w:noProof/>
            <w:webHidden/>
          </w:rPr>
          <w:instrText xml:space="preserve"> PAGEREF _Toc223731884 \h </w:instrText>
        </w:r>
        <w:r w:rsidR="006D733D" w:rsidRPr="006D733D">
          <w:rPr>
            <w:bCs w:val="0"/>
            <w:noProof/>
            <w:webHidden/>
          </w:rPr>
        </w:r>
        <w:r w:rsidR="006D733D" w:rsidRPr="006D733D">
          <w:rPr>
            <w:bCs w:val="0"/>
            <w:noProof/>
            <w:webHidden/>
          </w:rPr>
          <w:fldChar w:fldCharType="separate"/>
        </w:r>
        <w:r w:rsidR="006D733D" w:rsidRPr="006D733D">
          <w:rPr>
            <w:bCs w:val="0"/>
            <w:noProof/>
            <w:webHidden/>
          </w:rPr>
          <w:t>2</w:t>
        </w:r>
        <w:r w:rsidR="006D733D" w:rsidRPr="006D733D">
          <w:rPr>
            <w:bCs w:val="0"/>
            <w:noProof/>
            <w:webHidden/>
          </w:rPr>
          <w:fldChar w:fldCharType="end"/>
        </w:r>
      </w:hyperlink>
    </w:p>
    <w:p w14:paraId="109CE5AF" w14:textId="5BDFCCD4"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885" w:history="1">
        <w:r w:rsidRPr="006D733D">
          <w:rPr>
            <w:rStyle w:val="Hyperlink"/>
            <w:rFonts w:cs="Arial"/>
            <w:bCs w:val="0"/>
            <w:iCs/>
            <w:noProof/>
          </w:rPr>
          <w:t>A.</w:t>
        </w:r>
        <w:r w:rsidRPr="006D733D">
          <w:rPr>
            <w:rFonts w:asciiTheme="minorHAnsi" w:hAnsiTheme="minorHAnsi" w:cstheme="minorBidi"/>
            <w:bCs w:val="0"/>
            <w:noProof/>
            <w:kern w:val="2"/>
            <w:sz w:val="24"/>
            <w:szCs w:val="24"/>
            <w14:ligatures w14:val="standardContextual"/>
          </w:rPr>
          <w:tab/>
        </w:r>
        <w:r w:rsidRPr="006D733D">
          <w:rPr>
            <w:rStyle w:val="Hyperlink"/>
            <w:rFonts w:cs="Arial"/>
            <w:bCs w:val="0"/>
            <w:noProof/>
          </w:rPr>
          <w:t xml:space="preserve">When </w:t>
        </w:r>
        <w:r w:rsidRPr="006D733D">
          <w:rPr>
            <w:rStyle w:val="Hyperlink"/>
            <w:rFonts w:cs="Arial"/>
            <w:bCs w:val="0"/>
            <w:i/>
            <w:noProof/>
          </w:rPr>
          <w:t>Crawford</w:t>
        </w:r>
        <w:r w:rsidRPr="006D733D">
          <w:rPr>
            <w:rStyle w:val="Hyperlink"/>
            <w:rFonts w:cs="Arial"/>
            <w:bCs w:val="0"/>
            <w:noProof/>
          </w:rPr>
          <w:t xml:space="preserve"> Issues Arise.</w:t>
        </w:r>
        <w:r w:rsidRPr="006D733D">
          <w:rPr>
            <w:bCs w:val="0"/>
            <w:noProof/>
            <w:webHidden/>
          </w:rPr>
          <w:tab/>
        </w:r>
        <w:r w:rsidRPr="006D733D">
          <w:rPr>
            <w:bCs w:val="0"/>
            <w:noProof/>
            <w:webHidden/>
          </w:rPr>
          <w:fldChar w:fldCharType="begin"/>
        </w:r>
        <w:r w:rsidRPr="006D733D">
          <w:rPr>
            <w:bCs w:val="0"/>
            <w:noProof/>
            <w:webHidden/>
          </w:rPr>
          <w:instrText xml:space="preserve"> PAGEREF _Toc223731885 \h </w:instrText>
        </w:r>
        <w:r w:rsidRPr="006D733D">
          <w:rPr>
            <w:bCs w:val="0"/>
            <w:noProof/>
            <w:webHidden/>
          </w:rPr>
        </w:r>
        <w:r w:rsidRPr="006D733D">
          <w:rPr>
            <w:bCs w:val="0"/>
            <w:noProof/>
            <w:webHidden/>
          </w:rPr>
          <w:fldChar w:fldCharType="separate"/>
        </w:r>
        <w:r w:rsidRPr="006D733D">
          <w:rPr>
            <w:bCs w:val="0"/>
            <w:noProof/>
            <w:webHidden/>
          </w:rPr>
          <w:t>3</w:t>
        </w:r>
        <w:r w:rsidRPr="006D733D">
          <w:rPr>
            <w:bCs w:val="0"/>
            <w:noProof/>
            <w:webHidden/>
          </w:rPr>
          <w:fldChar w:fldCharType="end"/>
        </w:r>
      </w:hyperlink>
    </w:p>
    <w:p w14:paraId="6E241F19" w14:textId="2BE7CF93"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886" w:history="1">
        <w:r w:rsidRPr="006D733D">
          <w:rPr>
            <w:rStyle w:val="Hyperlink"/>
            <w:rFonts w:cs="Arial"/>
            <w:bCs w:val="0"/>
            <w:iCs/>
            <w:noProof/>
          </w:rPr>
          <w:t>B.</w:t>
        </w:r>
        <w:r w:rsidRPr="006D733D">
          <w:rPr>
            <w:rFonts w:asciiTheme="minorHAnsi" w:hAnsiTheme="minorHAnsi" w:cstheme="minorBidi"/>
            <w:bCs w:val="0"/>
            <w:noProof/>
            <w:kern w:val="2"/>
            <w:sz w:val="24"/>
            <w:szCs w:val="24"/>
            <w14:ligatures w14:val="standardContextual"/>
          </w:rPr>
          <w:tab/>
        </w:r>
        <w:r w:rsidRPr="006D733D">
          <w:rPr>
            <w:rStyle w:val="Hyperlink"/>
            <w:rFonts w:cs="Arial"/>
            <w:bCs w:val="0"/>
            <w:noProof/>
          </w:rPr>
          <w:t>Framework for Analysis.</w:t>
        </w:r>
        <w:r w:rsidRPr="006D733D">
          <w:rPr>
            <w:bCs w:val="0"/>
            <w:noProof/>
            <w:webHidden/>
          </w:rPr>
          <w:tab/>
        </w:r>
        <w:r w:rsidRPr="006D733D">
          <w:rPr>
            <w:bCs w:val="0"/>
            <w:noProof/>
            <w:webHidden/>
          </w:rPr>
          <w:fldChar w:fldCharType="begin"/>
        </w:r>
        <w:r w:rsidRPr="006D733D">
          <w:rPr>
            <w:bCs w:val="0"/>
            <w:noProof/>
            <w:webHidden/>
          </w:rPr>
          <w:instrText xml:space="preserve"> PAGEREF _Toc223731886 \h </w:instrText>
        </w:r>
        <w:r w:rsidRPr="006D733D">
          <w:rPr>
            <w:bCs w:val="0"/>
            <w:noProof/>
            <w:webHidden/>
          </w:rPr>
        </w:r>
        <w:r w:rsidRPr="006D733D">
          <w:rPr>
            <w:bCs w:val="0"/>
            <w:noProof/>
            <w:webHidden/>
          </w:rPr>
          <w:fldChar w:fldCharType="separate"/>
        </w:r>
        <w:r w:rsidRPr="006D733D">
          <w:rPr>
            <w:bCs w:val="0"/>
            <w:noProof/>
            <w:webHidden/>
          </w:rPr>
          <w:t>3</w:t>
        </w:r>
        <w:r w:rsidRPr="006D733D">
          <w:rPr>
            <w:bCs w:val="0"/>
            <w:noProof/>
            <w:webHidden/>
          </w:rPr>
          <w:fldChar w:fldCharType="end"/>
        </w:r>
      </w:hyperlink>
    </w:p>
    <w:p w14:paraId="7AC9E895" w14:textId="2D75F451" w:rsidR="006D733D" w:rsidRPr="006D733D" w:rsidRDefault="006D733D">
      <w:pPr>
        <w:pStyle w:val="TOC1"/>
        <w:tabs>
          <w:tab w:val="left" w:pos="720"/>
          <w:tab w:val="right" w:leader="dot" w:pos="9350"/>
        </w:tabs>
        <w:rPr>
          <w:rFonts w:asciiTheme="minorHAnsi" w:hAnsiTheme="minorHAnsi" w:cstheme="minorBidi"/>
          <w:bCs w:val="0"/>
          <w:noProof/>
          <w:kern w:val="2"/>
          <w:sz w:val="24"/>
          <w14:ligatures w14:val="standardContextual"/>
        </w:rPr>
      </w:pPr>
      <w:hyperlink w:anchor="_Toc223731887" w:history="1">
        <w:r w:rsidRPr="006D733D">
          <w:rPr>
            <w:rStyle w:val="Hyperlink"/>
            <w:bCs w:val="0"/>
            <w:noProof/>
          </w:rPr>
          <w:t>II.</w:t>
        </w:r>
        <w:r w:rsidRPr="006D733D">
          <w:rPr>
            <w:rFonts w:asciiTheme="minorHAnsi" w:hAnsiTheme="minorHAnsi" w:cstheme="minorBidi"/>
            <w:bCs w:val="0"/>
            <w:noProof/>
            <w:kern w:val="2"/>
            <w:sz w:val="24"/>
            <w14:ligatures w14:val="standardContextual"/>
          </w:rPr>
          <w:tab/>
        </w:r>
        <w:r w:rsidRPr="006D733D">
          <w:rPr>
            <w:rStyle w:val="Hyperlink"/>
            <w:bCs w:val="0"/>
            <w:noProof/>
          </w:rPr>
          <w:t>Statement Offered For Its Truth Against the Defendant.</w:t>
        </w:r>
        <w:r w:rsidRPr="006D733D">
          <w:rPr>
            <w:bCs w:val="0"/>
            <w:noProof/>
            <w:webHidden/>
          </w:rPr>
          <w:tab/>
        </w:r>
        <w:r w:rsidRPr="006D733D">
          <w:rPr>
            <w:bCs w:val="0"/>
            <w:noProof/>
            <w:webHidden/>
          </w:rPr>
          <w:fldChar w:fldCharType="begin"/>
        </w:r>
        <w:r w:rsidRPr="006D733D">
          <w:rPr>
            <w:bCs w:val="0"/>
            <w:noProof/>
            <w:webHidden/>
          </w:rPr>
          <w:instrText xml:space="preserve"> PAGEREF _Toc223731887 \h </w:instrText>
        </w:r>
        <w:r w:rsidRPr="006D733D">
          <w:rPr>
            <w:bCs w:val="0"/>
            <w:noProof/>
            <w:webHidden/>
          </w:rPr>
        </w:r>
        <w:r w:rsidRPr="006D733D">
          <w:rPr>
            <w:bCs w:val="0"/>
            <w:noProof/>
            <w:webHidden/>
          </w:rPr>
          <w:fldChar w:fldCharType="separate"/>
        </w:r>
        <w:r w:rsidRPr="006D733D">
          <w:rPr>
            <w:bCs w:val="0"/>
            <w:noProof/>
            <w:webHidden/>
          </w:rPr>
          <w:t>5</w:t>
        </w:r>
        <w:r w:rsidRPr="006D733D">
          <w:rPr>
            <w:bCs w:val="0"/>
            <w:noProof/>
            <w:webHidden/>
          </w:rPr>
          <w:fldChar w:fldCharType="end"/>
        </w:r>
      </w:hyperlink>
    </w:p>
    <w:p w14:paraId="2EEC888D" w14:textId="7757AEF7"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888" w:history="1">
        <w:r w:rsidRPr="006D733D">
          <w:rPr>
            <w:rStyle w:val="Hyperlink"/>
            <w:rFonts w:cs="Arial"/>
            <w:bCs w:val="0"/>
            <w:iCs/>
            <w:noProof/>
          </w:rPr>
          <w:t>A.</w:t>
        </w:r>
        <w:r w:rsidRPr="006D733D">
          <w:rPr>
            <w:rFonts w:asciiTheme="minorHAnsi" w:hAnsiTheme="minorHAnsi" w:cstheme="minorBidi"/>
            <w:bCs w:val="0"/>
            <w:noProof/>
            <w:kern w:val="2"/>
            <w:sz w:val="24"/>
            <w:szCs w:val="24"/>
            <w14:ligatures w14:val="standardContextual"/>
          </w:rPr>
          <w:tab/>
        </w:r>
        <w:r w:rsidRPr="006D733D">
          <w:rPr>
            <w:rStyle w:val="Hyperlink"/>
            <w:rFonts w:cs="Arial"/>
            <w:bCs w:val="0"/>
            <w:noProof/>
          </w:rPr>
          <w:t>For Its Truth.</w:t>
        </w:r>
        <w:r w:rsidRPr="006D733D">
          <w:rPr>
            <w:bCs w:val="0"/>
            <w:noProof/>
            <w:webHidden/>
          </w:rPr>
          <w:tab/>
        </w:r>
        <w:r w:rsidRPr="006D733D">
          <w:rPr>
            <w:bCs w:val="0"/>
            <w:noProof/>
            <w:webHidden/>
          </w:rPr>
          <w:fldChar w:fldCharType="begin"/>
        </w:r>
        <w:r w:rsidRPr="006D733D">
          <w:rPr>
            <w:bCs w:val="0"/>
            <w:noProof/>
            <w:webHidden/>
          </w:rPr>
          <w:instrText xml:space="preserve"> PAGEREF _Toc223731888 \h </w:instrText>
        </w:r>
        <w:r w:rsidRPr="006D733D">
          <w:rPr>
            <w:bCs w:val="0"/>
            <w:noProof/>
            <w:webHidden/>
          </w:rPr>
        </w:r>
        <w:r w:rsidRPr="006D733D">
          <w:rPr>
            <w:bCs w:val="0"/>
            <w:noProof/>
            <w:webHidden/>
          </w:rPr>
          <w:fldChar w:fldCharType="separate"/>
        </w:r>
        <w:r w:rsidRPr="006D733D">
          <w:rPr>
            <w:bCs w:val="0"/>
            <w:noProof/>
            <w:webHidden/>
          </w:rPr>
          <w:t>5</w:t>
        </w:r>
        <w:r w:rsidRPr="006D733D">
          <w:rPr>
            <w:bCs w:val="0"/>
            <w:noProof/>
            <w:webHidden/>
          </w:rPr>
          <w:fldChar w:fldCharType="end"/>
        </w:r>
      </w:hyperlink>
    </w:p>
    <w:p w14:paraId="433F5CC5" w14:textId="27583763"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889" w:history="1">
        <w:r w:rsidRPr="006D733D">
          <w:rPr>
            <w:rStyle w:val="Hyperlink"/>
            <w:rFonts w:cs="Arial"/>
            <w:bCs w:val="0"/>
            <w:iCs/>
            <w:noProof/>
          </w:rPr>
          <w:t>B.</w:t>
        </w:r>
        <w:r w:rsidRPr="006D733D">
          <w:rPr>
            <w:rFonts w:asciiTheme="minorHAnsi" w:hAnsiTheme="minorHAnsi" w:cstheme="minorBidi"/>
            <w:bCs w:val="0"/>
            <w:noProof/>
            <w:kern w:val="2"/>
            <w:sz w:val="24"/>
            <w:szCs w:val="24"/>
            <w14:ligatures w14:val="standardContextual"/>
          </w:rPr>
          <w:tab/>
        </w:r>
        <w:r w:rsidRPr="006D733D">
          <w:rPr>
            <w:rStyle w:val="Hyperlink"/>
            <w:rFonts w:cs="Arial"/>
            <w:bCs w:val="0"/>
            <w:noProof/>
          </w:rPr>
          <w:t>Against the Defendant.</w:t>
        </w:r>
        <w:r w:rsidRPr="006D733D">
          <w:rPr>
            <w:bCs w:val="0"/>
            <w:noProof/>
            <w:webHidden/>
          </w:rPr>
          <w:tab/>
        </w:r>
        <w:r w:rsidRPr="006D733D">
          <w:rPr>
            <w:bCs w:val="0"/>
            <w:noProof/>
            <w:webHidden/>
          </w:rPr>
          <w:fldChar w:fldCharType="begin"/>
        </w:r>
        <w:r w:rsidRPr="006D733D">
          <w:rPr>
            <w:bCs w:val="0"/>
            <w:noProof/>
            <w:webHidden/>
          </w:rPr>
          <w:instrText xml:space="preserve"> PAGEREF _Toc223731889 \h </w:instrText>
        </w:r>
        <w:r w:rsidRPr="006D733D">
          <w:rPr>
            <w:bCs w:val="0"/>
            <w:noProof/>
            <w:webHidden/>
          </w:rPr>
        </w:r>
        <w:r w:rsidRPr="006D733D">
          <w:rPr>
            <w:bCs w:val="0"/>
            <w:noProof/>
            <w:webHidden/>
          </w:rPr>
          <w:fldChar w:fldCharType="separate"/>
        </w:r>
        <w:r w:rsidRPr="006D733D">
          <w:rPr>
            <w:bCs w:val="0"/>
            <w:noProof/>
            <w:webHidden/>
          </w:rPr>
          <w:t>6</w:t>
        </w:r>
        <w:r w:rsidRPr="006D733D">
          <w:rPr>
            <w:bCs w:val="0"/>
            <w:noProof/>
            <w:webHidden/>
          </w:rPr>
          <w:fldChar w:fldCharType="end"/>
        </w:r>
      </w:hyperlink>
    </w:p>
    <w:p w14:paraId="70D6B958" w14:textId="1BC24D27" w:rsidR="006D733D" w:rsidRPr="006D733D" w:rsidRDefault="006D733D">
      <w:pPr>
        <w:pStyle w:val="TOC1"/>
        <w:tabs>
          <w:tab w:val="left" w:pos="720"/>
          <w:tab w:val="right" w:leader="dot" w:pos="9350"/>
        </w:tabs>
        <w:rPr>
          <w:rFonts w:asciiTheme="minorHAnsi" w:hAnsiTheme="minorHAnsi" w:cstheme="minorBidi"/>
          <w:bCs w:val="0"/>
          <w:noProof/>
          <w:kern w:val="2"/>
          <w:sz w:val="24"/>
          <w14:ligatures w14:val="standardContextual"/>
        </w:rPr>
      </w:pPr>
      <w:hyperlink w:anchor="_Toc223731890" w:history="1">
        <w:r w:rsidRPr="006D733D">
          <w:rPr>
            <w:rStyle w:val="Hyperlink"/>
            <w:bCs w:val="0"/>
            <w:noProof/>
          </w:rPr>
          <w:t>III.</w:t>
        </w:r>
        <w:r w:rsidRPr="006D733D">
          <w:rPr>
            <w:rFonts w:asciiTheme="minorHAnsi" w:hAnsiTheme="minorHAnsi" w:cstheme="minorBidi"/>
            <w:bCs w:val="0"/>
            <w:noProof/>
            <w:kern w:val="2"/>
            <w:sz w:val="24"/>
            <w14:ligatures w14:val="standardContextual"/>
          </w:rPr>
          <w:tab/>
        </w:r>
        <w:r w:rsidRPr="006D733D">
          <w:rPr>
            <w:rStyle w:val="Hyperlink"/>
            <w:bCs w:val="0"/>
            <w:noProof/>
          </w:rPr>
          <w:t>Subject to Cross-Examination at Trial.</w:t>
        </w:r>
        <w:r w:rsidRPr="006D733D">
          <w:rPr>
            <w:bCs w:val="0"/>
            <w:noProof/>
            <w:webHidden/>
          </w:rPr>
          <w:tab/>
        </w:r>
        <w:r w:rsidRPr="006D733D">
          <w:rPr>
            <w:bCs w:val="0"/>
            <w:noProof/>
            <w:webHidden/>
          </w:rPr>
          <w:fldChar w:fldCharType="begin"/>
        </w:r>
        <w:r w:rsidRPr="006D733D">
          <w:rPr>
            <w:bCs w:val="0"/>
            <w:noProof/>
            <w:webHidden/>
          </w:rPr>
          <w:instrText xml:space="preserve"> PAGEREF _Toc223731890 \h </w:instrText>
        </w:r>
        <w:r w:rsidRPr="006D733D">
          <w:rPr>
            <w:bCs w:val="0"/>
            <w:noProof/>
            <w:webHidden/>
          </w:rPr>
        </w:r>
        <w:r w:rsidRPr="006D733D">
          <w:rPr>
            <w:bCs w:val="0"/>
            <w:noProof/>
            <w:webHidden/>
          </w:rPr>
          <w:fldChar w:fldCharType="separate"/>
        </w:r>
        <w:r w:rsidRPr="006D733D">
          <w:rPr>
            <w:bCs w:val="0"/>
            <w:noProof/>
            <w:webHidden/>
          </w:rPr>
          <w:t>6</w:t>
        </w:r>
        <w:r w:rsidRPr="006D733D">
          <w:rPr>
            <w:bCs w:val="0"/>
            <w:noProof/>
            <w:webHidden/>
          </w:rPr>
          <w:fldChar w:fldCharType="end"/>
        </w:r>
      </w:hyperlink>
    </w:p>
    <w:p w14:paraId="7891659E" w14:textId="6397F7DA"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891" w:history="1">
        <w:r w:rsidRPr="006D733D">
          <w:rPr>
            <w:rStyle w:val="Hyperlink"/>
            <w:rFonts w:cs="Arial"/>
            <w:bCs w:val="0"/>
            <w:noProof/>
          </w:rPr>
          <w:t>A.</w:t>
        </w:r>
        <w:r w:rsidRPr="006D733D">
          <w:rPr>
            <w:rFonts w:asciiTheme="minorHAnsi" w:hAnsiTheme="minorHAnsi" w:cstheme="minorBidi"/>
            <w:bCs w:val="0"/>
            <w:noProof/>
            <w:kern w:val="2"/>
            <w:sz w:val="24"/>
            <w:szCs w:val="24"/>
            <w14:ligatures w14:val="standardContextual"/>
          </w:rPr>
          <w:tab/>
        </w:r>
        <w:r w:rsidRPr="006D733D">
          <w:rPr>
            <w:rStyle w:val="Hyperlink"/>
            <w:rFonts w:cs="Arial"/>
            <w:bCs w:val="0"/>
            <w:noProof/>
          </w:rPr>
          <w:t>Memory Loss.</w:t>
        </w:r>
        <w:r w:rsidRPr="006D733D">
          <w:rPr>
            <w:bCs w:val="0"/>
            <w:noProof/>
            <w:webHidden/>
          </w:rPr>
          <w:tab/>
        </w:r>
        <w:r w:rsidRPr="006D733D">
          <w:rPr>
            <w:bCs w:val="0"/>
            <w:noProof/>
            <w:webHidden/>
          </w:rPr>
          <w:fldChar w:fldCharType="begin"/>
        </w:r>
        <w:r w:rsidRPr="006D733D">
          <w:rPr>
            <w:bCs w:val="0"/>
            <w:noProof/>
            <w:webHidden/>
          </w:rPr>
          <w:instrText xml:space="preserve"> PAGEREF _Toc223731891 \h </w:instrText>
        </w:r>
        <w:r w:rsidRPr="006D733D">
          <w:rPr>
            <w:bCs w:val="0"/>
            <w:noProof/>
            <w:webHidden/>
          </w:rPr>
        </w:r>
        <w:r w:rsidRPr="006D733D">
          <w:rPr>
            <w:bCs w:val="0"/>
            <w:noProof/>
            <w:webHidden/>
          </w:rPr>
          <w:fldChar w:fldCharType="separate"/>
        </w:r>
        <w:r w:rsidRPr="006D733D">
          <w:rPr>
            <w:bCs w:val="0"/>
            <w:noProof/>
            <w:webHidden/>
          </w:rPr>
          <w:t>6</w:t>
        </w:r>
        <w:r w:rsidRPr="006D733D">
          <w:rPr>
            <w:bCs w:val="0"/>
            <w:noProof/>
            <w:webHidden/>
          </w:rPr>
          <w:fldChar w:fldCharType="end"/>
        </w:r>
      </w:hyperlink>
    </w:p>
    <w:p w14:paraId="7CF459F4" w14:textId="6C2086FD"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892" w:history="1">
        <w:r w:rsidRPr="006D733D">
          <w:rPr>
            <w:rStyle w:val="Hyperlink"/>
            <w:rFonts w:cs="Arial"/>
            <w:bCs w:val="0"/>
            <w:noProof/>
          </w:rPr>
          <w:t>B.</w:t>
        </w:r>
        <w:r w:rsidRPr="006D733D">
          <w:rPr>
            <w:rFonts w:asciiTheme="minorHAnsi" w:hAnsiTheme="minorHAnsi" w:cstheme="minorBidi"/>
            <w:bCs w:val="0"/>
            <w:noProof/>
            <w:kern w:val="2"/>
            <w:sz w:val="24"/>
            <w:szCs w:val="24"/>
            <w14:ligatures w14:val="standardContextual"/>
          </w:rPr>
          <w:tab/>
        </w:r>
        <w:r w:rsidRPr="006D733D">
          <w:rPr>
            <w:rStyle w:val="Hyperlink"/>
            <w:rFonts w:cs="Arial"/>
            <w:bCs w:val="0"/>
            <w:noProof/>
          </w:rPr>
          <w:t>Privilege.</w:t>
        </w:r>
        <w:r w:rsidRPr="006D733D">
          <w:rPr>
            <w:bCs w:val="0"/>
            <w:noProof/>
            <w:webHidden/>
          </w:rPr>
          <w:tab/>
        </w:r>
        <w:r w:rsidRPr="006D733D">
          <w:rPr>
            <w:bCs w:val="0"/>
            <w:noProof/>
            <w:webHidden/>
          </w:rPr>
          <w:fldChar w:fldCharType="begin"/>
        </w:r>
        <w:r w:rsidRPr="006D733D">
          <w:rPr>
            <w:bCs w:val="0"/>
            <w:noProof/>
            <w:webHidden/>
          </w:rPr>
          <w:instrText xml:space="preserve"> PAGEREF _Toc223731892 \h </w:instrText>
        </w:r>
        <w:r w:rsidRPr="006D733D">
          <w:rPr>
            <w:bCs w:val="0"/>
            <w:noProof/>
            <w:webHidden/>
          </w:rPr>
        </w:r>
        <w:r w:rsidRPr="006D733D">
          <w:rPr>
            <w:bCs w:val="0"/>
            <w:noProof/>
            <w:webHidden/>
          </w:rPr>
          <w:fldChar w:fldCharType="separate"/>
        </w:r>
        <w:r w:rsidRPr="006D733D">
          <w:rPr>
            <w:bCs w:val="0"/>
            <w:noProof/>
            <w:webHidden/>
          </w:rPr>
          <w:t>7</w:t>
        </w:r>
        <w:r w:rsidRPr="006D733D">
          <w:rPr>
            <w:bCs w:val="0"/>
            <w:noProof/>
            <w:webHidden/>
          </w:rPr>
          <w:fldChar w:fldCharType="end"/>
        </w:r>
      </w:hyperlink>
    </w:p>
    <w:p w14:paraId="452BD3B6" w14:textId="68BB9C38"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893" w:history="1">
        <w:r w:rsidRPr="006D733D">
          <w:rPr>
            <w:rStyle w:val="Hyperlink"/>
            <w:rFonts w:cs="Arial"/>
            <w:bCs w:val="0"/>
            <w:noProof/>
          </w:rPr>
          <w:t>C.</w:t>
        </w:r>
        <w:r w:rsidRPr="006D733D">
          <w:rPr>
            <w:rFonts w:asciiTheme="minorHAnsi" w:hAnsiTheme="minorHAnsi" w:cstheme="minorBidi"/>
            <w:bCs w:val="0"/>
            <w:noProof/>
            <w:kern w:val="2"/>
            <w:sz w:val="24"/>
            <w:szCs w:val="24"/>
            <w14:ligatures w14:val="standardContextual"/>
          </w:rPr>
          <w:tab/>
        </w:r>
        <w:r w:rsidRPr="006D733D">
          <w:rPr>
            <w:rStyle w:val="Hyperlink"/>
            <w:rFonts w:cs="Arial"/>
            <w:bCs w:val="0"/>
            <w:i/>
            <w:noProof/>
          </w:rPr>
          <w:t>Maryland v. Craig</w:t>
        </w:r>
        <w:r w:rsidRPr="006D733D">
          <w:rPr>
            <w:rStyle w:val="Hyperlink"/>
            <w:rFonts w:cs="Arial"/>
            <w:bCs w:val="0"/>
            <w:noProof/>
          </w:rPr>
          <w:t xml:space="preserve"> Procedures for Child Abuse Victims.</w:t>
        </w:r>
        <w:r w:rsidRPr="006D733D">
          <w:rPr>
            <w:bCs w:val="0"/>
            <w:noProof/>
            <w:webHidden/>
          </w:rPr>
          <w:tab/>
        </w:r>
        <w:r w:rsidRPr="006D733D">
          <w:rPr>
            <w:bCs w:val="0"/>
            <w:noProof/>
            <w:webHidden/>
          </w:rPr>
          <w:fldChar w:fldCharType="begin"/>
        </w:r>
        <w:r w:rsidRPr="006D733D">
          <w:rPr>
            <w:bCs w:val="0"/>
            <w:noProof/>
            <w:webHidden/>
          </w:rPr>
          <w:instrText xml:space="preserve"> PAGEREF _Toc223731893 \h </w:instrText>
        </w:r>
        <w:r w:rsidRPr="006D733D">
          <w:rPr>
            <w:bCs w:val="0"/>
            <w:noProof/>
            <w:webHidden/>
          </w:rPr>
        </w:r>
        <w:r w:rsidRPr="006D733D">
          <w:rPr>
            <w:bCs w:val="0"/>
            <w:noProof/>
            <w:webHidden/>
          </w:rPr>
          <w:fldChar w:fldCharType="separate"/>
        </w:r>
        <w:r w:rsidRPr="006D733D">
          <w:rPr>
            <w:bCs w:val="0"/>
            <w:noProof/>
            <w:webHidden/>
          </w:rPr>
          <w:t>7</w:t>
        </w:r>
        <w:r w:rsidRPr="006D733D">
          <w:rPr>
            <w:bCs w:val="0"/>
            <w:noProof/>
            <w:webHidden/>
          </w:rPr>
          <w:fldChar w:fldCharType="end"/>
        </w:r>
      </w:hyperlink>
    </w:p>
    <w:p w14:paraId="3D65C083" w14:textId="3C2AEB38"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894" w:history="1">
        <w:r w:rsidRPr="006D733D">
          <w:rPr>
            <w:rStyle w:val="Hyperlink"/>
            <w:bCs w:val="0"/>
            <w:noProof/>
          </w:rPr>
          <w:t>D.</w:t>
        </w:r>
        <w:r w:rsidRPr="006D733D">
          <w:rPr>
            <w:rFonts w:asciiTheme="minorHAnsi" w:hAnsiTheme="minorHAnsi" w:cstheme="minorBidi"/>
            <w:bCs w:val="0"/>
            <w:noProof/>
            <w:kern w:val="2"/>
            <w:sz w:val="24"/>
            <w:szCs w:val="24"/>
            <w14:ligatures w14:val="standardContextual"/>
          </w:rPr>
          <w:tab/>
        </w:r>
        <w:r w:rsidRPr="006D733D">
          <w:rPr>
            <w:rStyle w:val="Hyperlink"/>
            <w:bCs w:val="0"/>
            <w:noProof/>
          </w:rPr>
          <w:t>Remote Testimony.</w:t>
        </w:r>
        <w:r w:rsidRPr="006D733D">
          <w:rPr>
            <w:bCs w:val="0"/>
            <w:noProof/>
            <w:webHidden/>
          </w:rPr>
          <w:tab/>
        </w:r>
        <w:r w:rsidRPr="006D733D">
          <w:rPr>
            <w:bCs w:val="0"/>
            <w:noProof/>
            <w:webHidden/>
          </w:rPr>
          <w:fldChar w:fldCharType="begin"/>
        </w:r>
        <w:r w:rsidRPr="006D733D">
          <w:rPr>
            <w:bCs w:val="0"/>
            <w:noProof/>
            <w:webHidden/>
          </w:rPr>
          <w:instrText xml:space="preserve"> PAGEREF _Toc223731894 \h </w:instrText>
        </w:r>
        <w:r w:rsidRPr="006D733D">
          <w:rPr>
            <w:bCs w:val="0"/>
            <w:noProof/>
            <w:webHidden/>
          </w:rPr>
        </w:r>
        <w:r w:rsidRPr="006D733D">
          <w:rPr>
            <w:bCs w:val="0"/>
            <w:noProof/>
            <w:webHidden/>
          </w:rPr>
          <w:fldChar w:fldCharType="separate"/>
        </w:r>
        <w:r w:rsidRPr="006D733D">
          <w:rPr>
            <w:bCs w:val="0"/>
            <w:noProof/>
            <w:webHidden/>
          </w:rPr>
          <w:t>8</w:t>
        </w:r>
        <w:r w:rsidRPr="006D733D">
          <w:rPr>
            <w:bCs w:val="0"/>
            <w:noProof/>
            <w:webHidden/>
          </w:rPr>
          <w:fldChar w:fldCharType="end"/>
        </w:r>
      </w:hyperlink>
    </w:p>
    <w:p w14:paraId="039741CD" w14:textId="59DAE385"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895" w:history="1">
        <w:r w:rsidRPr="006D733D">
          <w:rPr>
            <w:rStyle w:val="Hyperlink"/>
            <w:bCs w:val="0"/>
            <w:iCs/>
            <w:noProof/>
          </w:rPr>
          <w:t>E.</w:t>
        </w:r>
        <w:r w:rsidRPr="006D733D">
          <w:rPr>
            <w:rFonts w:asciiTheme="minorHAnsi" w:hAnsiTheme="minorHAnsi" w:cstheme="minorBidi"/>
            <w:bCs w:val="0"/>
            <w:noProof/>
            <w:kern w:val="2"/>
            <w:sz w:val="24"/>
            <w:szCs w:val="24"/>
            <w14:ligatures w14:val="standardContextual"/>
          </w:rPr>
          <w:tab/>
        </w:r>
        <w:r w:rsidRPr="006D733D">
          <w:rPr>
            <w:rStyle w:val="Hyperlink"/>
            <w:bCs w:val="0"/>
            <w:iCs/>
            <w:noProof/>
          </w:rPr>
          <w:t>Making the Witness “Available” to the Defense.</w:t>
        </w:r>
        <w:r w:rsidRPr="006D733D">
          <w:rPr>
            <w:bCs w:val="0"/>
            <w:noProof/>
            <w:webHidden/>
          </w:rPr>
          <w:tab/>
        </w:r>
        <w:r w:rsidRPr="006D733D">
          <w:rPr>
            <w:bCs w:val="0"/>
            <w:noProof/>
            <w:webHidden/>
          </w:rPr>
          <w:fldChar w:fldCharType="begin"/>
        </w:r>
        <w:r w:rsidRPr="006D733D">
          <w:rPr>
            <w:bCs w:val="0"/>
            <w:noProof/>
            <w:webHidden/>
          </w:rPr>
          <w:instrText xml:space="preserve"> PAGEREF _Toc223731895 \h </w:instrText>
        </w:r>
        <w:r w:rsidRPr="006D733D">
          <w:rPr>
            <w:bCs w:val="0"/>
            <w:noProof/>
            <w:webHidden/>
          </w:rPr>
        </w:r>
        <w:r w:rsidRPr="006D733D">
          <w:rPr>
            <w:bCs w:val="0"/>
            <w:noProof/>
            <w:webHidden/>
          </w:rPr>
          <w:fldChar w:fldCharType="separate"/>
        </w:r>
        <w:r w:rsidRPr="006D733D">
          <w:rPr>
            <w:bCs w:val="0"/>
            <w:noProof/>
            <w:webHidden/>
          </w:rPr>
          <w:t>9</w:t>
        </w:r>
        <w:r w:rsidRPr="006D733D">
          <w:rPr>
            <w:bCs w:val="0"/>
            <w:noProof/>
            <w:webHidden/>
          </w:rPr>
          <w:fldChar w:fldCharType="end"/>
        </w:r>
      </w:hyperlink>
    </w:p>
    <w:p w14:paraId="5CC411A3" w14:textId="5AD62865" w:rsidR="006D733D" w:rsidRPr="006D733D" w:rsidRDefault="006D733D">
      <w:pPr>
        <w:pStyle w:val="TOC1"/>
        <w:tabs>
          <w:tab w:val="left" w:pos="720"/>
          <w:tab w:val="right" w:leader="dot" w:pos="9350"/>
        </w:tabs>
        <w:rPr>
          <w:rFonts w:asciiTheme="minorHAnsi" w:hAnsiTheme="minorHAnsi" w:cstheme="minorBidi"/>
          <w:bCs w:val="0"/>
          <w:noProof/>
          <w:kern w:val="2"/>
          <w:sz w:val="24"/>
          <w14:ligatures w14:val="standardContextual"/>
        </w:rPr>
      </w:pPr>
      <w:hyperlink w:anchor="_Toc223731896" w:history="1">
        <w:r w:rsidRPr="006D733D">
          <w:rPr>
            <w:rStyle w:val="Hyperlink"/>
            <w:bCs w:val="0"/>
            <w:noProof/>
          </w:rPr>
          <w:t>IV.</w:t>
        </w:r>
        <w:r w:rsidRPr="006D733D">
          <w:rPr>
            <w:rFonts w:asciiTheme="minorHAnsi" w:hAnsiTheme="minorHAnsi" w:cstheme="minorBidi"/>
            <w:bCs w:val="0"/>
            <w:noProof/>
            <w:kern w:val="2"/>
            <w:sz w:val="24"/>
            <w14:ligatures w14:val="standardContextual"/>
          </w:rPr>
          <w:tab/>
        </w:r>
        <w:r w:rsidRPr="006D733D">
          <w:rPr>
            <w:rStyle w:val="Hyperlink"/>
            <w:bCs w:val="0"/>
            <w:noProof/>
          </w:rPr>
          <w:t>Testimonial Statements</w:t>
        </w:r>
        <w:r w:rsidRPr="006D733D">
          <w:rPr>
            <w:rStyle w:val="Hyperlink"/>
            <w:rFonts w:eastAsia="Times New Roman"/>
            <w:bCs w:val="0"/>
            <w:noProof/>
          </w:rPr>
          <w:t>.</w:t>
        </w:r>
        <w:r w:rsidRPr="006D733D">
          <w:rPr>
            <w:bCs w:val="0"/>
            <w:noProof/>
            <w:webHidden/>
          </w:rPr>
          <w:tab/>
        </w:r>
        <w:r w:rsidRPr="006D733D">
          <w:rPr>
            <w:bCs w:val="0"/>
            <w:noProof/>
            <w:webHidden/>
          </w:rPr>
          <w:fldChar w:fldCharType="begin"/>
        </w:r>
        <w:r w:rsidRPr="006D733D">
          <w:rPr>
            <w:bCs w:val="0"/>
            <w:noProof/>
            <w:webHidden/>
          </w:rPr>
          <w:instrText xml:space="preserve"> PAGEREF _Toc223731896 \h </w:instrText>
        </w:r>
        <w:r w:rsidRPr="006D733D">
          <w:rPr>
            <w:bCs w:val="0"/>
            <w:noProof/>
            <w:webHidden/>
          </w:rPr>
        </w:r>
        <w:r w:rsidRPr="006D733D">
          <w:rPr>
            <w:bCs w:val="0"/>
            <w:noProof/>
            <w:webHidden/>
          </w:rPr>
          <w:fldChar w:fldCharType="separate"/>
        </w:r>
        <w:r w:rsidRPr="006D733D">
          <w:rPr>
            <w:bCs w:val="0"/>
            <w:noProof/>
            <w:webHidden/>
          </w:rPr>
          <w:t>9</w:t>
        </w:r>
        <w:r w:rsidRPr="006D733D">
          <w:rPr>
            <w:bCs w:val="0"/>
            <w:noProof/>
            <w:webHidden/>
          </w:rPr>
          <w:fldChar w:fldCharType="end"/>
        </w:r>
      </w:hyperlink>
    </w:p>
    <w:p w14:paraId="68E594F2" w14:textId="63DC6A7F"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897" w:history="1">
        <w:r w:rsidRPr="006D733D">
          <w:rPr>
            <w:rStyle w:val="Hyperlink"/>
            <w:rFonts w:eastAsia="Times New Roman" w:cs="Arial"/>
            <w:bCs w:val="0"/>
            <w:noProof/>
          </w:rPr>
          <w:t>A.</w:t>
        </w:r>
        <w:r w:rsidRPr="006D733D">
          <w:rPr>
            <w:rFonts w:asciiTheme="minorHAnsi" w:hAnsiTheme="minorHAnsi" w:cstheme="minorBidi"/>
            <w:bCs w:val="0"/>
            <w:noProof/>
            <w:kern w:val="2"/>
            <w:sz w:val="24"/>
            <w:szCs w:val="24"/>
            <w14:ligatures w14:val="standardContextual"/>
          </w:rPr>
          <w:tab/>
        </w:r>
        <w:r w:rsidRPr="006D733D">
          <w:rPr>
            <w:rStyle w:val="Hyperlink"/>
            <w:rFonts w:cs="Arial"/>
            <w:bCs w:val="0"/>
            <w:noProof/>
          </w:rPr>
          <w:t>Factors Relevant to the Primary Purpose Analysis</w:t>
        </w:r>
        <w:r w:rsidRPr="006D733D">
          <w:rPr>
            <w:rStyle w:val="Hyperlink"/>
            <w:rFonts w:eastAsia="Calibri" w:cs="Arial"/>
            <w:bCs w:val="0"/>
            <w:noProof/>
          </w:rPr>
          <w:t>.</w:t>
        </w:r>
        <w:r w:rsidRPr="006D733D">
          <w:rPr>
            <w:bCs w:val="0"/>
            <w:noProof/>
            <w:webHidden/>
          </w:rPr>
          <w:tab/>
        </w:r>
        <w:r w:rsidRPr="006D733D">
          <w:rPr>
            <w:bCs w:val="0"/>
            <w:noProof/>
            <w:webHidden/>
          </w:rPr>
          <w:fldChar w:fldCharType="begin"/>
        </w:r>
        <w:r w:rsidRPr="006D733D">
          <w:rPr>
            <w:bCs w:val="0"/>
            <w:noProof/>
            <w:webHidden/>
          </w:rPr>
          <w:instrText xml:space="preserve"> PAGEREF _Toc223731897 \h </w:instrText>
        </w:r>
        <w:r w:rsidRPr="006D733D">
          <w:rPr>
            <w:bCs w:val="0"/>
            <w:noProof/>
            <w:webHidden/>
          </w:rPr>
        </w:r>
        <w:r w:rsidRPr="006D733D">
          <w:rPr>
            <w:bCs w:val="0"/>
            <w:noProof/>
            <w:webHidden/>
          </w:rPr>
          <w:fldChar w:fldCharType="separate"/>
        </w:r>
        <w:r w:rsidRPr="006D733D">
          <w:rPr>
            <w:bCs w:val="0"/>
            <w:noProof/>
            <w:webHidden/>
          </w:rPr>
          <w:t>9</w:t>
        </w:r>
        <w:r w:rsidRPr="006D733D">
          <w:rPr>
            <w:bCs w:val="0"/>
            <w:noProof/>
            <w:webHidden/>
          </w:rPr>
          <w:fldChar w:fldCharType="end"/>
        </w:r>
      </w:hyperlink>
    </w:p>
    <w:p w14:paraId="4A8FF5FC" w14:textId="6AEB4F11"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898" w:history="1">
        <w:r w:rsidRPr="006D733D">
          <w:rPr>
            <w:rStyle w:val="Hyperlink"/>
            <w:rFonts w:eastAsia="Times New Roman" w:cs="Arial"/>
            <w:bCs w:val="0"/>
            <w:noProof/>
          </w:rPr>
          <w:t>B.</w:t>
        </w:r>
        <w:r w:rsidRPr="006D733D">
          <w:rPr>
            <w:rFonts w:asciiTheme="minorHAnsi" w:hAnsiTheme="minorHAnsi" w:cstheme="minorBidi"/>
            <w:bCs w:val="0"/>
            <w:noProof/>
            <w:kern w:val="2"/>
            <w:sz w:val="24"/>
            <w:szCs w:val="24"/>
            <w14:ligatures w14:val="standardContextual"/>
          </w:rPr>
          <w:tab/>
        </w:r>
        <w:r w:rsidRPr="006D733D">
          <w:rPr>
            <w:rStyle w:val="Hyperlink"/>
            <w:rFonts w:cs="Arial"/>
            <w:bCs w:val="0"/>
            <w:noProof/>
          </w:rPr>
          <w:t>Statements with Mixed Purposes.</w:t>
        </w:r>
        <w:r w:rsidRPr="006D733D">
          <w:rPr>
            <w:bCs w:val="0"/>
            <w:noProof/>
            <w:webHidden/>
          </w:rPr>
          <w:tab/>
        </w:r>
        <w:r w:rsidRPr="006D733D">
          <w:rPr>
            <w:bCs w:val="0"/>
            <w:noProof/>
            <w:webHidden/>
          </w:rPr>
          <w:fldChar w:fldCharType="begin"/>
        </w:r>
        <w:r w:rsidRPr="006D733D">
          <w:rPr>
            <w:bCs w:val="0"/>
            <w:noProof/>
            <w:webHidden/>
          </w:rPr>
          <w:instrText xml:space="preserve"> PAGEREF _Toc223731898 \h </w:instrText>
        </w:r>
        <w:r w:rsidRPr="006D733D">
          <w:rPr>
            <w:bCs w:val="0"/>
            <w:noProof/>
            <w:webHidden/>
          </w:rPr>
        </w:r>
        <w:r w:rsidRPr="006D733D">
          <w:rPr>
            <w:bCs w:val="0"/>
            <w:noProof/>
            <w:webHidden/>
          </w:rPr>
          <w:fldChar w:fldCharType="separate"/>
        </w:r>
        <w:r w:rsidRPr="006D733D">
          <w:rPr>
            <w:bCs w:val="0"/>
            <w:noProof/>
            <w:webHidden/>
          </w:rPr>
          <w:t>12</w:t>
        </w:r>
        <w:r w:rsidRPr="006D733D">
          <w:rPr>
            <w:bCs w:val="0"/>
            <w:noProof/>
            <w:webHidden/>
          </w:rPr>
          <w:fldChar w:fldCharType="end"/>
        </w:r>
      </w:hyperlink>
    </w:p>
    <w:p w14:paraId="0FDC97DF" w14:textId="57DA493C"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899" w:history="1">
        <w:r w:rsidRPr="006D733D">
          <w:rPr>
            <w:rStyle w:val="Hyperlink"/>
            <w:rFonts w:eastAsia="Times New Roman" w:cs="Arial"/>
            <w:bCs w:val="0"/>
            <w:noProof/>
          </w:rPr>
          <w:t>C.</w:t>
        </w:r>
        <w:r w:rsidRPr="006D733D">
          <w:rPr>
            <w:rFonts w:asciiTheme="minorHAnsi" w:hAnsiTheme="minorHAnsi" w:cstheme="minorBidi"/>
            <w:bCs w:val="0"/>
            <w:noProof/>
            <w:kern w:val="2"/>
            <w:sz w:val="24"/>
            <w:szCs w:val="24"/>
            <w14:ligatures w14:val="standardContextual"/>
          </w:rPr>
          <w:tab/>
        </w:r>
        <w:r w:rsidRPr="006D733D">
          <w:rPr>
            <w:rStyle w:val="Hyperlink"/>
            <w:rFonts w:cs="Arial"/>
            <w:bCs w:val="0"/>
            <w:noProof/>
          </w:rPr>
          <w:t>Categorically Testimonial Statements</w:t>
        </w:r>
        <w:r w:rsidRPr="006D733D">
          <w:rPr>
            <w:rStyle w:val="Hyperlink"/>
            <w:rFonts w:eastAsia="Times New Roman" w:cs="Arial"/>
            <w:bCs w:val="0"/>
            <w:noProof/>
          </w:rPr>
          <w:t>.</w:t>
        </w:r>
        <w:r w:rsidRPr="006D733D">
          <w:rPr>
            <w:bCs w:val="0"/>
            <w:noProof/>
            <w:webHidden/>
          </w:rPr>
          <w:tab/>
        </w:r>
        <w:r w:rsidRPr="006D733D">
          <w:rPr>
            <w:bCs w:val="0"/>
            <w:noProof/>
            <w:webHidden/>
          </w:rPr>
          <w:fldChar w:fldCharType="begin"/>
        </w:r>
        <w:r w:rsidRPr="006D733D">
          <w:rPr>
            <w:bCs w:val="0"/>
            <w:noProof/>
            <w:webHidden/>
          </w:rPr>
          <w:instrText xml:space="preserve"> PAGEREF _Toc223731899 \h </w:instrText>
        </w:r>
        <w:r w:rsidRPr="006D733D">
          <w:rPr>
            <w:bCs w:val="0"/>
            <w:noProof/>
            <w:webHidden/>
          </w:rPr>
        </w:r>
        <w:r w:rsidRPr="006D733D">
          <w:rPr>
            <w:bCs w:val="0"/>
            <w:noProof/>
            <w:webHidden/>
          </w:rPr>
          <w:fldChar w:fldCharType="separate"/>
        </w:r>
        <w:r w:rsidRPr="006D733D">
          <w:rPr>
            <w:bCs w:val="0"/>
            <w:noProof/>
            <w:webHidden/>
          </w:rPr>
          <w:t>13</w:t>
        </w:r>
        <w:r w:rsidRPr="006D733D">
          <w:rPr>
            <w:bCs w:val="0"/>
            <w:noProof/>
            <w:webHidden/>
          </w:rPr>
          <w:fldChar w:fldCharType="end"/>
        </w:r>
      </w:hyperlink>
    </w:p>
    <w:p w14:paraId="1CBAF8E4" w14:textId="49214C91"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00" w:history="1">
        <w:r w:rsidRPr="006D733D">
          <w:rPr>
            <w:rStyle w:val="Hyperlink"/>
            <w:rFonts w:cs="Arial"/>
            <w:bCs w:val="0"/>
            <w:noProof/>
          </w:rPr>
          <w:t>D.</w:t>
        </w:r>
        <w:r w:rsidRPr="006D733D">
          <w:rPr>
            <w:rFonts w:asciiTheme="minorHAnsi" w:hAnsiTheme="minorHAnsi" w:cstheme="minorBidi"/>
            <w:bCs w:val="0"/>
            <w:noProof/>
            <w:kern w:val="2"/>
            <w:sz w:val="24"/>
            <w:szCs w:val="24"/>
            <w14:ligatures w14:val="standardContextual"/>
          </w:rPr>
          <w:tab/>
        </w:r>
        <w:r w:rsidRPr="006D733D">
          <w:rPr>
            <w:rStyle w:val="Hyperlink"/>
            <w:rFonts w:cs="Arial"/>
            <w:bCs w:val="0"/>
            <w:noProof/>
          </w:rPr>
          <w:t>Reports, Records, and Logs.</w:t>
        </w:r>
        <w:r w:rsidRPr="006D733D">
          <w:rPr>
            <w:bCs w:val="0"/>
            <w:noProof/>
            <w:webHidden/>
          </w:rPr>
          <w:tab/>
        </w:r>
        <w:r w:rsidRPr="006D733D">
          <w:rPr>
            <w:bCs w:val="0"/>
            <w:noProof/>
            <w:webHidden/>
          </w:rPr>
          <w:fldChar w:fldCharType="begin"/>
        </w:r>
        <w:r w:rsidRPr="006D733D">
          <w:rPr>
            <w:bCs w:val="0"/>
            <w:noProof/>
            <w:webHidden/>
          </w:rPr>
          <w:instrText xml:space="preserve"> PAGEREF _Toc223731900 \h </w:instrText>
        </w:r>
        <w:r w:rsidRPr="006D733D">
          <w:rPr>
            <w:bCs w:val="0"/>
            <w:noProof/>
            <w:webHidden/>
          </w:rPr>
        </w:r>
        <w:r w:rsidRPr="006D733D">
          <w:rPr>
            <w:bCs w:val="0"/>
            <w:noProof/>
            <w:webHidden/>
          </w:rPr>
          <w:fldChar w:fldCharType="separate"/>
        </w:r>
        <w:r w:rsidRPr="006D733D">
          <w:rPr>
            <w:bCs w:val="0"/>
            <w:noProof/>
            <w:webHidden/>
          </w:rPr>
          <w:t>13</w:t>
        </w:r>
        <w:r w:rsidRPr="006D733D">
          <w:rPr>
            <w:bCs w:val="0"/>
            <w:noProof/>
            <w:webHidden/>
          </w:rPr>
          <w:fldChar w:fldCharType="end"/>
        </w:r>
      </w:hyperlink>
    </w:p>
    <w:p w14:paraId="4BEB031E" w14:textId="4F223005"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01" w:history="1">
        <w:r w:rsidRPr="006D733D">
          <w:rPr>
            <w:rStyle w:val="Hyperlink"/>
            <w:rFonts w:eastAsia="Times New Roman" w:cs="Arial"/>
            <w:bCs w:val="0"/>
            <w:noProof/>
          </w:rPr>
          <w:t>E.</w:t>
        </w:r>
        <w:r w:rsidRPr="006D733D">
          <w:rPr>
            <w:rFonts w:asciiTheme="minorHAnsi" w:hAnsiTheme="minorHAnsi" w:cstheme="minorBidi"/>
            <w:bCs w:val="0"/>
            <w:noProof/>
            <w:kern w:val="2"/>
            <w:sz w:val="24"/>
            <w:szCs w:val="24"/>
            <w14:ligatures w14:val="standardContextual"/>
          </w:rPr>
          <w:tab/>
        </w:r>
        <w:r w:rsidRPr="006D733D">
          <w:rPr>
            <w:rStyle w:val="Hyperlink"/>
            <w:rFonts w:cs="Arial"/>
            <w:bCs w:val="0"/>
            <w:noProof/>
          </w:rPr>
          <w:t>Chain of Custody Evidence</w:t>
        </w:r>
        <w:r w:rsidRPr="006D733D">
          <w:rPr>
            <w:rStyle w:val="Hyperlink"/>
            <w:rFonts w:eastAsia="Times New Roman" w:cs="Arial"/>
            <w:bCs w:val="0"/>
            <w:noProof/>
          </w:rPr>
          <w:t>.</w:t>
        </w:r>
        <w:r w:rsidRPr="006D733D">
          <w:rPr>
            <w:bCs w:val="0"/>
            <w:noProof/>
            <w:webHidden/>
          </w:rPr>
          <w:tab/>
        </w:r>
        <w:r w:rsidRPr="006D733D">
          <w:rPr>
            <w:bCs w:val="0"/>
            <w:noProof/>
            <w:webHidden/>
          </w:rPr>
          <w:fldChar w:fldCharType="begin"/>
        </w:r>
        <w:r w:rsidRPr="006D733D">
          <w:rPr>
            <w:bCs w:val="0"/>
            <w:noProof/>
            <w:webHidden/>
          </w:rPr>
          <w:instrText xml:space="preserve"> PAGEREF _Toc223731901 \h </w:instrText>
        </w:r>
        <w:r w:rsidRPr="006D733D">
          <w:rPr>
            <w:bCs w:val="0"/>
            <w:noProof/>
            <w:webHidden/>
          </w:rPr>
        </w:r>
        <w:r w:rsidRPr="006D733D">
          <w:rPr>
            <w:bCs w:val="0"/>
            <w:noProof/>
            <w:webHidden/>
          </w:rPr>
          <w:fldChar w:fldCharType="separate"/>
        </w:r>
        <w:r w:rsidRPr="006D733D">
          <w:rPr>
            <w:bCs w:val="0"/>
            <w:noProof/>
            <w:webHidden/>
          </w:rPr>
          <w:t>16</w:t>
        </w:r>
        <w:r w:rsidRPr="006D733D">
          <w:rPr>
            <w:bCs w:val="0"/>
            <w:noProof/>
            <w:webHidden/>
          </w:rPr>
          <w:fldChar w:fldCharType="end"/>
        </w:r>
      </w:hyperlink>
    </w:p>
    <w:p w14:paraId="11E369E5" w14:textId="21765654" w:rsidR="006D733D" w:rsidRPr="006D733D" w:rsidRDefault="006D733D">
      <w:pPr>
        <w:pStyle w:val="TOC1"/>
        <w:tabs>
          <w:tab w:val="left" w:pos="720"/>
          <w:tab w:val="right" w:leader="dot" w:pos="9350"/>
        </w:tabs>
        <w:rPr>
          <w:rFonts w:asciiTheme="minorHAnsi" w:hAnsiTheme="minorHAnsi" w:cstheme="minorBidi"/>
          <w:bCs w:val="0"/>
          <w:noProof/>
          <w:kern w:val="2"/>
          <w:sz w:val="24"/>
          <w14:ligatures w14:val="standardContextual"/>
        </w:rPr>
      </w:pPr>
      <w:hyperlink w:anchor="_Toc223731902" w:history="1">
        <w:r w:rsidRPr="006D733D">
          <w:rPr>
            <w:rStyle w:val="Hyperlink"/>
            <w:bCs w:val="0"/>
            <w:noProof/>
          </w:rPr>
          <w:t>V.</w:t>
        </w:r>
        <w:r w:rsidRPr="006D733D">
          <w:rPr>
            <w:rFonts w:asciiTheme="minorHAnsi" w:hAnsiTheme="minorHAnsi" w:cstheme="minorBidi"/>
            <w:bCs w:val="0"/>
            <w:noProof/>
            <w:kern w:val="2"/>
            <w:sz w:val="24"/>
            <w14:ligatures w14:val="standardContextual"/>
          </w:rPr>
          <w:tab/>
        </w:r>
        <w:r w:rsidRPr="006D733D">
          <w:rPr>
            <w:rStyle w:val="Hyperlink"/>
            <w:bCs w:val="0"/>
            <w:noProof/>
          </w:rPr>
          <w:t>Forensic Reports.</w:t>
        </w:r>
        <w:r w:rsidRPr="006D733D">
          <w:rPr>
            <w:bCs w:val="0"/>
            <w:noProof/>
            <w:webHidden/>
          </w:rPr>
          <w:tab/>
        </w:r>
        <w:r w:rsidRPr="006D733D">
          <w:rPr>
            <w:bCs w:val="0"/>
            <w:noProof/>
            <w:webHidden/>
          </w:rPr>
          <w:fldChar w:fldCharType="begin"/>
        </w:r>
        <w:r w:rsidRPr="006D733D">
          <w:rPr>
            <w:bCs w:val="0"/>
            <w:noProof/>
            <w:webHidden/>
          </w:rPr>
          <w:instrText xml:space="preserve"> PAGEREF _Toc223731902 \h </w:instrText>
        </w:r>
        <w:r w:rsidRPr="006D733D">
          <w:rPr>
            <w:bCs w:val="0"/>
            <w:noProof/>
            <w:webHidden/>
          </w:rPr>
        </w:r>
        <w:r w:rsidRPr="006D733D">
          <w:rPr>
            <w:bCs w:val="0"/>
            <w:noProof/>
            <w:webHidden/>
          </w:rPr>
          <w:fldChar w:fldCharType="separate"/>
        </w:r>
        <w:r w:rsidRPr="006D733D">
          <w:rPr>
            <w:bCs w:val="0"/>
            <w:noProof/>
            <w:webHidden/>
          </w:rPr>
          <w:t>17</w:t>
        </w:r>
        <w:r w:rsidRPr="006D733D">
          <w:rPr>
            <w:bCs w:val="0"/>
            <w:noProof/>
            <w:webHidden/>
          </w:rPr>
          <w:fldChar w:fldCharType="end"/>
        </w:r>
      </w:hyperlink>
    </w:p>
    <w:p w14:paraId="5C62416B" w14:textId="04408EB0"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03" w:history="1">
        <w:r w:rsidRPr="006D733D">
          <w:rPr>
            <w:rStyle w:val="Hyperlink"/>
            <w:rFonts w:eastAsiaTheme="minorHAnsi"/>
            <w:bCs w:val="0"/>
            <w:noProof/>
          </w:rPr>
          <w:t>A.</w:t>
        </w:r>
        <w:r w:rsidRPr="006D733D">
          <w:rPr>
            <w:rFonts w:asciiTheme="minorHAnsi" w:hAnsiTheme="minorHAnsi" w:cstheme="minorBidi"/>
            <w:bCs w:val="0"/>
            <w:noProof/>
            <w:kern w:val="2"/>
            <w:sz w:val="24"/>
            <w:szCs w:val="24"/>
            <w14:ligatures w14:val="standardContextual"/>
          </w:rPr>
          <w:tab/>
        </w:r>
        <w:r w:rsidRPr="006D733D">
          <w:rPr>
            <w:rStyle w:val="Hyperlink"/>
            <w:rFonts w:eastAsiaTheme="minorHAnsi"/>
            <w:bCs w:val="0"/>
            <w:noProof/>
          </w:rPr>
          <w:t>Whether a Forensic Report is Offered for its Truth</w:t>
        </w:r>
        <w:r w:rsidRPr="006D733D">
          <w:rPr>
            <w:bCs w:val="0"/>
            <w:noProof/>
            <w:webHidden/>
          </w:rPr>
          <w:tab/>
        </w:r>
        <w:r w:rsidRPr="006D733D">
          <w:rPr>
            <w:bCs w:val="0"/>
            <w:noProof/>
            <w:webHidden/>
          </w:rPr>
          <w:fldChar w:fldCharType="begin"/>
        </w:r>
        <w:r w:rsidRPr="006D733D">
          <w:rPr>
            <w:bCs w:val="0"/>
            <w:noProof/>
            <w:webHidden/>
          </w:rPr>
          <w:instrText xml:space="preserve"> PAGEREF _Toc223731903 \h </w:instrText>
        </w:r>
        <w:r w:rsidRPr="006D733D">
          <w:rPr>
            <w:bCs w:val="0"/>
            <w:noProof/>
            <w:webHidden/>
          </w:rPr>
        </w:r>
        <w:r w:rsidRPr="006D733D">
          <w:rPr>
            <w:bCs w:val="0"/>
            <w:noProof/>
            <w:webHidden/>
          </w:rPr>
          <w:fldChar w:fldCharType="separate"/>
        </w:r>
        <w:r w:rsidRPr="006D733D">
          <w:rPr>
            <w:bCs w:val="0"/>
            <w:noProof/>
            <w:webHidden/>
          </w:rPr>
          <w:t>17</w:t>
        </w:r>
        <w:r w:rsidRPr="006D733D">
          <w:rPr>
            <w:bCs w:val="0"/>
            <w:noProof/>
            <w:webHidden/>
          </w:rPr>
          <w:fldChar w:fldCharType="end"/>
        </w:r>
      </w:hyperlink>
    </w:p>
    <w:p w14:paraId="40748DCC" w14:textId="35CBA302"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04" w:history="1">
        <w:r w:rsidRPr="006D733D">
          <w:rPr>
            <w:rStyle w:val="Hyperlink"/>
            <w:rFonts w:eastAsia="Times New Roman" w:cs="Times New Roman"/>
            <w:bCs w:val="0"/>
            <w:noProof/>
          </w:rPr>
          <w:t>B.</w:t>
        </w:r>
        <w:r w:rsidRPr="006D733D">
          <w:rPr>
            <w:rFonts w:asciiTheme="minorHAnsi" w:hAnsiTheme="minorHAnsi" w:cstheme="minorBidi"/>
            <w:bCs w:val="0"/>
            <w:noProof/>
            <w:kern w:val="2"/>
            <w:sz w:val="24"/>
            <w:szCs w:val="24"/>
            <w14:ligatures w14:val="standardContextual"/>
          </w:rPr>
          <w:tab/>
        </w:r>
        <w:r w:rsidRPr="006D733D">
          <w:rPr>
            <w:rStyle w:val="Hyperlink"/>
            <w:rFonts w:eastAsiaTheme="minorHAnsi"/>
            <w:bCs w:val="0"/>
            <w:noProof/>
          </w:rPr>
          <w:t>Whether a Forensic Report is Testimonial</w:t>
        </w:r>
        <w:r w:rsidRPr="006D733D">
          <w:rPr>
            <w:bCs w:val="0"/>
            <w:noProof/>
            <w:webHidden/>
          </w:rPr>
          <w:tab/>
        </w:r>
        <w:r w:rsidRPr="006D733D">
          <w:rPr>
            <w:bCs w:val="0"/>
            <w:noProof/>
            <w:webHidden/>
          </w:rPr>
          <w:fldChar w:fldCharType="begin"/>
        </w:r>
        <w:r w:rsidRPr="006D733D">
          <w:rPr>
            <w:bCs w:val="0"/>
            <w:noProof/>
            <w:webHidden/>
          </w:rPr>
          <w:instrText xml:space="preserve"> PAGEREF _Toc223731904 \h </w:instrText>
        </w:r>
        <w:r w:rsidRPr="006D733D">
          <w:rPr>
            <w:bCs w:val="0"/>
            <w:noProof/>
            <w:webHidden/>
          </w:rPr>
        </w:r>
        <w:r w:rsidRPr="006D733D">
          <w:rPr>
            <w:bCs w:val="0"/>
            <w:noProof/>
            <w:webHidden/>
          </w:rPr>
          <w:fldChar w:fldCharType="separate"/>
        </w:r>
        <w:r w:rsidRPr="006D733D">
          <w:rPr>
            <w:bCs w:val="0"/>
            <w:noProof/>
            <w:webHidden/>
          </w:rPr>
          <w:t>17</w:t>
        </w:r>
        <w:r w:rsidRPr="006D733D">
          <w:rPr>
            <w:bCs w:val="0"/>
            <w:noProof/>
            <w:webHidden/>
          </w:rPr>
          <w:fldChar w:fldCharType="end"/>
        </w:r>
      </w:hyperlink>
    </w:p>
    <w:p w14:paraId="5270A27A" w14:textId="14A78B43"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05" w:history="1">
        <w:r w:rsidRPr="006D733D">
          <w:rPr>
            <w:rStyle w:val="Hyperlink"/>
            <w:rFonts w:eastAsia="Times New Roman"/>
            <w:bCs w:val="0"/>
            <w:noProof/>
          </w:rPr>
          <w:t>C.</w:t>
        </w:r>
        <w:r w:rsidRPr="006D733D">
          <w:rPr>
            <w:rFonts w:asciiTheme="minorHAnsi" w:hAnsiTheme="minorHAnsi" w:cstheme="minorBidi"/>
            <w:bCs w:val="0"/>
            <w:noProof/>
            <w:kern w:val="2"/>
            <w:sz w:val="24"/>
            <w:szCs w:val="24"/>
            <w14:ligatures w14:val="standardContextual"/>
          </w:rPr>
          <w:tab/>
        </w:r>
        <w:r w:rsidRPr="006D733D">
          <w:rPr>
            <w:rStyle w:val="Hyperlink"/>
            <w:rFonts w:eastAsiaTheme="minorHAnsi"/>
            <w:bCs w:val="0"/>
            <w:noProof/>
          </w:rPr>
          <w:t>Surrogate Testimony</w:t>
        </w:r>
        <w:r w:rsidRPr="006D733D">
          <w:rPr>
            <w:bCs w:val="0"/>
            <w:noProof/>
            <w:webHidden/>
          </w:rPr>
          <w:tab/>
        </w:r>
        <w:r w:rsidRPr="006D733D">
          <w:rPr>
            <w:bCs w:val="0"/>
            <w:noProof/>
            <w:webHidden/>
          </w:rPr>
          <w:fldChar w:fldCharType="begin"/>
        </w:r>
        <w:r w:rsidRPr="006D733D">
          <w:rPr>
            <w:bCs w:val="0"/>
            <w:noProof/>
            <w:webHidden/>
          </w:rPr>
          <w:instrText xml:space="preserve"> PAGEREF _Toc223731905 \h </w:instrText>
        </w:r>
        <w:r w:rsidRPr="006D733D">
          <w:rPr>
            <w:bCs w:val="0"/>
            <w:noProof/>
            <w:webHidden/>
          </w:rPr>
        </w:r>
        <w:r w:rsidRPr="006D733D">
          <w:rPr>
            <w:bCs w:val="0"/>
            <w:noProof/>
            <w:webHidden/>
          </w:rPr>
          <w:fldChar w:fldCharType="separate"/>
        </w:r>
        <w:r w:rsidRPr="006D733D">
          <w:rPr>
            <w:bCs w:val="0"/>
            <w:noProof/>
            <w:webHidden/>
          </w:rPr>
          <w:t>18</w:t>
        </w:r>
        <w:r w:rsidRPr="006D733D">
          <w:rPr>
            <w:bCs w:val="0"/>
            <w:noProof/>
            <w:webHidden/>
          </w:rPr>
          <w:fldChar w:fldCharType="end"/>
        </w:r>
      </w:hyperlink>
    </w:p>
    <w:p w14:paraId="4615F438" w14:textId="7428C73F"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06" w:history="1">
        <w:r w:rsidRPr="006D733D">
          <w:rPr>
            <w:rStyle w:val="Hyperlink"/>
            <w:rFonts w:eastAsia="Times New Roman" w:cs="Times New Roman"/>
            <w:bCs w:val="0"/>
            <w:noProof/>
          </w:rPr>
          <w:t>D.</w:t>
        </w:r>
        <w:r w:rsidRPr="006D733D">
          <w:rPr>
            <w:rFonts w:asciiTheme="minorHAnsi" w:hAnsiTheme="minorHAnsi" w:cstheme="minorBidi"/>
            <w:bCs w:val="0"/>
            <w:noProof/>
            <w:kern w:val="2"/>
            <w:sz w:val="24"/>
            <w:szCs w:val="24"/>
            <w14:ligatures w14:val="standardContextual"/>
          </w:rPr>
          <w:tab/>
        </w:r>
        <w:r w:rsidRPr="006D733D">
          <w:rPr>
            <w:rStyle w:val="Hyperlink"/>
            <w:rFonts w:eastAsiaTheme="minorHAnsi"/>
            <w:bCs w:val="0"/>
            <w:noProof/>
          </w:rPr>
          <w:t>Substitute Analysts</w:t>
        </w:r>
        <w:r w:rsidRPr="006D733D">
          <w:rPr>
            <w:bCs w:val="0"/>
            <w:noProof/>
            <w:webHidden/>
          </w:rPr>
          <w:tab/>
        </w:r>
        <w:r w:rsidRPr="006D733D">
          <w:rPr>
            <w:bCs w:val="0"/>
            <w:noProof/>
            <w:webHidden/>
          </w:rPr>
          <w:fldChar w:fldCharType="begin"/>
        </w:r>
        <w:r w:rsidRPr="006D733D">
          <w:rPr>
            <w:bCs w:val="0"/>
            <w:noProof/>
            <w:webHidden/>
          </w:rPr>
          <w:instrText xml:space="preserve"> PAGEREF _Toc223731906 \h </w:instrText>
        </w:r>
        <w:r w:rsidRPr="006D733D">
          <w:rPr>
            <w:bCs w:val="0"/>
            <w:noProof/>
            <w:webHidden/>
          </w:rPr>
        </w:r>
        <w:r w:rsidRPr="006D733D">
          <w:rPr>
            <w:bCs w:val="0"/>
            <w:noProof/>
            <w:webHidden/>
          </w:rPr>
          <w:fldChar w:fldCharType="separate"/>
        </w:r>
        <w:r w:rsidRPr="006D733D">
          <w:rPr>
            <w:bCs w:val="0"/>
            <w:noProof/>
            <w:webHidden/>
          </w:rPr>
          <w:t>18</w:t>
        </w:r>
        <w:r w:rsidRPr="006D733D">
          <w:rPr>
            <w:bCs w:val="0"/>
            <w:noProof/>
            <w:webHidden/>
          </w:rPr>
          <w:fldChar w:fldCharType="end"/>
        </w:r>
      </w:hyperlink>
    </w:p>
    <w:p w14:paraId="5346D046" w14:textId="0BE47306"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07" w:history="1">
        <w:r w:rsidRPr="006D733D">
          <w:rPr>
            <w:rStyle w:val="Hyperlink"/>
            <w:rFonts w:eastAsia="Times New Roman" w:cs="Times New Roman"/>
            <w:bCs w:val="0"/>
            <w:noProof/>
          </w:rPr>
          <w:t>E.</w:t>
        </w:r>
        <w:r w:rsidRPr="006D733D">
          <w:rPr>
            <w:rFonts w:asciiTheme="minorHAnsi" w:hAnsiTheme="minorHAnsi" w:cstheme="minorBidi"/>
            <w:bCs w:val="0"/>
            <w:noProof/>
            <w:kern w:val="2"/>
            <w:sz w:val="24"/>
            <w:szCs w:val="24"/>
            <w14:ligatures w14:val="standardContextual"/>
          </w:rPr>
          <w:tab/>
        </w:r>
        <w:r w:rsidRPr="006D733D">
          <w:rPr>
            <w:rStyle w:val="Hyperlink"/>
            <w:rFonts w:eastAsiaTheme="minorHAnsi"/>
            <w:bCs w:val="0"/>
            <w:noProof/>
          </w:rPr>
          <w:t>Machine Generated Data Associated with Forensic Reports</w:t>
        </w:r>
        <w:r w:rsidRPr="006D733D">
          <w:rPr>
            <w:bCs w:val="0"/>
            <w:noProof/>
            <w:webHidden/>
          </w:rPr>
          <w:tab/>
        </w:r>
        <w:r w:rsidRPr="006D733D">
          <w:rPr>
            <w:bCs w:val="0"/>
            <w:noProof/>
            <w:webHidden/>
          </w:rPr>
          <w:fldChar w:fldCharType="begin"/>
        </w:r>
        <w:r w:rsidRPr="006D733D">
          <w:rPr>
            <w:bCs w:val="0"/>
            <w:noProof/>
            <w:webHidden/>
          </w:rPr>
          <w:instrText xml:space="preserve"> PAGEREF _Toc223731907 \h </w:instrText>
        </w:r>
        <w:r w:rsidRPr="006D733D">
          <w:rPr>
            <w:bCs w:val="0"/>
            <w:noProof/>
            <w:webHidden/>
          </w:rPr>
        </w:r>
        <w:r w:rsidRPr="006D733D">
          <w:rPr>
            <w:bCs w:val="0"/>
            <w:noProof/>
            <w:webHidden/>
          </w:rPr>
          <w:fldChar w:fldCharType="separate"/>
        </w:r>
        <w:r w:rsidRPr="006D733D">
          <w:rPr>
            <w:bCs w:val="0"/>
            <w:noProof/>
            <w:webHidden/>
          </w:rPr>
          <w:t>21</w:t>
        </w:r>
        <w:r w:rsidRPr="006D733D">
          <w:rPr>
            <w:bCs w:val="0"/>
            <w:noProof/>
            <w:webHidden/>
          </w:rPr>
          <w:fldChar w:fldCharType="end"/>
        </w:r>
      </w:hyperlink>
    </w:p>
    <w:p w14:paraId="5EB0F5A7" w14:textId="4111B331" w:rsidR="006D733D" w:rsidRPr="006D733D" w:rsidRDefault="006D733D">
      <w:pPr>
        <w:pStyle w:val="TOC1"/>
        <w:tabs>
          <w:tab w:val="left" w:pos="720"/>
          <w:tab w:val="right" w:leader="dot" w:pos="9350"/>
        </w:tabs>
        <w:rPr>
          <w:rFonts w:asciiTheme="minorHAnsi" w:hAnsiTheme="minorHAnsi" w:cstheme="minorBidi"/>
          <w:bCs w:val="0"/>
          <w:noProof/>
          <w:kern w:val="2"/>
          <w:sz w:val="24"/>
          <w14:ligatures w14:val="standardContextual"/>
        </w:rPr>
      </w:pPr>
      <w:hyperlink w:anchor="_Toc223731908" w:history="1">
        <w:r w:rsidRPr="006D733D">
          <w:rPr>
            <w:rStyle w:val="Hyperlink"/>
            <w:bCs w:val="0"/>
            <w:noProof/>
          </w:rPr>
          <w:t>VI.</w:t>
        </w:r>
        <w:r w:rsidRPr="006D733D">
          <w:rPr>
            <w:rFonts w:asciiTheme="minorHAnsi" w:hAnsiTheme="minorHAnsi" w:cstheme="minorBidi"/>
            <w:bCs w:val="0"/>
            <w:noProof/>
            <w:kern w:val="2"/>
            <w:sz w:val="24"/>
            <w14:ligatures w14:val="standardContextual"/>
          </w:rPr>
          <w:tab/>
        </w:r>
        <w:r w:rsidRPr="006D733D">
          <w:rPr>
            <w:rStyle w:val="Hyperlink"/>
            <w:bCs w:val="0"/>
            <w:noProof/>
          </w:rPr>
          <w:t>Exceptions to the Crawford Rule.</w:t>
        </w:r>
        <w:r w:rsidRPr="006D733D">
          <w:rPr>
            <w:bCs w:val="0"/>
            <w:noProof/>
            <w:webHidden/>
          </w:rPr>
          <w:tab/>
        </w:r>
        <w:r w:rsidRPr="006D733D">
          <w:rPr>
            <w:bCs w:val="0"/>
            <w:noProof/>
            <w:webHidden/>
          </w:rPr>
          <w:fldChar w:fldCharType="begin"/>
        </w:r>
        <w:r w:rsidRPr="006D733D">
          <w:rPr>
            <w:bCs w:val="0"/>
            <w:noProof/>
            <w:webHidden/>
          </w:rPr>
          <w:instrText xml:space="preserve"> PAGEREF _Toc223731908 \h </w:instrText>
        </w:r>
        <w:r w:rsidRPr="006D733D">
          <w:rPr>
            <w:bCs w:val="0"/>
            <w:noProof/>
            <w:webHidden/>
          </w:rPr>
        </w:r>
        <w:r w:rsidRPr="006D733D">
          <w:rPr>
            <w:bCs w:val="0"/>
            <w:noProof/>
            <w:webHidden/>
          </w:rPr>
          <w:fldChar w:fldCharType="separate"/>
        </w:r>
        <w:r w:rsidRPr="006D733D">
          <w:rPr>
            <w:bCs w:val="0"/>
            <w:noProof/>
            <w:webHidden/>
          </w:rPr>
          <w:t>21</w:t>
        </w:r>
        <w:r w:rsidRPr="006D733D">
          <w:rPr>
            <w:bCs w:val="0"/>
            <w:noProof/>
            <w:webHidden/>
          </w:rPr>
          <w:fldChar w:fldCharType="end"/>
        </w:r>
      </w:hyperlink>
    </w:p>
    <w:p w14:paraId="45CCFAE8" w14:textId="284340EE"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09" w:history="1">
        <w:r w:rsidRPr="006D733D">
          <w:rPr>
            <w:rStyle w:val="Hyperlink"/>
            <w:bCs w:val="0"/>
            <w:iCs/>
            <w:noProof/>
          </w:rPr>
          <w:t>A.</w:t>
        </w:r>
        <w:r w:rsidRPr="006D733D">
          <w:rPr>
            <w:rFonts w:asciiTheme="minorHAnsi" w:hAnsiTheme="minorHAnsi" w:cstheme="minorBidi"/>
            <w:bCs w:val="0"/>
            <w:noProof/>
            <w:kern w:val="2"/>
            <w:sz w:val="24"/>
            <w:szCs w:val="24"/>
            <w14:ligatures w14:val="standardContextual"/>
          </w:rPr>
          <w:tab/>
        </w:r>
        <w:r w:rsidRPr="006D733D">
          <w:rPr>
            <w:rStyle w:val="Hyperlink"/>
            <w:bCs w:val="0"/>
            <w:noProof/>
          </w:rPr>
          <w:t>Forfeiture by Wrongdoing.</w:t>
        </w:r>
        <w:r w:rsidRPr="006D733D">
          <w:rPr>
            <w:bCs w:val="0"/>
            <w:noProof/>
            <w:webHidden/>
          </w:rPr>
          <w:tab/>
        </w:r>
        <w:r w:rsidRPr="006D733D">
          <w:rPr>
            <w:bCs w:val="0"/>
            <w:noProof/>
            <w:webHidden/>
          </w:rPr>
          <w:fldChar w:fldCharType="begin"/>
        </w:r>
        <w:r w:rsidRPr="006D733D">
          <w:rPr>
            <w:bCs w:val="0"/>
            <w:noProof/>
            <w:webHidden/>
          </w:rPr>
          <w:instrText xml:space="preserve"> PAGEREF _Toc223731909 \h </w:instrText>
        </w:r>
        <w:r w:rsidRPr="006D733D">
          <w:rPr>
            <w:bCs w:val="0"/>
            <w:noProof/>
            <w:webHidden/>
          </w:rPr>
        </w:r>
        <w:r w:rsidRPr="006D733D">
          <w:rPr>
            <w:bCs w:val="0"/>
            <w:noProof/>
            <w:webHidden/>
          </w:rPr>
          <w:fldChar w:fldCharType="separate"/>
        </w:r>
        <w:r w:rsidRPr="006D733D">
          <w:rPr>
            <w:bCs w:val="0"/>
            <w:noProof/>
            <w:webHidden/>
          </w:rPr>
          <w:t>21</w:t>
        </w:r>
        <w:r w:rsidRPr="006D733D">
          <w:rPr>
            <w:bCs w:val="0"/>
            <w:noProof/>
            <w:webHidden/>
          </w:rPr>
          <w:fldChar w:fldCharType="end"/>
        </w:r>
      </w:hyperlink>
    </w:p>
    <w:p w14:paraId="63C27E0E" w14:textId="2F471336"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10" w:history="1">
        <w:r w:rsidRPr="006D733D">
          <w:rPr>
            <w:rStyle w:val="Hyperlink"/>
            <w:rFonts w:cs="Arial"/>
            <w:bCs w:val="0"/>
            <w:iCs/>
            <w:noProof/>
          </w:rPr>
          <w:t>B.</w:t>
        </w:r>
        <w:r w:rsidRPr="006D733D">
          <w:rPr>
            <w:rFonts w:asciiTheme="minorHAnsi" w:hAnsiTheme="minorHAnsi" w:cstheme="minorBidi"/>
            <w:bCs w:val="0"/>
            <w:noProof/>
            <w:kern w:val="2"/>
            <w:sz w:val="24"/>
            <w:szCs w:val="24"/>
            <w14:ligatures w14:val="standardContextual"/>
          </w:rPr>
          <w:tab/>
        </w:r>
        <w:r w:rsidRPr="006D733D">
          <w:rPr>
            <w:rStyle w:val="Hyperlink"/>
            <w:rFonts w:cs="Arial"/>
            <w:bCs w:val="0"/>
            <w:noProof/>
          </w:rPr>
          <w:t>Dying Declarations.</w:t>
        </w:r>
        <w:r w:rsidRPr="006D733D">
          <w:rPr>
            <w:bCs w:val="0"/>
            <w:noProof/>
            <w:webHidden/>
          </w:rPr>
          <w:tab/>
        </w:r>
        <w:r w:rsidRPr="006D733D">
          <w:rPr>
            <w:bCs w:val="0"/>
            <w:noProof/>
            <w:webHidden/>
          </w:rPr>
          <w:fldChar w:fldCharType="begin"/>
        </w:r>
        <w:r w:rsidRPr="006D733D">
          <w:rPr>
            <w:bCs w:val="0"/>
            <w:noProof/>
            <w:webHidden/>
          </w:rPr>
          <w:instrText xml:space="preserve"> PAGEREF _Toc223731910 \h </w:instrText>
        </w:r>
        <w:r w:rsidRPr="006D733D">
          <w:rPr>
            <w:bCs w:val="0"/>
            <w:noProof/>
            <w:webHidden/>
          </w:rPr>
        </w:r>
        <w:r w:rsidRPr="006D733D">
          <w:rPr>
            <w:bCs w:val="0"/>
            <w:noProof/>
            <w:webHidden/>
          </w:rPr>
          <w:fldChar w:fldCharType="separate"/>
        </w:r>
        <w:r w:rsidRPr="006D733D">
          <w:rPr>
            <w:bCs w:val="0"/>
            <w:noProof/>
            <w:webHidden/>
          </w:rPr>
          <w:t>23</w:t>
        </w:r>
        <w:r w:rsidRPr="006D733D">
          <w:rPr>
            <w:bCs w:val="0"/>
            <w:noProof/>
            <w:webHidden/>
          </w:rPr>
          <w:fldChar w:fldCharType="end"/>
        </w:r>
      </w:hyperlink>
    </w:p>
    <w:p w14:paraId="376ACEE1" w14:textId="4FA01158"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11" w:history="1">
        <w:r w:rsidRPr="006D733D">
          <w:rPr>
            <w:rStyle w:val="Hyperlink"/>
            <w:bCs w:val="0"/>
            <w:iCs/>
            <w:noProof/>
          </w:rPr>
          <w:t>C.</w:t>
        </w:r>
        <w:r w:rsidRPr="006D733D">
          <w:rPr>
            <w:rFonts w:asciiTheme="minorHAnsi" w:hAnsiTheme="minorHAnsi" w:cstheme="minorBidi"/>
            <w:bCs w:val="0"/>
            <w:noProof/>
            <w:kern w:val="2"/>
            <w:sz w:val="24"/>
            <w:szCs w:val="24"/>
            <w14:ligatures w14:val="standardContextual"/>
          </w:rPr>
          <w:tab/>
        </w:r>
        <w:r w:rsidRPr="006D733D">
          <w:rPr>
            <w:rStyle w:val="Hyperlink"/>
            <w:bCs w:val="0"/>
            <w:noProof/>
          </w:rPr>
          <w:t>Opening the Door.</w:t>
        </w:r>
        <w:r w:rsidRPr="006D733D">
          <w:rPr>
            <w:bCs w:val="0"/>
            <w:noProof/>
            <w:webHidden/>
          </w:rPr>
          <w:tab/>
        </w:r>
        <w:r w:rsidRPr="006D733D">
          <w:rPr>
            <w:bCs w:val="0"/>
            <w:noProof/>
            <w:webHidden/>
          </w:rPr>
          <w:fldChar w:fldCharType="begin"/>
        </w:r>
        <w:r w:rsidRPr="006D733D">
          <w:rPr>
            <w:bCs w:val="0"/>
            <w:noProof/>
            <w:webHidden/>
          </w:rPr>
          <w:instrText xml:space="preserve"> PAGEREF _Toc223731911 \h </w:instrText>
        </w:r>
        <w:r w:rsidRPr="006D733D">
          <w:rPr>
            <w:bCs w:val="0"/>
            <w:noProof/>
            <w:webHidden/>
          </w:rPr>
        </w:r>
        <w:r w:rsidRPr="006D733D">
          <w:rPr>
            <w:bCs w:val="0"/>
            <w:noProof/>
            <w:webHidden/>
          </w:rPr>
          <w:fldChar w:fldCharType="separate"/>
        </w:r>
        <w:r w:rsidRPr="006D733D">
          <w:rPr>
            <w:bCs w:val="0"/>
            <w:noProof/>
            <w:webHidden/>
          </w:rPr>
          <w:t>23</w:t>
        </w:r>
        <w:r w:rsidRPr="006D733D">
          <w:rPr>
            <w:bCs w:val="0"/>
            <w:noProof/>
            <w:webHidden/>
          </w:rPr>
          <w:fldChar w:fldCharType="end"/>
        </w:r>
      </w:hyperlink>
    </w:p>
    <w:p w14:paraId="178F67E1" w14:textId="307C5D05"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12" w:history="1">
        <w:r w:rsidRPr="006D733D">
          <w:rPr>
            <w:rStyle w:val="Hyperlink"/>
            <w:bCs w:val="0"/>
            <w:iCs/>
            <w:noProof/>
          </w:rPr>
          <w:t>D.</w:t>
        </w:r>
        <w:r w:rsidRPr="006D733D">
          <w:rPr>
            <w:rFonts w:asciiTheme="minorHAnsi" w:hAnsiTheme="minorHAnsi" w:cstheme="minorBidi"/>
            <w:bCs w:val="0"/>
            <w:noProof/>
            <w:kern w:val="2"/>
            <w:sz w:val="24"/>
            <w:szCs w:val="24"/>
            <w14:ligatures w14:val="standardContextual"/>
          </w:rPr>
          <w:tab/>
        </w:r>
        <w:r w:rsidRPr="006D733D">
          <w:rPr>
            <w:rStyle w:val="Hyperlink"/>
            <w:bCs w:val="0"/>
            <w:noProof/>
          </w:rPr>
          <w:t>Rule of Completeness.</w:t>
        </w:r>
        <w:r w:rsidRPr="006D733D">
          <w:rPr>
            <w:bCs w:val="0"/>
            <w:noProof/>
            <w:webHidden/>
          </w:rPr>
          <w:tab/>
        </w:r>
        <w:r w:rsidRPr="006D733D">
          <w:rPr>
            <w:bCs w:val="0"/>
            <w:noProof/>
            <w:webHidden/>
          </w:rPr>
          <w:fldChar w:fldCharType="begin"/>
        </w:r>
        <w:r w:rsidRPr="006D733D">
          <w:rPr>
            <w:bCs w:val="0"/>
            <w:noProof/>
            <w:webHidden/>
          </w:rPr>
          <w:instrText xml:space="preserve"> PAGEREF _Toc223731912 \h </w:instrText>
        </w:r>
        <w:r w:rsidRPr="006D733D">
          <w:rPr>
            <w:bCs w:val="0"/>
            <w:noProof/>
            <w:webHidden/>
          </w:rPr>
        </w:r>
        <w:r w:rsidRPr="006D733D">
          <w:rPr>
            <w:bCs w:val="0"/>
            <w:noProof/>
            <w:webHidden/>
          </w:rPr>
          <w:fldChar w:fldCharType="separate"/>
        </w:r>
        <w:r w:rsidRPr="006D733D">
          <w:rPr>
            <w:bCs w:val="0"/>
            <w:noProof/>
            <w:webHidden/>
          </w:rPr>
          <w:t>24</w:t>
        </w:r>
        <w:r w:rsidRPr="006D733D">
          <w:rPr>
            <w:bCs w:val="0"/>
            <w:noProof/>
            <w:webHidden/>
          </w:rPr>
          <w:fldChar w:fldCharType="end"/>
        </w:r>
      </w:hyperlink>
    </w:p>
    <w:p w14:paraId="7390E9EB" w14:textId="37B348DF" w:rsidR="006D733D" w:rsidRPr="006D733D" w:rsidRDefault="006D733D">
      <w:pPr>
        <w:pStyle w:val="TOC1"/>
        <w:tabs>
          <w:tab w:val="left" w:pos="720"/>
          <w:tab w:val="right" w:leader="dot" w:pos="9350"/>
        </w:tabs>
        <w:rPr>
          <w:rFonts w:asciiTheme="minorHAnsi" w:hAnsiTheme="minorHAnsi" w:cstheme="minorBidi"/>
          <w:bCs w:val="0"/>
          <w:noProof/>
          <w:kern w:val="2"/>
          <w:sz w:val="24"/>
          <w14:ligatures w14:val="standardContextual"/>
        </w:rPr>
      </w:pPr>
      <w:hyperlink w:anchor="_Toc223731913" w:history="1">
        <w:r w:rsidRPr="006D733D">
          <w:rPr>
            <w:rStyle w:val="Hyperlink"/>
            <w:bCs w:val="0"/>
            <w:noProof/>
          </w:rPr>
          <w:t>VII.</w:t>
        </w:r>
        <w:r w:rsidRPr="006D733D">
          <w:rPr>
            <w:rFonts w:asciiTheme="minorHAnsi" w:hAnsiTheme="minorHAnsi" w:cstheme="minorBidi"/>
            <w:bCs w:val="0"/>
            <w:noProof/>
            <w:kern w:val="2"/>
            <w:sz w:val="24"/>
            <w14:ligatures w14:val="standardContextual"/>
          </w:rPr>
          <w:tab/>
        </w:r>
        <w:r w:rsidRPr="006D733D">
          <w:rPr>
            <w:rStyle w:val="Hyperlink"/>
            <w:bCs w:val="0"/>
            <w:noProof/>
          </w:rPr>
          <w:t>Waiver.</w:t>
        </w:r>
        <w:r w:rsidRPr="006D733D">
          <w:rPr>
            <w:bCs w:val="0"/>
            <w:noProof/>
            <w:webHidden/>
          </w:rPr>
          <w:tab/>
        </w:r>
        <w:r w:rsidRPr="006D733D">
          <w:rPr>
            <w:bCs w:val="0"/>
            <w:noProof/>
            <w:webHidden/>
          </w:rPr>
          <w:fldChar w:fldCharType="begin"/>
        </w:r>
        <w:r w:rsidRPr="006D733D">
          <w:rPr>
            <w:bCs w:val="0"/>
            <w:noProof/>
            <w:webHidden/>
          </w:rPr>
          <w:instrText xml:space="preserve"> PAGEREF _Toc223731913 \h </w:instrText>
        </w:r>
        <w:r w:rsidRPr="006D733D">
          <w:rPr>
            <w:bCs w:val="0"/>
            <w:noProof/>
            <w:webHidden/>
          </w:rPr>
        </w:r>
        <w:r w:rsidRPr="006D733D">
          <w:rPr>
            <w:bCs w:val="0"/>
            <w:noProof/>
            <w:webHidden/>
          </w:rPr>
          <w:fldChar w:fldCharType="separate"/>
        </w:r>
        <w:r w:rsidRPr="006D733D">
          <w:rPr>
            <w:bCs w:val="0"/>
            <w:noProof/>
            <w:webHidden/>
          </w:rPr>
          <w:t>25</w:t>
        </w:r>
        <w:r w:rsidRPr="006D733D">
          <w:rPr>
            <w:bCs w:val="0"/>
            <w:noProof/>
            <w:webHidden/>
          </w:rPr>
          <w:fldChar w:fldCharType="end"/>
        </w:r>
      </w:hyperlink>
    </w:p>
    <w:p w14:paraId="196ACBA4" w14:textId="25A43F8A"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14" w:history="1">
        <w:r w:rsidRPr="006D733D">
          <w:rPr>
            <w:rStyle w:val="Hyperlink"/>
            <w:rFonts w:cs="Arial"/>
            <w:bCs w:val="0"/>
            <w:noProof/>
          </w:rPr>
          <w:t>A.</w:t>
        </w:r>
        <w:r w:rsidRPr="006D733D">
          <w:rPr>
            <w:rFonts w:asciiTheme="minorHAnsi" w:hAnsiTheme="minorHAnsi" w:cstheme="minorBidi"/>
            <w:bCs w:val="0"/>
            <w:noProof/>
            <w:kern w:val="2"/>
            <w:sz w:val="24"/>
            <w:szCs w:val="24"/>
            <w14:ligatures w14:val="standardContextual"/>
          </w:rPr>
          <w:tab/>
        </w:r>
        <w:r w:rsidRPr="006D733D">
          <w:rPr>
            <w:rStyle w:val="Hyperlink"/>
            <w:rFonts w:cs="Arial"/>
            <w:bCs w:val="0"/>
            <w:noProof/>
          </w:rPr>
          <w:t>Generally.</w:t>
        </w:r>
        <w:r w:rsidRPr="006D733D">
          <w:rPr>
            <w:bCs w:val="0"/>
            <w:noProof/>
            <w:webHidden/>
          </w:rPr>
          <w:tab/>
        </w:r>
        <w:r w:rsidRPr="006D733D">
          <w:rPr>
            <w:bCs w:val="0"/>
            <w:noProof/>
            <w:webHidden/>
          </w:rPr>
          <w:fldChar w:fldCharType="begin"/>
        </w:r>
        <w:r w:rsidRPr="006D733D">
          <w:rPr>
            <w:bCs w:val="0"/>
            <w:noProof/>
            <w:webHidden/>
          </w:rPr>
          <w:instrText xml:space="preserve"> PAGEREF _Toc223731914 \h </w:instrText>
        </w:r>
        <w:r w:rsidRPr="006D733D">
          <w:rPr>
            <w:bCs w:val="0"/>
            <w:noProof/>
            <w:webHidden/>
          </w:rPr>
        </w:r>
        <w:r w:rsidRPr="006D733D">
          <w:rPr>
            <w:bCs w:val="0"/>
            <w:noProof/>
            <w:webHidden/>
          </w:rPr>
          <w:fldChar w:fldCharType="separate"/>
        </w:r>
        <w:r w:rsidRPr="006D733D">
          <w:rPr>
            <w:bCs w:val="0"/>
            <w:noProof/>
            <w:webHidden/>
          </w:rPr>
          <w:t>25</w:t>
        </w:r>
        <w:r w:rsidRPr="006D733D">
          <w:rPr>
            <w:bCs w:val="0"/>
            <w:noProof/>
            <w:webHidden/>
          </w:rPr>
          <w:fldChar w:fldCharType="end"/>
        </w:r>
      </w:hyperlink>
    </w:p>
    <w:p w14:paraId="31132261" w14:textId="3CC3DF1A"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15" w:history="1">
        <w:r w:rsidRPr="006D733D">
          <w:rPr>
            <w:rStyle w:val="Hyperlink"/>
            <w:rFonts w:cs="Arial"/>
            <w:bCs w:val="0"/>
            <w:noProof/>
          </w:rPr>
          <w:t>B.</w:t>
        </w:r>
        <w:r w:rsidRPr="006D733D">
          <w:rPr>
            <w:rFonts w:asciiTheme="minorHAnsi" w:hAnsiTheme="minorHAnsi" w:cstheme="minorBidi"/>
            <w:bCs w:val="0"/>
            <w:noProof/>
            <w:kern w:val="2"/>
            <w:sz w:val="24"/>
            <w:szCs w:val="24"/>
            <w14:ligatures w14:val="standardContextual"/>
          </w:rPr>
          <w:tab/>
        </w:r>
        <w:r w:rsidRPr="006D733D">
          <w:rPr>
            <w:rStyle w:val="Hyperlink"/>
            <w:rFonts w:cs="Arial"/>
            <w:bCs w:val="0"/>
            <w:noProof/>
          </w:rPr>
          <w:t>Notice and Demand Statutes.</w:t>
        </w:r>
        <w:r w:rsidRPr="006D733D">
          <w:rPr>
            <w:bCs w:val="0"/>
            <w:noProof/>
            <w:webHidden/>
          </w:rPr>
          <w:tab/>
        </w:r>
        <w:r w:rsidRPr="006D733D">
          <w:rPr>
            <w:bCs w:val="0"/>
            <w:noProof/>
            <w:webHidden/>
          </w:rPr>
          <w:fldChar w:fldCharType="begin"/>
        </w:r>
        <w:r w:rsidRPr="006D733D">
          <w:rPr>
            <w:bCs w:val="0"/>
            <w:noProof/>
            <w:webHidden/>
          </w:rPr>
          <w:instrText xml:space="preserve"> PAGEREF _Toc223731915 \h </w:instrText>
        </w:r>
        <w:r w:rsidRPr="006D733D">
          <w:rPr>
            <w:bCs w:val="0"/>
            <w:noProof/>
            <w:webHidden/>
          </w:rPr>
        </w:r>
        <w:r w:rsidRPr="006D733D">
          <w:rPr>
            <w:bCs w:val="0"/>
            <w:noProof/>
            <w:webHidden/>
          </w:rPr>
          <w:fldChar w:fldCharType="separate"/>
        </w:r>
        <w:r w:rsidRPr="006D733D">
          <w:rPr>
            <w:bCs w:val="0"/>
            <w:noProof/>
            <w:webHidden/>
          </w:rPr>
          <w:t>25</w:t>
        </w:r>
        <w:r w:rsidRPr="006D733D">
          <w:rPr>
            <w:bCs w:val="0"/>
            <w:noProof/>
            <w:webHidden/>
          </w:rPr>
          <w:fldChar w:fldCharType="end"/>
        </w:r>
      </w:hyperlink>
    </w:p>
    <w:p w14:paraId="461AA7DF" w14:textId="1ECBFE01"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16" w:history="1">
        <w:r w:rsidRPr="006D733D">
          <w:rPr>
            <w:rStyle w:val="Hyperlink"/>
            <w:bCs w:val="0"/>
            <w:noProof/>
          </w:rPr>
          <w:t>C.</w:t>
        </w:r>
        <w:r w:rsidRPr="006D733D">
          <w:rPr>
            <w:rFonts w:asciiTheme="minorHAnsi" w:hAnsiTheme="minorHAnsi" w:cstheme="minorBidi"/>
            <w:bCs w:val="0"/>
            <w:noProof/>
            <w:kern w:val="2"/>
            <w:sz w:val="24"/>
            <w:szCs w:val="24"/>
            <w14:ligatures w14:val="standardContextual"/>
          </w:rPr>
          <w:tab/>
        </w:r>
        <w:r w:rsidRPr="006D733D">
          <w:rPr>
            <w:rStyle w:val="Hyperlink"/>
            <w:bCs w:val="0"/>
            <w:noProof/>
          </w:rPr>
          <w:t>Failure to Call or Subpoena Witness.</w:t>
        </w:r>
        <w:r w:rsidRPr="006D733D">
          <w:rPr>
            <w:bCs w:val="0"/>
            <w:noProof/>
            <w:webHidden/>
          </w:rPr>
          <w:tab/>
        </w:r>
        <w:r w:rsidRPr="006D733D">
          <w:rPr>
            <w:bCs w:val="0"/>
            <w:noProof/>
            <w:webHidden/>
          </w:rPr>
          <w:fldChar w:fldCharType="begin"/>
        </w:r>
        <w:r w:rsidRPr="006D733D">
          <w:rPr>
            <w:bCs w:val="0"/>
            <w:noProof/>
            <w:webHidden/>
          </w:rPr>
          <w:instrText xml:space="preserve"> PAGEREF _Toc223731916 \h </w:instrText>
        </w:r>
        <w:r w:rsidRPr="006D733D">
          <w:rPr>
            <w:bCs w:val="0"/>
            <w:noProof/>
            <w:webHidden/>
          </w:rPr>
        </w:r>
        <w:r w:rsidRPr="006D733D">
          <w:rPr>
            <w:bCs w:val="0"/>
            <w:noProof/>
            <w:webHidden/>
          </w:rPr>
          <w:fldChar w:fldCharType="separate"/>
        </w:r>
        <w:r w:rsidRPr="006D733D">
          <w:rPr>
            <w:bCs w:val="0"/>
            <w:noProof/>
            <w:webHidden/>
          </w:rPr>
          <w:t>29</w:t>
        </w:r>
        <w:r w:rsidRPr="006D733D">
          <w:rPr>
            <w:bCs w:val="0"/>
            <w:noProof/>
            <w:webHidden/>
          </w:rPr>
          <w:fldChar w:fldCharType="end"/>
        </w:r>
      </w:hyperlink>
    </w:p>
    <w:p w14:paraId="07A6FE8A" w14:textId="2492AC30"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17" w:history="1">
        <w:r w:rsidRPr="006D733D">
          <w:rPr>
            <w:rStyle w:val="Hyperlink"/>
            <w:bCs w:val="0"/>
            <w:noProof/>
          </w:rPr>
          <w:t>D.</w:t>
        </w:r>
        <w:r w:rsidRPr="006D733D">
          <w:rPr>
            <w:rFonts w:asciiTheme="minorHAnsi" w:hAnsiTheme="minorHAnsi" w:cstheme="minorBidi"/>
            <w:bCs w:val="0"/>
            <w:noProof/>
            <w:kern w:val="2"/>
            <w:sz w:val="24"/>
            <w:szCs w:val="24"/>
            <w14:ligatures w14:val="standardContextual"/>
          </w:rPr>
          <w:tab/>
        </w:r>
        <w:r w:rsidRPr="006D733D">
          <w:rPr>
            <w:rStyle w:val="Hyperlink"/>
            <w:bCs w:val="0"/>
            <w:noProof/>
          </w:rPr>
          <w:t>Stipulations as Waivers.</w:t>
        </w:r>
        <w:r w:rsidRPr="006D733D">
          <w:rPr>
            <w:bCs w:val="0"/>
            <w:noProof/>
            <w:webHidden/>
          </w:rPr>
          <w:tab/>
        </w:r>
        <w:r w:rsidRPr="006D733D">
          <w:rPr>
            <w:bCs w:val="0"/>
            <w:noProof/>
            <w:webHidden/>
          </w:rPr>
          <w:fldChar w:fldCharType="begin"/>
        </w:r>
        <w:r w:rsidRPr="006D733D">
          <w:rPr>
            <w:bCs w:val="0"/>
            <w:noProof/>
            <w:webHidden/>
          </w:rPr>
          <w:instrText xml:space="preserve"> PAGEREF _Toc223731917 \h </w:instrText>
        </w:r>
        <w:r w:rsidRPr="006D733D">
          <w:rPr>
            <w:bCs w:val="0"/>
            <w:noProof/>
            <w:webHidden/>
          </w:rPr>
        </w:r>
        <w:r w:rsidRPr="006D733D">
          <w:rPr>
            <w:bCs w:val="0"/>
            <w:noProof/>
            <w:webHidden/>
          </w:rPr>
          <w:fldChar w:fldCharType="separate"/>
        </w:r>
        <w:r w:rsidRPr="006D733D">
          <w:rPr>
            <w:bCs w:val="0"/>
            <w:noProof/>
            <w:webHidden/>
          </w:rPr>
          <w:t>29</w:t>
        </w:r>
        <w:r w:rsidRPr="006D733D">
          <w:rPr>
            <w:bCs w:val="0"/>
            <w:noProof/>
            <w:webHidden/>
          </w:rPr>
          <w:fldChar w:fldCharType="end"/>
        </w:r>
      </w:hyperlink>
    </w:p>
    <w:p w14:paraId="2C7FB685" w14:textId="3EADC5E6"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18" w:history="1">
        <w:r w:rsidRPr="006D733D">
          <w:rPr>
            <w:rStyle w:val="Hyperlink"/>
            <w:bCs w:val="0"/>
            <w:noProof/>
          </w:rPr>
          <w:t>E.</w:t>
        </w:r>
        <w:r w:rsidRPr="006D733D">
          <w:rPr>
            <w:rFonts w:asciiTheme="minorHAnsi" w:hAnsiTheme="minorHAnsi" w:cstheme="minorBidi"/>
            <w:bCs w:val="0"/>
            <w:noProof/>
            <w:kern w:val="2"/>
            <w:sz w:val="24"/>
            <w:szCs w:val="24"/>
            <w14:ligatures w14:val="standardContextual"/>
          </w:rPr>
          <w:tab/>
        </w:r>
        <w:r w:rsidRPr="006D733D">
          <w:rPr>
            <w:rStyle w:val="Hyperlink"/>
            <w:bCs w:val="0"/>
            <w:noProof/>
          </w:rPr>
          <w:t>Disruptive Behavior as Waiver.</w:t>
        </w:r>
        <w:r w:rsidRPr="006D733D">
          <w:rPr>
            <w:bCs w:val="0"/>
            <w:noProof/>
            <w:webHidden/>
          </w:rPr>
          <w:tab/>
        </w:r>
        <w:r w:rsidRPr="006D733D">
          <w:rPr>
            <w:bCs w:val="0"/>
            <w:noProof/>
            <w:webHidden/>
          </w:rPr>
          <w:fldChar w:fldCharType="begin"/>
        </w:r>
        <w:r w:rsidRPr="006D733D">
          <w:rPr>
            <w:bCs w:val="0"/>
            <w:noProof/>
            <w:webHidden/>
          </w:rPr>
          <w:instrText xml:space="preserve"> PAGEREF _Toc223731918 \h </w:instrText>
        </w:r>
        <w:r w:rsidRPr="006D733D">
          <w:rPr>
            <w:bCs w:val="0"/>
            <w:noProof/>
            <w:webHidden/>
          </w:rPr>
        </w:r>
        <w:r w:rsidRPr="006D733D">
          <w:rPr>
            <w:bCs w:val="0"/>
            <w:noProof/>
            <w:webHidden/>
          </w:rPr>
          <w:fldChar w:fldCharType="separate"/>
        </w:r>
        <w:r w:rsidRPr="006D733D">
          <w:rPr>
            <w:bCs w:val="0"/>
            <w:noProof/>
            <w:webHidden/>
          </w:rPr>
          <w:t>29</w:t>
        </w:r>
        <w:r w:rsidRPr="006D733D">
          <w:rPr>
            <w:bCs w:val="0"/>
            <w:noProof/>
            <w:webHidden/>
          </w:rPr>
          <w:fldChar w:fldCharType="end"/>
        </w:r>
      </w:hyperlink>
    </w:p>
    <w:p w14:paraId="3A89E39C" w14:textId="7A532F78"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19" w:history="1">
        <w:r w:rsidRPr="006D733D">
          <w:rPr>
            <w:rStyle w:val="Hyperlink"/>
            <w:bCs w:val="0"/>
            <w:noProof/>
          </w:rPr>
          <w:t>F.</w:t>
        </w:r>
        <w:r w:rsidRPr="006D733D">
          <w:rPr>
            <w:rFonts w:asciiTheme="minorHAnsi" w:hAnsiTheme="minorHAnsi" w:cstheme="minorBidi"/>
            <w:bCs w:val="0"/>
            <w:noProof/>
            <w:kern w:val="2"/>
            <w:sz w:val="24"/>
            <w:szCs w:val="24"/>
            <w14:ligatures w14:val="standardContextual"/>
          </w:rPr>
          <w:tab/>
        </w:r>
        <w:r w:rsidRPr="006D733D">
          <w:rPr>
            <w:rStyle w:val="Hyperlink"/>
            <w:bCs w:val="0"/>
            <w:noProof/>
          </w:rPr>
          <w:t>Failure to Raise Confrontation Objection.</w:t>
        </w:r>
        <w:r w:rsidRPr="006D733D">
          <w:rPr>
            <w:bCs w:val="0"/>
            <w:noProof/>
            <w:webHidden/>
          </w:rPr>
          <w:tab/>
        </w:r>
        <w:r w:rsidRPr="006D733D">
          <w:rPr>
            <w:bCs w:val="0"/>
            <w:noProof/>
            <w:webHidden/>
          </w:rPr>
          <w:fldChar w:fldCharType="begin"/>
        </w:r>
        <w:r w:rsidRPr="006D733D">
          <w:rPr>
            <w:bCs w:val="0"/>
            <w:noProof/>
            <w:webHidden/>
          </w:rPr>
          <w:instrText xml:space="preserve"> PAGEREF _Toc223731919 \h </w:instrText>
        </w:r>
        <w:r w:rsidRPr="006D733D">
          <w:rPr>
            <w:bCs w:val="0"/>
            <w:noProof/>
            <w:webHidden/>
          </w:rPr>
        </w:r>
        <w:r w:rsidRPr="006D733D">
          <w:rPr>
            <w:bCs w:val="0"/>
            <w:noProof/>
            <w:webHidden/>
          </w:rPr>
          <w:fldChar w:fldCharType="separate"/>
        </w:r>
        <w:r w:rsidRPr="006D733D">
          <w:rPr>
            <w:bCs w:val="0"/>
            <w:noProof/>
            <w:webHidden/>
          </w:rPr>
          <w:t>29</w:t>
        </w:r>
        <w:r w:rsidRPr="006D733D">
          <w:rPr>
            <w:bCs w:val="0"/>
            <w:noProof/>
            <w:webHidden/>
          </w:rPr>
          <w:fldChar w:fldCharType="end"/>
        </w:r>
      </w:hyperlink>
    </w:p>
    <w:p w14:paraId="56EDA299" w14:textId="11C05BBE"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20" w:history="1">
        <w:r w:rsidRPr="006D733D">
          <w:rPr>
            <w:rStyle w:val="Hyperlink"/>
            <w:bCs w:val="0"/>
            <w:noProof/>
          </w:rPr>
          <w:t>G.</w:t>
        </w:r>
        <w:r w:rsidRPr="006D733D">
          <w:rPr>
            <w:rFonts w:asciiTheme="minorHAnsi" w:hAnsiTheme="minorHAnsi" w:cstheme="minorBidi"/>
            <w:bCs w:val="0"/>
            <w:noProof/>
            <w:kern w:val="2"/>
            <w:sz w:val="24"/>
            <w:szCs w:val="24"/>
            <w14:ligatures w14:val="standardContextual"/>
          </w:rPr>
          <w:tab/>
        </w:r>
        <w:r w:rsidRPr="006D733D">
          <w:rPr>
            <w:rStyle w:val="Hyperlink"/>
            <w:bCs w:val="0"/>
            <w:noProof/>
          </w:rPr>
          <w:t>Rule of Completeness.</w:t>
        </w:r>
        <w:r w:rsidRPr="006D733D">
          <w:rPr>
            <w:bCs w:val="0"/>
            <w:noProof/>
            <w:webHidden/>
          </w:rPr>
          <w:tab/>
        </w:r>
        <w:r w:rsidRPr="006D733D">
          <w:rPr>
            <w:bCs w:val="0"/>
            <w:noProof/>
            <w:webHidden/>
          </w:rPr>
          <w:fldChar w:fldCharType="begin"/>
        </w:r>
        <w:r w:rsidRPr="006D733D">
          <w:rPr>
            <w:bCs w:val="0"/>
            <w:noProof/>
            <w:webHidden/>
          </w:rPr>
          <w:instrText xml:space="preserve"> PAGEREF _Toc223731920 \h </w:instrText>
        </w:r>
        <w:r w:rsidRPr="006D733D">
          <w:rPr>
            <w:bCs w:val="0"/>
            <w:noProof/>
            <w:webHidden/>
          </w:rPr>
        </w:r>
        <w:r w:rsidRPr="006D733D">
          <w:rPr>
            <w:bCs w:val="0"/>
            <w:noProof/>
            <w:webHidden/>
          </w:rPr>
          <w:fldChar w:fldCharType="separate"/>
        </w:r>
        <w:r w:rsidRPr="006D733D">
          <w:rPr>
            <w:bCs w:val="0"/>
            <w:noProof/>
            <w:webHidden/>
          </w:rPr>
          <w:t>30</w:t>
        </w:r>
        <w:r w:rsidRPr="006D733D">
          <w:rPr>
            <w:bCs w:val="0"/>
            <w:noProof/>
            <w:webHidden/>
          </w:rPr>
          <w:fldChar w:fldCharType="end"/>
        </w:r>
      </w:hyperlink>
    </w:p>
    <w:p w14:paraId="7583B9FF" w14:textId="6FA23A59" w:rsidR="006D733D" w:rsidRPr="006D733D" w:rsidRDefault="006D733D">
      <w:pPr>
        <w:pStyle w:val="TOC1"/>
        <w:tabs>
          <w:tab w:val="left" w:pos="720"/>
          <w:tab w:val="right" w:leader="dot" w:pos="9350"/>
        </w:tabs>
        <w:rPr>
          <w:rFonts w:asciiTheme="minorHAnsi" w:hAnsiTheme="minorHAnsi" w:cstheme="minorBidi"/>
          <w:bCs w:val="0"/>
          <w:noProof/>
          <w:kern w:val="2"/>
          <w:sz w:val="24"/>
          <w14:ligatures w14:val="standardContextual"/>
        </w:rPr>
      </w:pPr>
      <w:hyperlink w:anchor="_Toc223731921" w:history="1">
        <w:r w:rsidRPr="006D733D">
          <w:rPr>
            <w:rStyle w:val="Hyperlink"/>
            <w:bCs w:val="0"/>
            <w:noProof/>
          </w:rPr>
          <w:t>VIII.</w:t>
        </w:r>
        <w:r w:rsidRPr="006D733D">
          <w:rPr>
            <w:rFonts w:asciiTheme="minorHAnsi" w:hAnsiTheme="minorHAnsi" w:cstheme="minorBidi"/>
            <w:bCs w:val="0"/>
            <w:noProof/>
            <w:kern w:val="2"/>
            <w:sz w:val="24"/>
            <w14:ligatures w14:val="standardContextual"/>
          </w:rPr>
          <w:tab/>
        </w:r>
        <w:r w:rsidRPr="006D733D">
          <w:rPr>
            <w:rStyle w:val="Hyperlink"/>
            <w:bCs w:val="0"/>
            <w:noProof/>
          </w:rPr>
          <w:t>Unavailability.</w:t>
        </w:r>
        <w:r w:rsidRPr="006D733D">
          <w:rPr>
            <w:bCs w:val="0"/>
            <w:noProof/>
            <w:webHidden/>
          </w:rPr>
          <w:tab/>
        </w:r>
        <w:r w:rsidRPr="006D733D">
          <w:rPr>
            <w:bCs w:val="0"/>
            <w:noProof/>
            <w:webHidden/>
          </w:rPr>
          <w:fldChar w:fldCharType="begin"/>
        </w:r>
        <w:r w:rsidRPr="006D733D">
          <w:rPr>
            <w:bCs w:val="0"/>
            <w:noProof/>
            <w:webHidden/>
          </w:rPr>
          <w:instrText xml:space="preserve"> PAGEREF _Toc223731921 \h </w:instrText>
        </w:r>
        <w:r w:rsidRPr="006D733D">
          <w:rPr>
            <w:bCs w:val="0"/>
            <w:noProof/>
            <w:webHidden/>
          </w:rPr>
        </w:r>
        <w:r w:rsidRPr="006D733D">
          <w:rPr>
            <w:bCs w:val="0"/>
            <w:noProof/>
            <w:webHidden/>
          </w:rPr>
          <w:fldChar w:fldCharType="separate"/>
        </w:r>
        <w:r w:rsidRPr="006D733D">
          <w:rPr>
            <w:bCs w:val="0"/>
            <w:noProof/>
            <w:webHidden/>
          </w:rPr>
          <w:t>30</w:t>
        </w:r>
        <w:r w:rsidRPr="006D733D">
          <w:rPr>
            <w:bCs w:val="0"/>
            <w:noProof/>
            <w:webHidden/>
          </w:rPr>
          <w:fldChar w:fldCharType="end"/>
        </w:r>
      </w:hyperlink>
    </w:p>
    <w:p w14:paraId="5983537C" w14:textId="0BE4D5C0"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22" w:history="1">
        <w:r w:rsidRPr="006D733D">
          <w:rPr>
            <w:rStyle w:val="Hyperlink"/>
            <w:rFonts w:cs="Arial"/>
            <w:bCs w:val="0"/>
            <w:noProof/>
          </w:rPr>
          <w:t>A.</w:t>
        </w:r>
        <w:r w:rsidRPr="006D733D">
          <w:rPr>
            <w:rFonts w:asciiTheme="minorHAnsi" w:hAnsiTheme="minorHAnsi" w:cstheme="minorBidi"/>
            <w:bCs w:val="0"/>
            <w:noProof/>
            <w:kern w:val="2"/>
            <w:sz w:val="24"/>
            <w:szCs w:val="24"/>
            <w14:ligatures w14:val="standardContextual"/>
          </w:rPr>
          <w:tab/>
        </w:r>
        <w:r w:rsidRPr="006D733D">
          <w:rPr>
            <w:rStyle w:val="Hyperlink"/>
            <w:rFonts w:cs="Arial"/>
            <w:bCs w:val="0"/>
            <w:noProof/>
          </w:rPr>
          <w:t>Standard.</w:t>
        </w:r>
        <w:r w:rsidRPr="006D733D">
          <w:rPr>
            <w:bCs w:val="0"/>
            <w:noProof/>
            <w:webHidden/>
          </w:rPr>
          <w:tab/>
        </w:r>
        <w:r w:rsidRPr="006D733D">
          <w:rPr>
            <w:bCs w:val="0"/>
            <w:noProof/>
            <w:webHidden/>
          </w:rPr>
          <w:fldChar w:fldCharType="begin"/>
        </w:r>
        <w:r w:rsidRPr="006D733D">
          <w:rPr>
            <w:bCs w:val="0"/>
            <w:noProof/>
            <w:webHidden/>
          </w:rPr>
          <w:instrText xml:space="preserve"> PAGEREF _Toc223731922 \h </w:instrText>
        </w:r>
        <w:r w:rsidRPr="006D733D">
          <w:rPr>
            <w:bCs w:val="0"/>
            <w:noProof/>
            <w:webHidden/>
          </w:rPr>
        </w:r>
        <w:r w:rsidRPr="006D733D">
          <w:rPr>
            <w:bCs w:val="0"/>
            <w:noProof/>
            <w:webHidden/>
          </w:rPr>
          <w:fldChar w:fldCharType="separate"/>
        </w:r>
        <w:r w:rsidRPr="006D733D">
          <w:rPr>
            <w:bCs w:val="0"/>
            <w:noProof/>
            <w:webHidden/>
          </w:rPr>
          <w:t>30</w:t>
        </w:r>
        <w:r w:rsidRPr="006D733D">
          <w:rPr>
            <w:bCs w:val="0"/>
            <w:noProof/>
            <w:webHidden/>
          </w:rPr>
          <w:fldChar w:fldCharType="end"/>
        </w:r>
      </w:hyperlink>
    </w:p>
    <w:p w14:paraId="1E26B2D0" w14:textId="53311E71"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23" w:history="1">
        <w:r w:rsidRPr="006D733D">
          <w:rPr>
            <w:rStyle w:val="Hyperlink"/>
            <w:rFonts w:cs="Arial"/>
            <w:bCs w:val="0"/>
            <w:noProof/>
          </w:rPr>
          <w:t>B.</w:t>
        </w:r>
        <w:r w:rsidRPr="006D733D">
          <w:rPr>
            <w:rFonts w:asciiTheme="minorHAnsi" w:hAnsiTheme="minorHAnsi" w:cstheme="minorBidi"/>
            <w:bCs w:val="0"/>
            <w:noProof/>
            <w:kern w:val="2"/>
            <w:sz w:val="24"/>
            <w:szCs w:val="24"/>
            <w14:ligatures w14:val="standardContextual"/>
          </w:rPr>
          <w:tab/>
        </w:r>
        <w:r w:rsidRPr="006D733D">
          <w:rPr>
            <w:rStyle w:val="Hyperlink"/>
            <w:rFonts w:cs="Arial"/>
            <w:bCs w:val="0"/>
            <w:noProof/>
          </w:rPr>
          <w:t>Evidence Required.</w:t>
        </w:r>
        <w:r w:rsidRPr="006D733D">
          <w:rPr>
            <w:bCs w:val="0"/>
            <w:noProof/>
            <w:webHidden/>
          </w:rPr>
          <w:tab/>
        </w:r>
        <w:r w:rsidRPr="006D733D">
          <w:rPr>
            <w:bCs w:val="0"/>
            <w:noProof/>
            <w:webHidden/>
          </w:rPr>
          <w:fldChar w:fldCharType="begin"/>
        </w:r>
        <w:r w:rsidRPr="006D733D">
          <w:rPr>
            <w:bCs w:val="0"/>
            <w:noProof/>
            <w:webHidden/>
          </w:rPr>
          <w:instrText xml:space="preserve"> PAGEREF _Toc223731923 \h </w:instrText>
        </w:r>
        <w:r w:rsidRPr="006D733D">
          <w:rPr>
            <w:bCs w:val="0"/>
            <w:noProof/>
            <w:webHidden/>
          </w:rPr>
        </w:r>
        <w:r w:rsidRPr="006D733D">
          <w:rPr>
            <w:bCs w:val="0"/>
            <w:noProof/>
            <w:webHidden/>
          </w:rPr>
          <w:fldChar w:fldCharType="separate"/>
        </w:r>
        <w:r w:rsidRPr="006D733D">
          <w:rPr>
            <w:bCs w:val="0"/>
            <w:noProof/>
            <w:webHidden/>
          </w:rPr>
          <w:t>31</w:t>
        </w:r>
        <w:r w:rsidRPr="006D733D">
          <w:rPr>
            <w:bCs w:val="0"/>
            <w:noProof/>
            <w:webHidden/>
          </w:rPr>
          <w:fldChar w:fldCharType="end"/>
        </w:r>
      </w:hyperlink>
    </w:p>
    <w:p w14:paraId="4DA68537" w14:textId="57A94F86"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24" w:history="1">
        <w:r w:rsidRPr="006D733D">
          <w:rPr>
            <w:rStyle w:val="Hyperlink"/>
            <w:bCs w:val="0"/>
            <w:noProof/>
          </w:rPr>
          <w:t>C.</w:t>
        </w:r>
        <w:r w:rsidRPr="006D733D">
          <w:rPr>
            <w:rFonts w:asciiTheme="minorHAnsi" w:hAnsiTheme="minorHAnsi" w:cstheme="minorBidi"/>
            <w:bCs w:val="0"/>
            <w:noProof/>
            <w:kern w:val="2"/>
            <w:sz w:val="24"/>
            <w:szCs w:val="24"/>
            <w14:ligatures w14:val="standardContextual"/>
          </w:rPr>
          <w:tab/>
        </w:r>
        <w:r w:rsidRPr="006D733D">
          <w:rPr>
            <w:rStyle w:val="Hyperlink"/>
            <w:bCs w:val="0"/>
            <w:noProof/>
          </w:rPr>
          <w:t>Findings of Fact &amp; Conclusions of Law.</w:t>
        </w:r>
        <w:r w:rsidRPr="006D733D">
          <w:rPr>
            <w:bCs w:val="0"/>
            <w:noProof/>
            <w:webHidden/>
          </w:rPr>
          <w:tab/>
        </w:r>
        <w:r w:rsidRPr="006D733D">
          <w:rPr>
            <w:bCs w:val="0"/>
            <w:noProof/>
            <w:webHidden/>
          </w:rPr>
          <w:fldChar w:fldCharType="begin"/>
        </w:r>
        <w:r w:rsidRPr="006D733D">
          <w:rPr>
            <w:bCs w:val="0"/>
            <w:noProof/>
            <w:webHidden/>
          </w:rPr>
          <w:instrText xml:space="preserve"> PAGEREF _Toc223731924 \h </w:instrText>
        </w:r>
        <w:r w:rsidRPr="006D733D">
          <w:rPr>
            <w:bCs w:val="0"/>
            <w:noProof/>
            <w:webHidden/>
          </w:rPr>
        </w:r>
        <w:r w:rsidRPr="006D733D">
          <w:rPr>
            <w:bCs w:val="0"/>
            <w:noProof/>
            <w:webHidden/>
          </w:rPr>
          <w:fldChar w:fldCharType="separate"/>
        </w:r>
        <w:r w:rsidRPr="006D733D">
          <w:rPr>
            <w:bCs w:val="0"/>
            <w:noProof/>
            <w:webHidden/>
          </w:rPr>
          <w:t>31</w:t>
        </w:r>
        <w:r w:rsidRPr="006D733D">
          <w:rPr>
            <w:bCs w:val="0"/>
            <w:noProof/>
            <w:webHidden/>
          </w:rPr>
          <w:fldChar w:fldCharType="end"/>
        </w:r>
      </w:hyperlink>
    </w:p>
    <w:p w14:paraId="08517CE7" w14:textId="20A6FAB8" w:rsidR="006D733D" w:rsidRPr="006D733D" w:rsidRDefault="006D733D">
      <w:pPr>
        <w:pStyle w:val="TOC1"/>
        <w:tabs>
          <w:tab w:val="left" w:pos="720"/>
          <w:tab w:val="right" w:leader="dot" w:pos="9350"/>
        </w:tabs>
        <w:rPr>
          <w:rFonts w:asciiTheme="minorHAnsi" w:hAnsiTheme="minorHAnsi" w:cstheme="minorBidi"/>
          <w:bCs w:val="0"/>
          <w:noProof/>
          <w:kern w:val="2"/>
          <w:sz w:val="24"/>
          <w14:ligatures w14:val="standardContextual"/>
        </w:rPr>
      </w:pPr>
      <w:hyperlink w:anchor="_Toc223731925" w:history="1">
        <w:r w:rsidRPr="006D733D">
          <w:rPr>
            <w:rStyle w:val="Hyperlink"/>
            <w:bCs w:val="0"/>
            <w:noProof/>
          </w:rPr>
          <w:t>IX.</w:t>
        </w:r>
        <w:r w:rsidRPr="006D733D">
          <w:rPr>
            <w:rFonts w:asciiTheme="minorHAnsi" w:hAnsiTheme="minorHAnsi" w:cstheme="minorBidi"/>
            <w:bCs w:val="0"/>
            <w:noProof/>
            <w:kern w:val="2"/>
            <w:sz w:val="24"/>
            <w14:ligatures w14:val="standardContextual"/>
          </w:rPr>
          <w:tab/>
        </w:r>
        <w:r w:rsidRPr="006D733D">
          <w:rPr>
            <w:rStyle w:val="Hyperlink"/>
            <w:bCs w:val="0"/>
            <w:noProof/>
          </w:rPr>
          <w:t>Prior Opportunity to Cross-Examine.</w:t>
        </w:r>
        <w:r w:rsidRPr="006D733D">
          <w:rPr>
            <w:bCs w:val="0"/>
            <w:noProof/>
            <w:webHidden/>
          </w:rPr>
          <w:tab/>
        </w:r>
        <w:r w:rsidRPr="006D733D">
          <w:rPr>
            <w:bCs w:val="0"/>
            <w:noProof/>
            <w:webHidden/>
          </w:rPr>
          <w:fldChar w:fldCharType="begin"/>
        </w:r>
        <w:r w:rsidRPr="006D733D">
          <w:rPr>
            <w:bCs w:val="0"/>
            <w:noProof/>
            <w:webHidden/>
          </w:rPr>
          <w:instrText xml:space="preserve"> PAGEREF _Toc223731925 \h </w:instrText>
        </w:r>
        <w:r w:rsidRPr="006D733D">
          <w:rPr>
            <w:bCs w:val="0"/>
            <w:noProof/>
            <w:webHidden/>
          </w:rPr>
        </w:r>
        <w:r w:rsidRPr="006D733D">
          <w:rPr>
            <w:bCs w:val="0"/>
            <w:noProof/>
            <w:webHidden/>
          </w:rPr>
          <w:fldChar w:fldCharType="separate"/>
        </w:r>
        <w:r w:rsidRPr="006D733D">
          <w:rPr>
            <w:bCs w:val="0"/>
            <w:noProof/>
            <w:webHidden/>
          </w:rPr>
          <w:t>31</w:t>
        </w:r>
        <w:r w:rsidRPr="006D733D">
          <w:rPr>
            <w:bCs w:val="0"/>
            <w:noProof/>
            <w:webHidden/>
          </w:rPr>
          <w:fldChar w:fldCharType="end"/>
        </w:r>
      </w:hyperlink>
    </w:p>
    <w:p w14:paraId="39316F4D" w14:textId="65CA50EE"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26" w:history="1">
        <w:r w:rsidRPr="006D733D">
          <w:rPr>
            <w:rStyle w:val="Hyperlink"/>
            <w:rFonts w:cs="Arial"/>
            <w:bCs w:val="0"/>
            <w:noProof/>
          </w:rPr>
          <w:t>A.</w:t>
        </w:r>
        <w:r w:rsidRPr="006D733D">
          <w:rPr>
            <w:rFonts w:asciiTheme="minorHAnsi" w:hAnsiTheme="minorHAnsi" w:cstheme="minorBidi"/>
            <w:bCs w:val="0"/>
            <w:noProof/>
            <w:kern w:val="2"/>
            <w:sz w:val="24"/>
            <w:szCs w:val="24"/>
            <w14:ligatures w14:val="standardContextual"/>
          </w:rPr>
          <w:tab/>
        </w:r>
        <w:r w:rsidRPr="006D733D">
          <w:rPr>
            <w:rStyle w:val="Hyperlink"/>
            <w:rFonts w:cs="Arial"/>
            <w:bCs w:val="0"/>
            <w:noProof/>
          </w:rPr>
          <w:t>Prior Trial.</w:t>
        </w:r>
        <w:r w:rsidRPr="006D733D">
          <w:rPr>
            <w:bCs w:val="0"/>
            <w:noProof/>
            <w:webHidden/>
          </w:rPr>
          <w:tab/>
        </w:r>
        <w:r w:rsidRPr="006D733D">
          <w:rPr>
            <w:bCs w:val="0"/>
            <w:noProof/>
            <w:webHidden/>
          </w:rPr>
          <w:fldChar w:fldCharType="begin"/>
        </w:r>
        <w:r w:rsidRPr="006D733D">
          <w:rPr>
            <w:bCs w:val="0"/>
            <w:noProof/>
            <w:webHidden/>
          </w:rPr>
          <w:instrText xml:space="preserve"> PAGEREF _Toc223731926 \h </w:instrText>
        </w:r>
        <w:r w:rsidRPr="006D733D">
          <w:rPr>
            <w:bCs w:val="0"/>
            <w:noProof/>
            <w:webHidden/>
          </w:rPr>
        </w:r>
        <w:r w:rsidRPr="006D733D">
          <w:rPr>
            <w:bCs w:val="0"/>
            <w:noProof/>
            <w:webHidden/>
          </w:rPr>
          <w:fldChar w:fldCharType="separate"/>
        </w:r>
        <w:r w:rsidRPr="006D733D">
          <w:rPr>
            <w:bCs w:val="0"/>
            <w:noProof/>
            <w:webHidden/>
          </w:rPr>
          <w:t>32</w:t>
        </w:r>
        <w:r w:rsidRPr="006D733D">
          <w:rPr>
            <w:bCs w:val="0"/>
            <w:noProof/>
            <w:webHidden/>
          </w:rPr>
          <w:fldChar w:fldCharType="end"/>
        </w:r>
      </w:hyperlink>
    </w:p>
    <w:p w14:paraId="3887BE75" w14:textId="29FC6B58"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27" w:history="1">
        <w:r w:rsidRPr="006D733D">
          <w:rPr>
            <w:rStyle w:val="Hyperlink"/>
            <w:bCs w:val="0"/>
            <w:noProof/>
          </w:rPr>
          <w:t>B.</w:t>
        </w:r>
        <w:r w:rsidRPr="006D733D">
          <w:rPr>
            <w:rFonts w:asciiTheme="minorHAnsi" w:hAnsiTheme="minorHAnsi" w:cstheme="minorBidi"/>
            <w:bCs w:val="0"/>
            <w:noProof/>
            <w:kern w:val="2"/>
            <w:sz w:val="24"/>
            <w:szCs w:val="24"/>
            <w14:ligatures w14:val="standardContextual"/>
          </w:rPr>
          <w:tab/>
        </w:r>
        <w:r w:rsidRPr="006D733D">
          <w:rPr>
            <w:rStyle w:val="Hyperlink"/>
            <w:bCs w:val="0"/>
            <w:noProof/>
          </w:rPr>
          <w:t>Probable Cause Hearing.</w:t>
        </w:r>
        <w:r w:rsidRPr="006D733D">
          <w:rPr>
            <w:bCs w:val="0"/>
            <w:noProof/>
            <w:webHidden/>
          </w:rPr>
          <w:tab/>
        </w:r>
        <w:r w:rsidRPr="006D733D">
          <w:rPr>
            <w:bCs w:val="0"/>
            <w:noProof/>
            <w:webHidden/>
          </w:rPr>
          <w:fldChar w:fldCharType="begin"/>
        </w:r>
        <w:r w:rsidRPr="006D733D">
          <w:rPr>
            <w:bCs w:val="0"/>
            <w:noProof/>
            <w:webHidden/>
          </w:rPr>
          <w:instrText xml:space="preserve"> PAGEREF _Toc223731927 \h </w:instrText>
        </w:r>
        <w:r w:rsidRPr="006D733D">
          <w:rPr>
            <w:bCs w:val="0"/>
            <w:noProof/>
            <w:webHidden/>
          </w:rPr>
        </w:r>
        <w:r w:rsidRPr="006D733D">
          <w:rPr>
            <w:bCs w:val="0"/>
            <w:noProof/>
            <w:webHidden/>
          </w:rPr>
          <w:fldChar w:fldCharType="separate"/>
        </w:r>
        <w:r w:rsidRPr="006D733D">
          <w:rPr>
            <w:bCs w:val="0"/>
            <w:noProof/>
            <w:webHidden/>
          </w:rPr>
          <w:t>32</w:t>
        </w:r>
        <w:r w:rsidRPr="006D733D">
          <w:rPr>
            <w:bCs w:val="0"/>
            <w:noProof/>
            <w:webHidden/>
          </w:rPr>
          <w:fldChar w:fldCharType="end"/>
        </w:r>
      </w:hyperlink>
    </w:p>
    <w:p w14:paraId="4AA24E0B" w14:textId="731B78F0"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28" w:history="1">
        <w:r w:rsidRPr="006D733D">
          <w:rPr>
            <w:rStyle w:val="Hyperlink"/>
            <w:rFonts w:cs="Arial"/>
            <w:bCs w:val="0"/>
            <w:noProof/>
          </w:rPr>
          <w:t>C.</w:t>
        </w:r>
        <w:r w:rsidRPr="006D733D">
          <w:rPr>
            <w:rFonts w:asciiTheme="minorHAnsi" w:hAnsiTheme="minorHAnsi" w:cstheme="minorBidi"/>
            <w:bCs w:val="0"/>
            <w:noProof/>
            <w:kern w:val="2"/>
            <w:sz w:val="24"/>
            <w:szCs w:val="24"/>
            <w14:ligatures w14:val="standardContextual"/>
          </w:rPr>
          <w:tab/>
        </w:r>
        <w:r w:rsidRPr="006D733D">
          <w:rPr>
            <w:rStyle w:val="Hyperlink"/>
            <w:rFonts w:cs="Arial"/>
            <w:bCs w:val="0"/>
            <w:noProof/>
          </w:rPr>
          <w:t>Plea Proceeding.</w:t>
        </w:r>
        <w:r w:rsidRPr="006D733D">
          <w:rPr>
            <w:bCs w:val="0"/>
            <w:noProof/>
            <w:webHidden/>
          </w:rPr>
          <w:tab/>
        </w:r>
        <w:r w:rsidRPr="006D733D">
          <w:rPr>
            <w:bCs w:val="0"/>
            <w:noProof/>
            <w:webHidden/>
          </w:rPr>
          <w:fldChar w:fldCharType="begin"/>
        </w:r>
        <w:r w:rsidRPr="006D733D">
          <w:rPr>
            <w:bCs w:val="0"/>
            <w:noProof/>
            <w:webHidden/>
          </w:rPr>
          <w:instrText xml:space="preserve"> PAGEREF _Toc223731928 \h </w:instrText>
        </w:r>
        <w:r w:rsidRPr="006D733D">
          <w:rPr>
            <w:bCs w:val="0"/>
            <w:noProof/>
            <w:webHidden/>
          </w:rPr>
        </w:r>
        <w:r w:rsidRPr="006D733D">
          <w:rPr>
            <w:bCs w:val="0"/>
            <w:noProof/>
            <w:webHidden/>
          </w:rPr>
          <w:fldChar w:fldCharType="separate"/>
        </w:r>
        <w:r w:rsidRPr="006D733D">
          <w:rPr>
            <w:bCs w:val="0"/>
            <w:noProof/>
            <w:webHidden/>
          </w:rPr>
          <w:t>32</w:t>
        </w:r>
        <w:r w:rsidRPr="006D733D">
          <w:rPr>
            <w:bCs w:val="0"/>
            <w:noProof/>
            <w:webHidden/>
          </w:rPr>
          <w:fldChar w:fldCharType="end"/>
        </w:r>
      </w:hyperlink>
    </w:p>
    <w:p w14:paraId="4F98D709" w14:textId="6C3DD499"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29" w:history="1">
        <w:r w:rsidRPr="006D733D">
          <w:rPr>
            <w:rStyle w:val="Hyperlink"/>
            <w:rFonts w:eastAsia="Calibri"/>
            <w:bCs w:val="0"/>
            <w:noProof/>
          </w:rPr>
          <w:t>D.</w:t>
        </w:r>
        <w:r w:rsidRPr="006D733D">
          <w:rPr>
            <w:rFonts w:asciiTheme="minorHAnsi" w:hAnsiTheme="minorHAnsi" w:cstheme="minorBidi"/>
            <w:bCs w:val="0"/>
            <w:noProof/>
            <w:kern w:val="2"/>
            <w:sz w:val="24"/>
            <w:szCs w:val="24"/>
            <w14:ligatures w14:val="standardContextual"/>
          </w:rPr>
          <w:tab/>
        </w:r>
        <w:r w:rsidRPr="006D733D">
          <w:rPr>
            <w:rStyle w:val="Hyperlink"/>
            <w:rFonts w:eastAsia="Calibri"/>
            <w:bCs w:val="0"/>
            <w:noProof/>
          </w:rPr>
          <w:t>Related Civil Proceedings</w:t>
        </w:r>
        <w:r w:rsidRPr="006D733D">
          <w:rPr>
            <w:bCs w:val="0"/>
            <w:noProof/>
            <w:webHidden/>
          </w:rPr>
          <w:tab/>
        </w:r>
        <w:r w:rsidRPr="006D733D">
          <w:rPr>
            <w:bCs w:val="0"/>
            <w:noProof/>
            <w:webHidden/>
          </w:rPr>
          <w:fldChar w:fldCharType="begin"/>
        </w:r>
        <w:r w:rsidRPr="006D733D">
          <w:rPr>
            <w:bCs w:val="0"/>
            <w:noProof/>
            <w:webHidden/>
          </w:rPr>
          <w:instrText xml:space="preserve"> PAGEREF _Toc223731929 \h </w:instrText>
        </w:r>
        <w:r w:rsidRPr="006D733D">
          <w:rPr>
            <w:bCs w:val="0"/>
            <w:noProof/>
            <w:webHidden/>
          </w:rPr>
        </w:r>
        <w:r w:rsidRPr="006D733D">
          <w:rPr>
            <w:bCs w:val="0"/>
            <w:noProof/>
            <w:webHidden/>
          </w:rPr>
          <w:fldChar w:fldCharType="separate"/>
        </w:r>
        <w:r w:rsidRPr="006D733D">
          <w:rPr>
            <w:bCs w:val="0"/>
            <w:noProof/>
            <w:webHidden/>
          </w:rPr>
          <w:t>32</w:t>
        </w:r>
        <w:r w:rsidRPr="006D733D">
          <w:rPr>
            <w:bCs w:val="0"/>
            <w:noProof/>
            <w:webHidden/>
          </w:rPr>
          <w:fldChar w:fldCharType="end"/>
        </w:r>
      </w:hyperlink>
    </w:p>
    <w:p w14:paraId="357E4259" w14:textId="199B0799" w:rsidR="006D733D" w:rsidRPr="006D733D" w:rsidRDefault="006D733D">
      <w:pPr>
        <w:pStyle w:val="TOC1"/>
        <w:tabs>
          <w:tab w:val="left" w:pos="720"/>
          <w:tab w:val="right" w:leader="dot" w:pos="9350"/>
        </w:tabs>
        <w:rPr>
          <w:rFonts w:asciiTheme="minorHAnsi" w:hAnsiTheme="minorHAnsi" w:cstheme="minorBidi"/>
          <w:bCs w:val="0"/>
          <w:noProof/>
          <w:kern w:val="2"/>
          <w:sz w:val="24"/>
          <w14:ligatures w14:val="standardContextual"/>
        </w:rPr>
      </w:pPr>
      <w:hyperlink w:anchor="_Toc223731930" w:history="1">
        <w:r w:rsidRPr="006D733D">
          <w:rPr>
            <w:rStyle w:val="Hyperlink"/>
            <w:bCs w:val="0"/>
            <w:noProof/>
          </w:rPr>
          <w:t>X.</w:t>
        </w:r>
        <w:r w:rsidRPr="006D733D">
          <w:rPr>
            <w:rFonts w:asciiTheme="minorHAnsi" w:hAnsiTheme="minorHAnsi" w:cstheme="minorBidi"/>
            <w:bCs w:val="0"/>
            <w:noProof/>
            <w:kern w:val="2"/>
            <w:sz w:val="24"/>
            <w14:ligatures w14:val="standardContextual"/>
          </w:rPr>
          <w:tab/>
        </w:r>
        <w:r w:rsidRPr="006D733D">
          <w:rPr>
            <w:rStyle w:val="Hyperlink"/>
            <w:bCs w:val="0"/>
            <w:noProof/>
          </w:rPr>
          <w:t>Retroactivity.</w:t>
        </w:r>
        <w:r w:rsidRPr="006D733D">
          <w:rPr>
            <w:bCs w:val="0"/>
            <w:noProof/>
            <w:webHidden/>
          </w:rPr>
          <w:tab/>
        </w:r>
        <w:r w:rsidRPr="006D733D">
          <w:rPr>
            <w:bCs w:val="0"/>
            <w:noProof/>
            <w:webHidden/>
          </w:rPr>
          <w:fldChar w:fldCharType="begin"/>
        </w:r>
        <w:r w:rsidRPr="006D733D">
          <w:rPr>
            <w:bCs w:val="0"/>
            <w:noProof/>
            <w:webHidden/>
          </w:rPr>
          <w:instrText xml:space="preserve"> PAGEREF _Toc223731930 \h </w:instrText>
        </w:r>
        <w:r w:rsidRPr="006D733D">
          <w:rPr>
            <w:bCs w:val="0"/>
            <w:noProof/>
            <w:webHidden/>
          </w:rPr>
        </w:r>
        <w:r w:rsidRPr="006D733D">
          <w:rPr>
            <w:bCs w:val="0"/>
            <w:noProof/>
            <w:webHidden/>
          </w:rPr>
          <w:fldChar w:fldCharType="separate"/>
        </w:r>
        <w:r w:rsidRPr="006D733D">
          <w:rPr>
            <w:bCs w:val="0"/>
            <w:noProof/>
            <w:webHidden/>
          </w:rPr>
          <w:t>33</w:t>
        </w:r>
        <w:r w:rsidRPr="006D733D">
          <w:rPr>
            <w:bCs w:val="0"/>
            <w:noProof/>
            <w:webHidden/>
          </w:rPr>
          <w:fldChar w:fldCharType="end"/>
        </w:r>
      </w:hyperlink>
    </w:p>
    <w:p w14:paraId="47C40E26" w14:textId="0AB59703" w:rsidR="006D733D" w:rsidRPr="006D733D" w:rsidRDefault="006D733D">
      <w:pPr>
        <w:pStyle w:val="TOC1"/>
        <w:tabs>
          <w:tab w:val="left" w:pos="720"/>
          <w:tab w:val="right" w:leader="dot" w:pos="9350"/>
        </w:tabs>
        <w:rPr>
          <w:rFonts w:asciiTheme="minorHAnsi" w:hAnsiTheme="minorHAnsi" w:cstheme="minorBidi"/>
          <w:bCs w:val="0"/>
          <w:noProof/>
          <w:kern w:val="2"/>
          <w:sz w:val="24"/>
          <w14:ligatures w14:val="standardContextual"/>
        </w:rPr>
      </w:pPr>
      <w:hyperlink w:anchor="_Toc223731931" w:history="1">
        <w:r w:rsidRPr="006D733D">
          <w:rPr>
            <w:rStyle w:val="Hyperlink"/>
            <w:bCs w:val="0"/>
            <w:noProof/>
          </w:rPr>
          <w:t>XI.</w:t>
        </w:r>
        <w:r w:rsidRPr="006D733D">
          <w:rPr>
            <w:rFonts w:asciiTheme="minorHAnsi" w:hAnsiTheme="minorHAnsi" w:cstheme="minorBidi"/>
            <w:bCs w:val="0"/>
            <w:noProof/>
            <w:kern w:val="2"/>
            <w:sz w:val="24"/>
            <w14:ligatures w14:val="standardContextual"/>
          </w:rPr>
          <w:tab/>
        </w:r>
        <w:r w:rsidRPr="006D733D">
          <w:rPr>
            <w:rStyle w:val="Hyperlink"/>
            <w:bCs w:val="0"/>
            <w:noProof/>
          </w:rPr>
          <w:t>Proceedings to Which Crawford Applies.</w:t>
        </w:r>
        <w:r w:rsidRPr="006D733D">
          <w:rPr>
            <w:bCs w:val="0"/>
            <w:noProof/>
            <w:webHidden/>
          </w:rPr>
          <w:tab/>
        </w:r>
        <w:r w:rsidRPr="006D733D">
          <w:rPr>
            <w:bCs w:val="0"/>
            <w:noProof/>
            <w:webHidden/>
          </w:rPr>
          <w:fldChar w:fldCharType="begin"/>
        </w:r>
        <w:r w:rsidRPr="006D733D">
          <w:rPr>
            <w:bCs w:val="0"/>
            <w:noProof/>
            <w:webHidden/>
          </w:rPr>
          <w:instrText xml:space="preserve"> PAGEREF _Toc223731931 \h </w:instrText>
        </w:r>
        <w:r w:rsidRPr="006D733D">
          <w:rPr>
            <w:bCs w:val="0"/>
            <w:noProof/>
            <w:webHidden/>
          </w:rPr>
        </w:r>
        <w:r w:rsidRPr="006D733D">
          <w:rPr>
            <w:bCs w:val="0"/>
            <w:noProof/>
            <w:webHidden/>
          </w:rPr>
          <w:fldChar w:fldCharType="separate"/>
        </w:r>
        <w:r w:rsidRPr="006D733D">
          <w:rPr>
            <w:bCs w:val="0"/>
            <w:noProof/>
            <w:webHidden/>
          </w:rPr>
          <w:t>33</w:t>
        </w:r>
        <w:r w:rsidRPr="006D733D">
          <w:rPr>
            <w:bCs w:val="0"/>
            <w:noProof/>
            <w:webHidden/>
          </w:rPr>
          <w:fldChar w:fldCharType="end"/>
        </w:r>
      </w:hyperlink>
    </w:p>
    <w:p w14:paraId="475F9C06" w14:textId="026E4271"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32" w:history="1">
        <w:r w:rsidRPr="006D733D">
          <w:rPr>
            <w:rStyle w:val="Hyperlink"/>
            <w:bCs w:val="0"/>
            <w:iCs/>
            <w:noProof/>
          </w:rPr>
          <w:t>A.</w:t>
        </w:r>
        <w:r w:rsidRPr="006D733D">
          <w:rPr>
            <w:rFonts w:asciiTheme="minorHAnsi" w:hAnsiTheme="minorHAnsi" w:cstheme="minorBidi"/>
            <w:bCs w:val="0"/>
            <w:noProof/>
            <w:kern w:val="2"/>
            <w:sz w:val="24"/>
            <w:szCs w:val="24"/>
            <w14:ligatures w14:val="standardContextual"/>
          </w:rPr>
          <w:tab/>
        </w:r>
        <w:r w:rsidRPr="006D733D">
          <w:rPr>
            <w:rStyle w:val="Hyperlink"/>
            <w:bCs w:val="0"/>
            <w:noProof/>
          </w:rPr>
          <w:t>Criminal Trials.</w:t>
        </w:r>
        <w:r w:rsidRPr="006D733D">
          <w:rPr>
            <w:bCs w:val="0"/>
            <w:noProof/>
            <w:webHidden/>
          </w:rPr>
          <w:tab/>
        </w:r>
        <w:r w:rsidRPr="006D733D">
          <w:rPr>
            <w:bCs w:val="0"/>
            <w:noProof/>
            <w:webHidden/>
          </w:rPr>
          <w:fldChar w:fldCharType="begin"/>
        </w:r>
        <w:r w:rsidRPr="006D733D">
          <w:rPr>
            <w:bCs w:val="0"/>
            <w:noProof/>
            <w:webHidden/>
          </w:rPr>
          <w:instrText xml:space="preserve"> PAGEREF _Toc223731932 \h </w:instrText>
        </w:r>
        <w:r w:rsidRPr="006D733D">
          <w:rPr>
            <w:bCs w:val="0"/>
            <w:noProof/>
            <w:webHidden/>
          </w:rPr>
        </w:r>
        <w:r w:rsidRPr="006D733D">
          <w:rPr>
            <w:bCs w:val="0"/>
            <w:noProof/>
            <w:webHidden/>
          </w:rPr>
          <w:fldChar w:fldCharType="separate"/>
        </w:r>
        <w:r w:rsidRPr="006D733D">
          <w:rPr>
            <w:bCs w:val="0"/>
            <w:noProof/>
            <w:webHidden/>
          </w:rPr>
          <w:t>33</w:t>
        </w:r>
        <w:r w:rsidRPr="006D733D">
          <w:rPr>
            <w:bCs w:val="0"/>
            <w:noProof/>
            <w:webHidden/>
          </w:rPr>
          <w:fldChar w:fldCharType="end"/>
        </w:r>
      </w:hyperlink>
    </w:p>
    <w:p w14:paraId="39F17250" w14:textId="673FC419"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33" w:history="1">
        <w:r w:rsidRPr="006D733D">
          <w:rPr>
            <w:rStyle w:val="Hyperlink"/>
            <w:bCs w:val="0"/>
            <w:noProof/>
          </w:rPr>
          <w:t>B.</w:t>
        </w:r>
        <w:r w:rsidRPr="006D733D">
          <w:rPr>
            <w:rFonts w:asciiTheme="minorHAnsi" w:hAnsiTheme="minorHAnsi" w:cstheme="minorBidi"/>
            <w:bCs w:val="0"/>
            <w:noProof/>
            <w:kern w:val="2"/>
            <w:sz w:val="24"/>
            <w:szCs w:val="24"/>
            <w14:ligatures w14:val="standardContextual"/>
          </w:rPr>
          <w:tab/>
        </w:r>
        <w:r w:rsidRPr="006D733D">
          <w:rPr>
            <w:rStyle w:val="Hyperlink"/>
            <w:bCs w:val="0"/>
            <w:noProof/>
          </w:rPr>
          <w:t>Pretrial Proceedings.</w:t>
        </w:r>
        <w:r w:rsidRPr="006D733D">
          <w:rPr>
            <w:bCs w:val="0"/>
            <w:noProof/>
            <w:webHidden/>
          </w:rPr>
          <w:tab/>
        </w:r>
        <w:r w:rsidRPr="006D733D">
          <w:rPr>
            <w:bCs w:val="0"/>
            <w:noProof/>
            <w:webHidden/>
          </w:rPr>
          <w:fldChar w:fldCharType="begin"/>
        </w:r>
        <w:r w:rsidRPr="006D733D">
          <w:rPr>
            <w:bCs w:val="0"/>
            <w:noProof/>
            <w:webHidden/>
          </w:rPr>
          <w:instrText xml:space="preserve"> PAGEREF _Toc223731933 \h </w:instrText>
        </w:r>
        <w:r w:rsidRPr="006D733D">
          <w:rPr>
            <w:bCs w:val="0"/>
            <w:noProof/>
            <w:webHidden/>
          </w:rPr>
        </w:r>
        <w:r w:rsidRPr="006D733D">
          <w:rPr>
            <w:bCs w:val="0"/>
            <w:noProof/>
            <w:webHidden/>
          </w:rPr>
          <w:fldChar w:fldCharType="separate"/>
        </w:r>
        <w:r w:rsidRPr="006D733D">
          <w:rPr>
            <w:bCs w:val="0"/>
            <w:noProof/>
            <w:webHidden/>
          </w:rPr>
          <w:t>33</w:t>
        </w:r>
        <w:r w:rsidRPr="006D733D">
          <w:rPr>
            <w:bCs w:val="0"/>
            <w:noProof/>
            <w:webHidden/>
          </w:rPr>
          <w:fldChar w:fldCharType="end"/>
        </w:r>
      </w:hyperlink>
    </w:p>
    <w:p w14:paraId="7EBB429F" w14:textId="47C8A8B1"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34" w:history="1">
        <w:r w:rsidRPr="006D733D">
          <w:rPr>
            <w:rStyle w:val="Hyperlink"/>
            <w:bCs w:val="0"/>
            <w:noProof/>
          </w:rPr>
          <w:t>C.</w:t>
        </w:r>
        <w:r w:rsidRPr="006D733D">
          <w:rPr>
            <w:rFonts w:asciiTheme="minorHAnsi" w:hAnsiTheme="minorHAnsi" w:cstheme="minorBidi"/>
            <w:bCs w:val="0"/>
            <w:noProof/>
            <w:kern w:val="2"/>
            <w:sz w:val="24"/>
            <w:szCs w:val="24"/>
            <w14:ligatures w14:val="standardContextual"/>
          </w:rPr>
          <w:tab/>
        </w:r>
        <w:r w:rsidRPr="006D733D">
          <w:rPr>
            <w:rStyle w:val="Hyperlink"/>
            <w:bCs w:val="0"/>
            <w:noProof/>
          </w:rPr>
          <w:t>Sentencing.</w:t>
        </w:r>
        <w:r w:rsidRPr="006D733D">
          <w:rPr>
            <w:bCs w:val="0"/>
            <w:noProof/>
            <w:webHidden/>
          </w:rPr>
          <w:tab/>
        </w:r>
        <w:r w:rsidRPr="006D733D">
          <w:rPr>
            <w:bCs w:val="0"/>
            <w:noProof/>
            <w:webHidden/>
          </w:rPr>
          <w:fldChar w:fldCharType="begin"/>
        </w:r>
        <w:r w:rsidRPr="006D733D">
          <w:rPr>
            <w:bCs w:val="0"/>
            <w:noProof/>
            <w:webHidden/>
          </w:rPr>
          <w:instrText xml:space="preserve"> PAGEREF _Toc223731934 \h </w:instrText>
        </w:r>
        <w:r w:rsidRPr="006D733D">
          <w:rPr>
            <w:bCs w:val="0"/>
            <w:noProof/>
            <w:webHidden/>
          </w:rPr>
        </w:r>
        <w:r w:rsidRPr="006D733D">
          <w:rPr>
            <w:bCs w:val="0"/>
            <w:noProof/>
            <w:webHidden/>
          </w:rPr>
          <w:fldChar w:fldCharType="separate"/>
        </w:r>
        <w:r w:rsidRPr="006D733D">
          <w:rPr>
            <w:bCs w:val="0"/>
            <w:noProof/>
            <w:webHidden/>
          </w:rPr>
          <w:t>34</w:t>
        </w:r>
        <w:r w:rsidRPr="006D733D">
          <w:rPr>
            <w:bCs w:val="0"/>
            <w:noProof/>
            <w:webHidden/>
          </w:rPr>
          <w:fldChar w:fldCharType="end"/>
        </w:r>
      </w:hyperlink>
    </w:p>
    <w:p w14:paraId="70F7CC9D" w14:textId="27AA3078"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35" w:history="1">
        <w:r w:rsidRPr="006D733D">
          <w:rPr>
            <w:rStyle w:val="Hyperlink"/>
            <w:bCs w:val="0"/>
            <w:noProof/>
          </w:rPr>
          <w:t>D.</w:t>
        </w:r>
        <w:r w:rsidRPr="006D733D">
          <w:rPr>
            <w:rFonts w:asciiTheme="minorHAnsi" w:hAnsiTheme="minorHAnsi" w:cstheme="minorBidi"/>
            <w:bCs w:val="0"/>
            <w:noProof/>
            <w:kern w:val="2"/>
            <w:sz w:val="24"/>
            <w:szCs w:val="24"/>
            <w14:ligatures w14:val="standardContextual"/>
          </w:rPr>
          <w:tab/>
        </w:r>
        <w:r w:rsidRPr="006D733D">
          <w:rPr>
            <w:rStyle w:val="Hyperlink"/>
            <w:bCs w:val="0"/>
            <w:noProof/>
          </w:rPr>
          <w:t>Termination of Parental Rights.</w:t>
        </w:r>
        <w:r w:rsidRPr="006D733D">
          <w:rPr>
            <w:bCs w:val="0"/>
            <w:noProof/>
            <w:webHidden/>
          </w:rPr>
          <w:tab/>
        </w:r>
        <w:r w:rsidRPr="006D733D">
          <w:rPr>
            <w:bCs w:val="0"/>
            <w:noProof/>
            <w:webHidden/>
          </w:rPr>
          <w:fldChar w:fldCharType="begin"/>
        </w:r>
        <w:r w:rsidRPr="006D733D">
          <w:rPr>
            <w:bCs w:val="0"/>
            <w:noProof/>
            <w:webHidden/>
          </w:rPr>
          <w:instrText xml:space="preserve"> PAGEREF _Toc223731935 \h </w:instrText>
        </w:r>
        <w:r w:rsidRPr="006D733D">
          <w:rPr>
            <w:bCs w:val="0"/>
            <w:noProof/>
            <w:webHidden/>
          </w:rPr>
        </w:r>
        <w:r w:rsidRPr="006D733D">
          <w:rPr>
            <w:bCs w:val="0"/>
            <w:noProof/>
            <w:webHidden/>
          </w:rPr>
          <w:fldChar w:fldCharType="separate"/>
        </w:r>
        <w:r w:rsidRPr="006D733D">
          <w:rPr>
            <w:bCs w:val="0"/>
            <w:noProof/>
            <w:webHidden/>
          </w:rPr>
          <w:t>34</w:t>
        </w:r>
        <w:r w:rsidRPr="006D733D">
          <w:rPr>
            <w:bCs w:val="0"/>
            <w:noProof/>
            <w:webHidden/>
          </w:rPr>
          <w:fldChar w:fldCharType="end"/>
        </w:r>
      </w:hyperlink>
    </w:p>
    <w:p w14:paraId="6D7190CD" w14:textId="214F5866" w:rsidR="006D733D" w:rsidRPr="006D733D" w:rsidRDefault="006D733D">
      <w:pPr>
        <w:pStyle w:val="TOC2"/>
        <w:tabs>
          <w:tab w:val="left" w:pos="1320"/>
          <w:tab w:val="right" w:leader="dot" w:pos="9350"/>
        </w:tabs>
        <w:rPr>
          <w:rFonts w:asciiTheme="minorHAnsi" w:hAnsiTheme="minorHAnsi" w:cstheme="minorBidi"/>
          <w:bCs w:val="0"/>
          <w:noProof/>
          <w:kern w:val="2"/>
          <w:sz w:val="24"/>
          <w:szCs w:val="24"/>
          <w14:ligatures w14:val="standardContextual"/>
        </w:rPr>
      </w:pPr>
      <w:hyperlink w:anchor="_Toc223731936" w:history="1">
        <w:r w:rsidRPr="006D733D">
          <w:rPr>
            <w:rStyle w:val="Hyperlink"/>
            <w:bCs w:val="0"/>
            <w:noProof/>
          </w:rPr>
          <w:t>E.</w:t>
        </w:r>
        <w:r w:rsidRPr="006D733D">
          <w:rPr>
            <w:rFonts w:asciiTheme="minorHAnsi" w:hAnsiTheme="minorHAnsi" w:cstheme="minorBidi"/>
            <w:bCs w:val="0"/>
            <w:noProof/>
            <w:kern w:val="2"/>
            <w:sz w:val="24"/>
            <w:szCs w:val="24"/>
            <w14:ligatures w14:val="standardContextual"/>
          </w:rPr>
          <w:tab/>
        </w:r>
        <w:r w:rsidRPr="006D733D">
          <w:rPr>
            <w:rStyle w:val="Hyperlink"/>
            <w:bCs w:val="0"/>
            <w:noProof/>
          </w:rPr>
          <w:t>Juvenile Delinquency Proceedings.</w:t>
        </w:r>
        <w:r w:rsidRPr="006D733D">
          <w:rPr>
            <w:bCs w:val="0"/>
            <w:noProof/>
            <w:webHidden/>
          </w:rPr>
          <w:tab/>
        </w:r>
        <w:r w:rsidRPr="006D733D">
          <w:rPr>
            <w:bCs w:val="0"/>
            <w:noProof/>
            <w:webHidden/>
          </w:rPr>
          <w:fldChar w:fldCharType="begin"/>
        </w:r>
        <w:r w:rsidRPr="006D733D">
          <w:rPr>
            <w:bCs w:val="0"/>
            <w:noProof/>
            <w:webHidden/>
          </w:rPr>
          <w:instrText xml:space="preserve"> PAGEREF _Toc223731936 \h </w:instrText>
        </w:r>
        <w:r w:rsidRPr="006D733D">
          <w:rPr>
            <w:bCs w:val="0"/>
            <w:noProof/>
            <w:webHidden/>
          </w:rPr>
        </w:r>
        <w:r w:rsidRPr="006D733D">
          <w:rPr>
            <w:bCs w:val="0"/>
            <w:noProof/>
            <w:webHidden/>
          </w:rPr>
          <w:fldChar w:fldCharType="separate"/>
        </w:r>
        <w:r w:rsidRPr="006D733D">
          <w:rPr>
            <w:bCs w:val="0"/>
            <w:noProof/>
            <w:webHidden/>
          </w:rPr>
          <w:t>34</w:t>
        </w:r>
        <w:r w:rsidRPr="006D733D">
          <w:rPr>
            <w:bCs w:val="0"/>
            <w:noProof/>
            <w:webHidden/>
          </w:rPr>
          <w:fldChar w:fldCharType="end"/>
        </w:r>
      </w:hyperlink>
    </w:p>
    <w:p w14:paraId="38CD0CB9" w14:textId="7F8D5059" w:rsidR="006D733D" w:rsidRPr="006D733D" w:rsidRDefault="006D733D">
      <w:pPr>
        <w:pStyle w:val="TOC1"/>
        <w:tabs>
          <w:tab w:val="left" w:pos="720"/>
          <w:tab w:val="right" w:leader="dot" w:pos="9350"/>
        </w:tabs>
        <w:rPr>
          <w:rFonts w:asciiTheme="minorHAnsi" w:hAnsiTheme="minorHAnsi" w:cstheme="minorBidi"/>
          <w:bCs w:val="0"/>
          <w:noProof/>
          <w:kern w:val="2"/>
          <w:sz w:val="24"/>
          <w14:ligatures w14:val="standardContextual"/>
        </w:rPr>
      </w:pPr>
      <w:hyperlink w:anchor="_Toc223731937" w:history="1">
        <w:r w:rsidRPr="006D733D">
          <w:rPr>
            <w:rStyle w:val="Hyperlink"/>
            <w:bCs w:val="0"/>
            <w:noProof/>
          </w:rPr>
          <w:t>XII.</w:t>
        </w:r>
        <w:r w:rsidRPr="006D733D">
          <w:rPr>
            <w:rFonts w:asciiTheme="minorHAnsi" w:hAnsiTheme="minorHAnsi" w:cstheme="minorBidi"/>
            <w:bCs w:val="0"/>
            <w:noProof/>
            <w:kern w:val="2"/>
            <w:sz w:val="24"/>
            <w14:ligatures w14:val="standardContextual"/>
          </w:rPr>
          <w:tab/>
        </w:r>
        <w:r w:rsidRPr="006D733D">
          <w:rPr>
            <w:rStyle w:val="Hyperlink"/>
            <w:bCs w:val="0"/>
            <w:noProof/>
          </w:rPr>
          <w:t>Harmles</w:t>
        </w:r>
        <w:r w:rsidRPr="006D733D">
          <w:rPr>
            <w:rStyle w:val="Hyperlink"/>
            <w:bCs w:val="0"/>
            <w:noProof/>
          </w:rPr>
          <w:t>s</w:t>
        </w:r>
        <w:r w:rsidRPr="006D733D">
          <w:rPr>
            <w:rStyle w:val="Hyperlink"/>
            <w:bCs w:val="0"/>
            <w:noProof/>
          </w:rPr>
          <w:t xml:space="preserve"> Error Analysis.</w:t>
        </w:r>
        <w:r w:rsidRPr="006D733D">
          <w:rPr>
            <w:bCs w:val="0"/>
            <w:noProof/>
            <w:webHidden/>
          </w:rPr>
          <w:tab/>
        </w:r>
        <w:r w:rsidRPr="006D733D">
          <w:rPr>
            <w:bCs w:val="0"/>
            <w:noProof/>
            <w:webHidden/>
          </w:rPr>
          <w:fldChar w:fldCharType="begin"/>
        </w:r>
        <w:r w:rsidRPr="006D733D">
          <w:rPr>
            <w:bCs w:val="0"/>
            <w:noProof/>
            <w:webHidden/>
          </w:rPr>
          <w:instrText xml:space="preserve"> PAGEREF _Toc223731937 \h </w:instrText>
        </w:r>
        <w:r w:rsidRPr="006D733D">
          <w:rPr>
            <w:bCs w:val="0"/>
            <w:noProof/>
            <w:webHidden/>
          </w:rPr>
        </w:r>
        <w:r w:rsidRPr="006D733D">
          <w:rPr>
            <w:bCs w:val="0"/>
            <w:noProof/>
            <w:webHidden/>
          </w:rPr>
          <w:fldChar w:fldCharType="separate"/>
        </w:r>
        <w:r w:rsidRPr="006D733D">
          <w:rPr>
            <w:bCs w:val="0"/>
            <w:noProof/>
            <w:webHidden/>
          </w:rPr>
          <w:t>34</w:t>
        </w:r>
        <w:r w:rsidRPr="006D733D">
          <w:rPr>
            <w:bCs w:val="0"/>
            <w:noProof/>
            <w:webHidden/>
          </w:rPr>
          <w:fldChar w:fldCharType="end"/>
        </w:r>
      </w:hyperlink>
    </w:p>
    <w:p w14:paraId="2DD251DF" w14:textId="2D6DDF9D" w:rsidR="00D65E75" w:rsidRPr="006D733D" w:rsidRDefault="00D65E75">
      <w:r w:rsidRPr="006D733D">
        <w:fldChar w:fldCharType="end"/>
      </w:r>
    </w:p>
    <w:p w14:paraId="68966454" w14:textId="77777777" w:rsidR="005D21E3" w:rsidRPr="00CB502D" w:rsidRDefault="005D21E3"/>
    <w:p w14:paraId="69AD2FAD" w14:textId="74D8E049" w:rsidR="00F32D19" w:rsidRPr="00CB502D" w:rsidRDefault="00A73CCF" w:rsidP="00020B2A">
      <w:pPr>
        <w:pStyle w:val="00BulletinTitle00Heads"/>
        <w:numPr>
          <w:ilvl w:val="0"/>
          <w:numId w:val="1"/>
        </w:numPr>
        <w:spacing w:after="0" w:line="240" w:lineRule="auto"/>
        <w:ind w:left="720"/>
        <w:outlineLvl w:val="0"/>
        <w:rPr>
          <w:rFonts w:ascii="Arial" w:hAnsi="Arial" w:cs="Arial"/>
          <w:sz w:val="22"/>
          <w:szCs w:val="22"/>
          <w:vertAlign w:val="superscript"/>
        </w:rPr>
      </w:pPr>
      <w:bookmarkStart w:id="2" w:name="_Toc398033629"/>
      <w:bookmarkStart w:id="3" w:name="_Toc398033732"/>
      <w:bookmarkStart w:id="4" w:name="_Toc398033793"/>
      <w:bookmarkStart w:id="5" w:name="_Toc398033856"/>
      <w:bookmarkStart w:id="6" w:name="_Toc398033913"/>
      <w:bookmarkStart w:id="7" w:name="_Toc398034022"/>
      <w:bookmarkStart w:id="8" w:name="_Toc398034077"/>
      <w:bookmarkStart w:id="9" w:name="_Toc398033630"/>
      <w:bookmarkStart w:id="10" w:name="_Toc398033733"/>
      <w:bookmarkStart w:id="11" w:name="_Toc398033794"/>
      <w:bookmarkStart w:id="12" w:name="_Toc398033857"/>
      <w:bookmarkStart w:id="13" w:name="_Toc398033914"/>
      <w:bookmarkStart w:id="14" w:name="_Toc398034023"/>
      <w:bookmarkStart w:id="15" w:name="_Toc398034078"/>
      <w:bookmarkStart w:id="16" w:name="_Toc398033631"/>
      <w:bookmarkStart w:id="17" w:name="_Toc398033734"/>
      <w:bookmarkStart w:id="18" w:name="_Toc398033795"/>
      <w:bookmarkStart w:id="19" w:name="_Toc398033858"/>
      <w:bookmarkStart w:id="20" w:name="_Toc398033915"/>
      <w:bookmarkStart w:id="21" w:name="_Toc398034024"/>
      <w:bookmarkStart w:id="22" w:name="_Toc398034079"/>
      <w:bookmarkStart w:id="23" w:name="_Toc398033632"/>
      <w:bookmarkStart w:id="24" w:name="_Toc398033735"/>
      <w:bookmarkStart w:id="25" w:name="_Toc398033796"/>
      <w:bookmarkStart w:id="26" w:name="_Toc398033859"/>
      <w:bookmarkStart w:id="27" w:name="_Toc398033916"/>
      <w:bookmarkStart w:id="28" w:name="_Toc398034025"/>
      <w:bookmarkStart w:id="29" w:name="_Toc398034080"/>
      <w:bookmarkStart w:id="30" w:name="_Toc398033633"/>
      <w:bookmarkStart w:id="31" w:name="_Toc398033736"/>
      <w:bookmarkStart w:id="32" w:name="_Toc398033797"/>
      <w:bookmarkStart w:id="33" w:name="_Toc398033860"/>
      <w:bookmarkStart w:id="34" w:name="_Toc398033917"/>
      <w:bookmarkStart w:id="35" w:name="_Toc398034026"/>
      <w:bookmarkStart w:id="36" w:name="_Toc398034081"/>
      <w:bookmarkStart w:id="37" w:name="_Toc398033634"/>
      <w:bookmarkStart w:id="38" w:name="_Toc398033737"/>
      <w:bookmarkStart w:id="39" w:name="_Toc398033798"/>
      <w:bookmarkStart w:id="40" w:name="_Toc398033861"/>
      <w:bookmarkStart w:id="41" w:name="_Toc398033918"/>
      <w:bookmarkStart w:id="42" w:name="_Toc398034027"/>
      <w:bookmarkStart w:id="43" w:name="_Toc398034082"/>
      <w:bookmarkStart w:id="44" w:name="_Toc398033635"/>
      <w:bookmarkStart w:id="45" w:name="_Toc398033738"/>
      <w:bookmarkStart w:id="46" w:name="_Toc398033799"/>
      <w:bookmarkStart w:id="47" w:name="_Toc398033862"/>
      <w:bookmarkStart w:id="48" w:name="_Toc398033919"/>
      <w:bookmarkStart w:id="49" w:name="_Toc398034028"/>
      <w:bookmarkStart w:id="50" w:name="_Toc398034083"/>
      <w:bookmarkStart w:id="51" w:name="_Toc398033636"/>
      <w:bookmarkStart w:id="52" w:name="_Toc398033739"/>
      <w:bookmarkStart w:id="53" w:name="_Toc398033800"/>
      <w:bookmarkStart w:id="54" w:name="_Toc398033863"/>
      <w:bookmarkStart w:id="55" w:name="_Toc398033920"/>
      <w:bookmarkStart w:id="56" w:name="_Toc398034029"/>
      <w:bookmarkStart w:id="57" w:name="_Toc398034084"/>
      <w:bookmarkStart w:id="58" w:name="_Toc398033637"/>
      <w:bookmarkStart w:id="59" w:name="_Toc398033740"/>
      <w:bookmarkStart w:id="60" w:name="_Toc398033801"/>
      <w:bookmarkStart w:id="61" w:name="_Toc398033864"/>
      <w:bookmarkStart w:id="62" w:name="_Toc398033921"/>
      <w:bookmarkStart w:id="63" w:name="_Toc398034030"/>
      <w:bookmarkStart w:id="64" w:name="_Toc398034085"/>
      <w:bookmarkStart w:id="65" w:name="_Toc398033638"/>
      <w:bookmarkStart w:id="66" w:name="_Toc398033741"/>
      <w:bookmarkStart w:id="67" w:name="_Toc398033802"/>
      <w:bookmarkStart w:id="68" w:name="_Toc398033865"/>
      <w:bookmarkStart w:id="69" w:name="_Toc398033922"/>
      <w:bookmarkStart w:id="70" w:name="_Toc398034031"/>
      <w:bookmarkStart w:id="71" w:name="_Toc398034086"/>
      <w:bookmarkStart w:id="72" w:name="_Toc398033639"/>
      <w:bookmarkStart w:id="73" w:name="_Toc398033742"/>
      <w:bookmarkStart w:id="74" w:name="_Toc398033803"/>
      <w:bookmarkStart w:id="75" w:name="_Toc398033866"/>
      <w:bookmarkStart w:id="76" w:name="_Toc398033923"/>
      <w:bookmarkStart w:id="77" w:name="_Toc398034032"/>
      <w:bookmarkStart w:id="78" w:name="_Toc398034087"/>
      <w:bookmarkStart w:id="79" w:name="_Toc398033640"/>
      <w:bookmarkStart w:id="80" w:name="_Toc398033743"/>
      <w:bookmarkStart w:id="81" w:name="_Toc398033804"/>
      <w:bookmarkStart w:id="82" w:name="_Toc398033867"/>
      <w:bookmarkStart w:id="83" w:name="_Toc398033924"/>
      <w:bookmarkStart w:id="84" w:name="_Toc398034033"/>
      <w:bookmarkStart w:id="85" w:name="_Toc398034088"/>
      <w:bookmarkStart w:id="86" w:name="_Toc335033338"/>
      <w:bookmarkStart w:id="87" w:name="_Toc335033418"/>
      <w:bookmarkStart w:id="88" w:name="_Toc335033499"/>
      <w:bookmarkStart w:id="89" w:name="_Toc335033581"/>
      <w:bookmarkStart w:id="90" w:name="_Toc335033715"/>
      <w:bookmarkStart w:id="91" w:name="_Toc335033981"/>
      <w:bookmarkStart w:id="92" w:name="_Toc335034083"/>
      <w:bookmarkStart w:id="93" w:name="_Toc335034256"/>
      <w:bookmarkStart w:id="94" w:name="_Toc335034544"/>
      <w:bookmarkStart w:id="95" w:name="_Toc335035368"/>
      <w:bookmarkStart w:id="96" w:name="_Toc335035776"/>
      <w:bookmarkStart w:id="97" w:name="_Toc335038366"/>
      <w:bookmarkStart w:id="98" w:name="_Toc335038498"/>
      <w:bookmarkStart w:id="99" w:name="_Toc335044350"/>
      <w:bookmarkStart w:id="100" w:name="_Toc335046097"/>
      <w:bookmarkStart w:id="101" w:name="_Toc335046234"/>
      <w:bookmarkStart w:id="102" w:name="_Toc335046362"/>
      <w:bookmarkStart w:id="103" w:name="_Toc335046618"/>
      <w:bookmarkStart w:id="104" w:name="_Toc335047948"/>
      <w:bookmarkStart w:id="105" w:name="_Toc335050061"/>
      <w:bookmarkStart w:id="106" w:name="_Toc335033339"/>
      <w:bookmarkStart w:id="107" w:name="_Toc335033419"/>
      <w:bookmarkStart w:id="108" w:name="_Toc335033500"/>
      <w:bookmarkStart w:id="109" w:name="_Toc335033582"/>
      <w:bookmarkStart w:id="110" w:name="_Toc335033716"/>
      <w:bookmarkStart w:id="111" w:name="_Toc335033982"/>
      <w:bookmarkStart w:id="112" w:name="_Toc335034084"/>
      <w:bookmarkStart w:id="113" w:name="_Toc335034257"/>
      <w:bookmarkStart w:id="114" w:name="_Toc335034545"/>
      <w:bookmarkStart w:id="115" w:name="_Toc335035369"/>
      <w:bookmarkStart w:id="116" w:name="_Toc335035777"/>
      <w:bookmarkStart w:id="117" w:name="_Toc335038367"/>
      <w:bookmarkStart w:id="118" w:name="_Toc335038499"/>
      <w:bookmarkStart w:id="119" w:name="_Toc335044351"/>
      <w:bookmarkStart w:id="120" w:name="_Toc335046098"/>
      <w:bookmarkStart w:id="121" w:name="_Toc335046235"/>
      <w:bookmarkStart w:id="122" w:name="_Toc335046363"/>
      <w:bookmarkStart w:id="123" w:name="_Toc335046619"/>
      <w:bookmarkStart w:id="124" w:name="_Toc335047949"/>
      <w:bookmarkStart w:id="125" w:name="_Toc335050062"/>
      <w:bookmarkStart w:id="126" w:name="_Toc335033341"/>
      <w:bookmarkStart w:id="127" w:name="_Toc335033421"/>
      <w:bookmarkStart w:id="128" w:name="_Toc335033502"/>
      <w:bookmarkStart w:id="129" w:name="_Toc335033584"/>
      <w:bookmarkStart w:id="130" w:name="_Toc335033718"/>
      <w:bookmarkStart w:id="131" w:name="_Toc335033984"/>
      <w:bookmarkStart w:id="132" w:name="_Toc335034086"/>
      <w:bookmarkStart w:id="133" w:name="_Toc335034259"/>
      <w:bookmarkStart w:id="134" w:name="_Toc335034547"/>
      <w:bookmarkStart w:id="135" w:name="_Toc335035371"/>
      <w:bookmarkStart w:id="136" w:name="_Toc335035779"/>
      <w:bookmarkStart w:id="137" w:name="_Toc335038369"/>
      <w:bookmarkStart w:id="138" w:name="_Toc335038501"/>
      <w:bookmarkStart w:id="139" w:name="_Toc335044353"/>
      <w:bookmarkStart w:id="140" w:name="_Toc335046100"/>
      <w:bookmarkStart w:id="141" w:name="_Toc335046237"/>
      <w:bookmarkStart w:id="142" w:name="_Toc335046365"/>
      <w:bookmarkStart w:id="143" w:name="_Toc335046621"/>
      <w:bookmarkStart w:id="144" w:name="_Toc335047951"/>
      <w:bookmarkStart w:id="145" w:name="_Toc335050064"/>
      <w:bookmarkStart w:id="146" w:name="_Toc398033805"/>
      <w:bookmarkStart w:id="147" w:name="_Toc223718237"/>
      <w:bookmarkStart w:id="148" w:name="_Toc223718493"/>
      <w:bookmarkStart w:id="149" w:name="_Toc223731884"/>
      <w:bookmarkStart w:id="150" w:name="_Ref3350529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CB502D">
        <w:rPr>
          <w:rStyle w:val="Heading1Char"/>
        </w:rPr>
        <w:t>Th</w:t>
      </w:r>
      <w:r w:rsidR="008750F6" w:rsidRPr="00CB502D">
        <w:rPr>
          <w:rStyle w:val="Heading1Char"/>
        </w:rPr>
        <w:t xml:space="preserve">e </w:t>
      </w:r>
      <w:r w:rsidR="008750F6" w:rsidRPr="00CB502D">
        <w:rPr>
          <w:rStyle w:val="Heading1Char"/>
          <w:i/>
        </w:rPr>
        <w:t>Crawford</w:t>
      </w:r>
      <w:r w:rsidR="008750F6" w:rsidRPr="00CB502D">
        <w:rPr>
          <w:rStyle w:val="Heading1Char"/>
        </w:rPr>
        <w:t xml:space="preserve"> Rule</w:t>
      </w:r>
      <w:r w:rsidR="008750F6" w:rsidRPr="00CB502D">
        <w:rPr>
          <w:rFonts w:ascii="Arial" w:hAnsi="Arial" w:cs="Arial"/>
          <w:b/>
          <w:sz w:val="22"/>
          <w:szCs w:val="22"/>
        </w:rPr>
        <w:t>.</w:t>
      </w:r>
      <w:bookmarkEnd w:id="146"/>
      <w:bookmarkEnd w:id="147"/>
      <w:bookmarkEnd w:id="148"/>
      <w:bookmarkEnd w:id="149"/>
      <w:r w:rsidR="008750F6" w:rsidRPr="00CB502D">
        <w:rPr>
          <w:rFonts w:ascii="Arial" w:hAnsi="Arial" w:cs="Arial"/>
          <w:b/>
          <w:sz w:val="22"/>
          <w:szCs w:val="22"/>
        </w:rPr>
        <w:t xml:space="preserve"> </w:t>
      </w:r>
    </w:p>
    <w:p w14:paraId="340AFFAD" w14:textId="36E1C133" w:rsidR="00721378" w:rsidRPr="00CB502D" w:rsidRDefault="00721378" w:rsidP="008546B1">
      <w:pPr>
        <w:ind w:left="720"/>
        <w:rPr>
          <w:vertAlign w:val="superscript"/>
        </w:rPr>
      </w:pPr>
      <w:r w:rsidRPr="00CB502D">
        <w:t xml:space="preserve">The Sixth Amendment’s </w:t>
      </w:r>
      <w:r w:rsidR="00AE664A">
        <w:t>Confrontation Clause</w:t>
      </w:r>
      <w:r w:rsidRPr="00CB502D">
        <w:t xml:space="preserve"> provides that “[</w:t>
      </w:r>
      <w:proofErr w:type="spellStart"/>
      <w:r w:rsidRPr="00CB502D">
        <w:t>i</w:t>
      </w:r>
      <w:proofErr w:type="spellEnd"/>
      <w:r w:rsidRPr="00CB502D">
        <w:t>]n all criminal prosecutions</w:t>
      </w:r>
      <w:r w:rsidR="00B413CD" w:rsidRPr="00CB502D">
        <w:t>,</w:t>
      </w:r>
      <w:r w:rsidRPr="00CB502D">
        <w:t xml:space="preserve"> the accused shall enjoy the right</w:t>
      </w:r>
      <w:r w:rsidR="00FB278A" w:rsidRPr="00CB502D">
        <w:t xml:space="preserve"> . . . </w:t>
      </w:r>
      <w:r w:rsidRPr="00CB502D">
        <w:t>to be confronted with the witnesses against him.”</w:t>
      </w:r>
      <w:r w:rsidRPr="00CB502D">
        <w:rPr>
          <w:rStyle w:val="00BTfootnotecallout"/>
          <w:rFonts w:ascii="Arial" w:hAnsi="Arial" w:cs="Arial"/>
        </w:rPr>
        <w:footnoteReference w:id="1"/>
      </w:r>
      <w:r w:rsidRPr="00CB502D">
        <w:t xml:space="preserve"> This protection applies to the states by way of the Fourteenth Amendment.</w:t>
      </w:r>
      <w:r w:rsidRPr="00CB502D">
        <w:rPr>
          <w:rStyle w:val="00BTfootnotecallout"/>
          <w:rFonts w:ascii="Arial" w:hAnsi="Arial" w:cs="Arial"/>
        </w:rPr>
        <w:footnoteReference w:id="2"/>
      </w:r>
      <w:r w:rsidR="008750F6" w:rsidRPr="00CB502D">
        <w:t xml:space="preserve"> </w:t>
      </w:r>
      <w:r w:rsidRPr="00CB502D">
        <w:t xml:space="preserve">In </w:t>
      </w:r>
      <w:r w:rsidR="008750F6" w:rsidRPr="00CB502D">
        <w:rPr>
          <w:rStyle w:val="00BTitalic"/>
          <w:rFonts w:ascii="Arial" w:hAnsi="Arial" w:cs="Arial"/>
          <w:szCs w:val="22"/>
        </w:rPr>
        <w:t>Crawford v. Washington</w:t>
      </w:r>
      <w:r w:rsidR="008750F6" w:rsidRPr="00CB502D">
        <w:t>,</w:t>
      </w:r>
      <w:r w:rsidR="0014031D" w:rsidRPr="00CB502D">
        <w:rPr>
          <w:rStyle w:val="FootnoteReference"/>
          <w:rFonts w:cs="Arial"/>
          <w:szCs w:val="22"/>
        </w:rPr>
        <w:footnoteReference w:id="3"/>
      </w:r>
      <w:r w:rsidRPr="00CB502D">
        <w:rPr>
          <w:rStyle w:val="00BTitalic"/>
          <w:rFonts w:ascii="Arial" w:hAnsi="Arial" w:cs="Arial"/>
          <w:szCs w:val="22"/>
        </w:rPr>
        <w:t xml:space="preserve"> </w:t>
      </w:r>
      <w:r w:rsidRPr="00CB502D">
        <w:t xml:space="preserve">the Court overruled the reliability test for </w:t>
      </w:r>
      <w:r w:rsidR="00AE664A">
        <w:t>Confrontation Clause</w:t>
      </w:r>
      <w:r w:rsidRPr="00CB502D">
        <w:t xml:space="preserve"> objections and set in place a new, stricter standard for admission of hearsay statements under the </w:t>
      </w:r>
      <w:r w:rsidR="00AE664A">
        <w:t>Confrontation Clause</w:t>
      </w:r>
      <w:r w:rsidRPr="00CB502D">
        <w:t xml:space="preserve">. Under the </w:t>
      </w:r>
      <w:r w:rsidR="00FC5FE5" w:rsidRPr="00CB502D">
        <w:t xml:space="preserve">former </w:t>
      </w:r>
      <w:r w:rsidRPr="00CB502D">
        <w:rPr>
          <w:rStyle w:val="00BTitalic"/>
          <w:rFonts w:ascii="Arial" w:hAnsi="Arial" w:cs="Arial"/>
          <w:szCs w:val="22"/>
        </w:rPr>
        <w:t>Ohio v. Roberts</w:t>
      </w:r>
      <w:r w:rsidRPr="00CB502D">
        <w:rPr>
          <w:rStyle w:val="00BTfootnotecallout"/>
          <w:rFonts w:ascii="Arial" w:hAnsi="Arial" w:cs="Arial"/>
        </w:rPr>
        <w:footnoteReference w:id="4"/>
      </w:r>
      <w:r w:rsidRPr="00CB502D">
        <w:t xml:space="preserve"> reliability test, the </w:t>
      </w:r>
      <w:r w:rsidR="00AE664A">
        <w:t>Confrontation Clause</w:t>
      </w:r>
      <w:r w:rsidRPr="00CB502D">
        <w:t xml:space="preserve"> did not bar admission of an unavailable witness’s statement if the statement had an </w:t>
      </w:r>
      <w:r w:rsidR="00617BE3" w:rsidRPr="00CB502D">
        <w:t>“</w:t>
      </w:r>
      <w:r w:rsidRPr="00CB502D">
        <w:t>adequate indicia of reliability.</w:t>
      </w:r>
      <w:r w:rsidR="00617BE3" w:rsidRPr="00CB502D">
        <w:t>”</w:t>
      </w:r>
      <w:r w:rsidRPr="00CB502D">
        <w:rPr>
          <w:rStyle w:val="00BTfootnotecallout"/>
          <w:rFonts w:ascii="Arial" w:hAnsi="Arial" w:cs="Arial"/>
        </w:rPr>
        <w:footnoteReference w:id="5"/>
      </w:r>
      <w:r w:rsidRPr="00CB502D">
        <w:t xml:space="preserve"> Evidence satisfied that test if it fell within a firmly rooted hearsay exception or had particularized guarantees of trustworthiness.</w:t>
      </w:r>
      <w:r w:rsidRPr="00CB502D">
        <w:rPr>
          <w:rStyle w:val="00BTfootnotecallout"/>
          <w:rFonts w:ascii="Arial" w:hAnsi="Arial" w:cs="Arial"/>
        </w:rPr>
        <w:footnoteReference w:id="6"/>
      </w:r>
      <w:r w:rsidRPr="00CB502D">
        <w:t xml:space="preserve"> </w:t>
      </w:r>
      <w:r w:rsidRPr="00CB502D">
        <w:rPr>
          <w:rStyle w:val="00BTitalic"/>
          <w:rFonts w:ascii="Arial" w:hAnsi="Arial" w:cs="Arial"/>
          <w:szCs w:val="22"/>
        </w:rPr>
        <w:t xml:space="preserve">Crawford </w:t>
      </w:r>
      <w:r w:rsidRPr="00CB502D">
        <w:t xml:space="preserve">rejected the </w:t>
      </w:r>
      <w:r w:rsidRPr="00CB502D">
        <w:rPr>
          <w:rStyle w:val="00BTitalic"/>
          <w:rFonts w:ascii="Arial" w:hAnsi="Arial" w:cs="Arial"/>
          <w:szCs w:val="22"/>
        </w:rPr>
        <w:t xml:space="preserve">Roberts </w:t>
      </w:r>
      <w:r w:rsidRPr="00CB502D">
        <w:t xml:space="preserve">analysis, concluding that although the ultimate goal of the </w:t>
      </w:r>
      <w:r w:rsidR="00AE664A">
        <w:t>Confrontation Clause</w:t>
      </w:r>
      <w:r w:rsidRPr="00CB502D">
        <w:t xml:space="preserve"> is to ensure reliability of evidence, “it is a procedural rather than a substantive guarantee.”</w:t>
      </w:r>
      <w:r w:rsidRPr="00CB502D">
        <w:rPr>
          <w:rStyle w:val="00BTfootnotecallout"/>
          <w:rFonts w:ascii="Arial" w:hAnsi="Arial" w:cs="Arial"/>
        </w:rPr>
        <w:footnoteReference w:id="7"/>
      </w:r>
      <w:r w:rsidRPr="00CB502D">
        <w:t xml:space="preserve"> It continued: The </w:t>
      </w:r>
      <w:r w:rsidR="00AE664A">
        <w:t>Confrontation Clause</w:t>
      </w:r>
      <w:r w:rsidRPr="00CB502D">
        <w:t xml:space="preserve"> “commands, not that evidence be reliable, but that reliability be assessed in a particular manner: by testing in the crucible of cross-examination.”</w:t>
      </w:r>
      <w:r w:rsidRPr="00CB502D">
        <w:rPr>
          <w:rStyle w:val="00BTfootnotecallout"/>
          <w:rFonts w:ascii="Arial" w:hAnsi="Arial" w:cs="Arial"/>
        </w:rPr>
        <w:footnoteReference w:id="8"/>
      </w:r>
      <w:r w:rsidRPr="00CB502D">
        <w:t xml:space="preserve"> </w:t>
      </w:r>
      <w:r w:rsidRPr="00CB502D">
        <w:rPr>
          <w:rStyle w:val="00BTitalic"/>
          <w:rFonts w:ascii="Arial" w:hAnsi="Arial" w:cs="Arial"/>
          <w:szCs w:val="22"/>
        </w:rPr>
        <w:t>Crawford</w:t>
      </w:r>
      <w:r w:rsidRPr="00CB502D">
        <w:t xml:space="preserve"> went on to hold that testimonial statements by declarants who do not appear at trial may not be a</w:t>
      </w:r>
      <w:r w:rsidR="00422D9D" w:rsidRPr="00CB502D">
        <w:t xml:space="preserve">dmitted unless the declarant is </w:t>
      </w:r>
      <w:r w:rsidRPr="00CB502D">
        <w:t>unavailable and the defendant had a prior opportunity to cross-examine the declarant.</w:t>
      </w:r>
      <w:r w:rsidRPr="00CB502D">
        <w:rPr>
          <w:rStyle w:val="00BTfootnotecallout"/>
          <w:rFonts w:ascii="Arial" w:hAnsi="Arial" w:cs="Arial"/>
        </w:rPr>
        <w:footnoteReference w:id="9"/>
      </w:r>
      <w:bookmarkEnd w:id="150"/>
    </w:p>
    <w:p w14:paraId="24FF650B" w14:textId="77777777" w:rsidR="00E84EC2" w:rsidRPr="00CB502D" w:rsidRDefault="00E84EC2" w:rsidP="008546B1">
      <w:pPr>
        <w:rPr>
          <w:vertAlign w:val="superscript"/>
        </w:rPr>
      </w:pPr>
    </w:p>
    <w:p w14:paraId="74D41EA0" w14:textId="77777777" w:rsidR="00721378" w:rsidRPr="00CB502D" w:rsidRDefault="00E03E37" w:rsidP="008546B1">
      <w:r w:rsidRPr="00CB502D">
        <w:rPr>
          <w:noProof/>
        </w:rPr>
        <mc:AlternateContent>
          <mc:Choice Requires="wps">
            <w:drawing>
              <wp:anchor distT="0" distB="0" distL="114300" distR="114300" simplePos="0" relativeHeight="251656704" behindDoc="0" locked="0" layoutInCell="1" allowOverlap="1" wp14:anchorId="29B8C8A0" wp14:editId="003CB0EC">
                <wp:simplePos x="0" y="0"/>
                <wp:positionH relativeFrom="column">
                  <wp:posOffset>466725</wp:posOffset>
                </wp:positionH>
                <wp:positionV relativeFrom="paragraph">
                  <wp:posOffset>30480</wp:posOffset>
                </wp:positionV>
                <wp:extent cx="5372100" cy="9810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0" cy="981075"/>
                        </a:xfrm>
                        <a:prstGeom prst="rect">
                          <a:avLst/>
                        </a:prstGeom>
                        <a:solidFill>
                          <a:schemeClr val="bg1">
                            <a:lumMod val="75000"/>
                          </a:schemeClr>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23745C1" w14:textId="29F993AB" w:rsidR="00CB502D" w:rsidRPr="008750F6" w:rsidRDefault="00CB502D" w:rsidP="008750F6">
                            <w:pPr>
                              <w:pStyle w:val="02TableTitle02TablesandFigures"/>
                              <w:pBdr>
                                <w:bottom w:val="none" w:sz="0" w:space="0" w:color="auto"/>
                              </w:pBdr>
                              <w:spacing w:after="40"/>
                              <w:jc w:val="center"/>
                              <w:rPr>
                                <w:rFonts w:ascii="Arial" w:hAnsi="Arial" w:cs="Arial"/>
                                <w:bCs w:val="0"/>
                                <w:sz w:val="22"/>
                                <w:szCs w:val="22"/>
                              </w:rPr>
                            </w:pPr>
                            <w:r w:rsidRPr="008750F6">
                              <w:rPr>
                                <w:rFonts w:ascii="Arial" w:hAnsi="Arial" w:cs="Arial"/>
                                <w:bCs w:val="0"/>
                                <w:sz w:val="22"/>
                                <w:szCs w:val="22"/>
                              </w:rPr>
                              <w:t xml:space="preserve">The </w:t>
                            </w:r>
                            <w:r w:rsidRPr="008750F6">
                              <w:rPr>
                                <w:rFonts w:ascii="Arial" w:hAnsi="Arial" w:cs="Arial"/>
                                <w:bCs w:val="0"/>
                                <w:i/>
                                <w:iCs/>
                                <w:sz w:val="22"/>
                                <w:szCs w:val="22"/>
                              </w:rPr>
                              <w:t>Crawford</w:t>
                            </w:r>
                            <w:r w:rsidRPr="008750F6">
                              <w:rPr>
                                <w:rFonts w:ascii="Arial" w:hAnsi="Arial" w:cs="Arial"/>
                                <w:bCs w:val="0"/>
                                <w:sz w:val="22"/>
                                <w:szCs w:val="22"/>
                              </w:rPr>
                              <w:t xml:space="preserve"> Rule</w:t>
                            </w:r>
                          </w:p>
                          <w:p w14:paraId="1D7B9DF0" w14:textId="52E6FFF3" w:rsidR="00CB502D" w:rsidRPr="008750F6" w:rsidRDefault="00CB502D" w:rsidP="008750F6">
                            <w:pPr>
                              <w:pStyle w:val="02TableText02TablesandFigures"/>
                              <w:spacing w:before="0"/>
                              <w:jc w:val="center"/>
                              <w:rPr>
                                <w:rFonts w:ascii="Arial" w:hAnsi="Arial" w:cs="Arial"/>
                                <w:b w:val="0"/>
                                <w:sz w:val="22"/>
                                <w:szCs w:val="22"/>
                              </w:rPr>
                            </w:pPr>
                            <w:r w:rsidRPr="008750F6">
                              <w:rPr>
                                <w:rFonts w:ascii="Arial" w:hAnsi="Arial" w:cs="Arial"/>
                                <w:b w:val="0"/>
                                <w:sz w:val="22"/>
                                <w:szCs w:val="22"/>
                              </w:rPr>
                              <w:t>Testimonial statements by witnesses who are not subject to cross-examination at trial may not be admitted unless the witness is unavailable and there has been a prior opportunity for cross-examination</w:t>
                            </w:r>
                            <w:r w:rsidR="00CA4AA1">
                              <w:rPr>
                                <w:rFonts w:ascii="Arial" w:hAnsi="Arial" w:cs="Arial"/>
                                <w:b w:val="0"/>
                                <w:sz w:val="22"/>
                                <w:szCs w:val="22"/>
                              </w:rPr>
                              <w:t xml:space="preserve">, unless the defendant has waived or forfeited the right to confrontation. </w:t>
                            </w:r>
                          </w:p>
                          <w:p w14:paraId="2A66B9BB" w14:textId="77777777" w:rsidR="00CB502D" w:rsidRDefault="00CB50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9B8C8A0" id="_x0000_t202" coordsize="21600,21600" o:spt="202" path="m,l,21600r21600,l21600,xe">
                <v:stroke joinstyle="miter"/>
                <v:path gradientshapeok="t" o:connecttype="rect"/>
              </v:shapetype>
              <v:shape id="Text Box 2" o:spid="_x0000_s1026" type="#_x0000_t202" style="position:absolute;margin-left:36.75pt;margin-top:2.4pt;width:423pt;height:7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" fillcolor="#bfbfbf [2412]" strokecolor="black [3213]" strokeweight="1pt">
                <v:path arrowok="t"/>
                <v:textbox>
                  <w:txbxContent>
                    <w:p w14:paraId="023745C1" w14:textId="29F993AB" w:rsidR="00CB502D" w:rsidRPr="008750F6" w:rsidRDefault="00CB502D" w:rsidP="008750F6">
                      <w:pPr>
                        <w:pStyle w:val="02TableTitle02TablesandFigures"/>
                        <w:pBdr>
                          <w:bottom w:val="none" w:sz="0" w:space="0" w:color="auto"/>
                        </w:pBdr>
                        <w:spacing w:after="40"/>
                        <w:jc w:val="center"/>
                        <w:rPr>
                          <w:rFonts w:ascii="Arial" w:hAnsi="Arial" w:cs="Arial"/>
                          <w:bCs w:val="0"/>
                          <w:sz w:val="22"/>
                          <w:szCs w:val="22"/>
                        </w:rPr>
                      </w:pPr>
                      <w:r w:rsidRPr="008750F6">
                        <w:rPr>
                          <w:rFonts w:ascii="Arial" w:hAnsi="Arial" w:cs="Arial"/>
                          <w:bCs w:val="0"/>
                          <w:sz w:val="22"/>
                          <w:szCs w:val="22"/>
                        </w:rPr>
                        <w:t xml:space="preserve">The </w:t>
                      </w:r>
                      <w:r w:rsidRPr="008750F6">
                        <w:rPr>
                          <w:rFonts w:ascii="Arial" w:hAnsi="Arial" w:cs="Arial"/>
                          <w:bCs w:val="0"/>
                          <w:i/>
                          <w:iCs/>
                          <w:sz w:val="22"/>
                          <w:szCs w:val="22"/>
                        </w:rPr>
                        <w:t>Crawford</w:t>
                      </w:r>
                      <w:r w:rsidRPr="008750F6">
                        <w:rPr>
                          <w:rFonts w:ascii="Arial" w:hAnsi="Arial" w:cs="Arial"/>
                          <w:bCs w:val="0"/>
                          <w:sz w:val="22"/>
                          <w:szCs w:val="22"/>
                        </w:rPr>
                        <w:t xml:space="preserve"> Rule</w:t>
                      </w:r>
                    </w:p>
                    <w:p w14:paraId="1D7B9DF0" w14:textId="52E6FFF3" w:rsidR="00CB502D" w:rsidRPr="008750F6" w:rsidRDefault="00CB502D" w:rsidP="008750F6">
                      <w:pPr>
                        <w:pStyle w:val="02TableText02TablesandFigures"/>
                        <w:spacing w:before="0"/>
                        <w:jc w:val="center"/>
                        <w:rPr>
                          <w:rFonts w:ascii="Arial" w:hAnsi="Arial" w:cs="Arial"/>
                          <w:b w:val="0"/>
                          <w:sz w:val="22"/>
                          <w:szCs w:val="22"/>
                        </w:rPr>
                      </w:pPr>
                      <w:r w:rsidRPr="008750F6">
                        <w:rPr>
                          <w:rFonts w:ascii="Arial" w:hAnsi="Arial" w:cs="Arial"/>
                          <w:b w:val="0"/>
                          <w:sz w:val="22"/>
                          <w:szCs w:val="22"/>
                        </w:rPr>
                        <w:t>Testimonial statements by witnesses who are not subject to cross-examination at trial may not be admitted unless the witness is unavailable and there has been a prior opportunity for cross-examination</w:t>
                      </w:r>
                      <w:r w:rsidR="00CA4AA1">
                        <w:rPr>
                          <w:rFonts w:ascii="Arial" w:hAnsi="Arial" w:cs="Arial"/>
                          <w:b w:val="0"/>
                          <w:sz w:val="22"/>
                          <w:szCs w:val="22"/>
                        </w:rPr>
                        <w:t xml:space="preserve">, unless the defendant has waived or forfeited the right to confrontation. </w:t>
                      </w:r>
                    </w:p>
                    <w:p w14:paraId="2A66B9BB" w14:textId="77777777" w:rsidR="00CB502D" w:rsidRDefault="00CB502D"/>
                  </w:txbxContent>
                </v:textbox>
                <w10:wrap type="square"/>
              </v:shape>
            </w:pict>
          </mc:Fallback>
        </mc:AlternateContent>
      </w:r>
    </w:p>
    <w:p w14:paraId="08A7D2D8" w14:textId="77777777" w:rsidR="00E84EC2" w:rsidRPr="00CB502D" w:rsidRDefault="00E84EC2" w:rsidP="008546B1">
      <w:pPr>
        <w:rPr>
          <w:b/>
        </w:rPr>
      </w:pPr>
    </w:p>
    <w:p w14:paraId="29505F8B" w14:textId="77777777" w:rsidR="00E84EC2" w:rsidRPr="00CB502D" w:rsidRDefault="00E84EC2" w:rsidP="008546B1">
      <w:pPr>
        <w:rPr>
          <w:b/>
        </w:rPr>
      </w:pPr>
    </w:p>
    <w:p w14:paraId="0B6E1E62" w14:textId="77777777" w:rsidR="00E84EC2" w:rsidRPr="00CB502D" w:rsidRDefault="00E84EC2" w:rsidP="008546B1">
      <w:pPr>
        <w:rPr>
          <w:b/>
        </w:rPr>
      </w:pPr>
    </w:p>
    <w:p w14:paraId="1A9042A3" w14:textId="77777777" w:rsidR="00E84EC2" w:rsidRPr="00CB502D" w:rsidRDefault="00E84EC2" w:rsidP="008546B1">
      <w:pPr>
        <w:rPr>
          <w:b/>
        </w:rPr>
      </w:pPr>
    </w:p>
    <w:p w14:paraId="2B592110" w14:textId="77777777" w:rsidR="00E84EC2" w:rsidRPr="00CB502D" w:rsidRDefault="00E84EC2" w:rsidP="008546B1">
      <w:pPr>
        <w:rPr>
          <w:b/>
        </w:rPr>
      </w:pPr>
    </w:p>
    <w:p w14:paraId="15561EFC" w14:textId="77777777" w:rsidR="00E84EC2" w:rsidRPr="00CB502D" w:rsidRDefault="00E84EC2" w:rsidP="008546B1">
      <w:pPr>
        <w:rPr>
          <w:b/>
        </w:rPr>
      </w:pPr>
    </w:p>
    <w:p w14:paraId="23EF578E" w14:textId="77777777" w:rsidR="00F32D19" w:rsidRPr="00CB502D" w:rsidRDefault="00721378" w:rsidP="008546B1">
      <w:pPr>
        <w:pStyle w:val="00Bhead00Heads"/>
        <w:numPr>
          <w:ilvl w:val="0"/>
          <w:numId w:val="83"/>
        </w:numPr>
        <w:spacing w:before="0" w:line="240" w:lineRule="auto"/>
        <w:outlineLvl w:val="1"/>
        <w:rPr>
          <w:rFonts w:ascii="Arial" w:hAnsi="Arial" w:cs="Arial"/>
          <w:b/>
        </w:rPr>
      </w:pPr>
      <w:bookmarkStart w:id="151" w:name="TheNewCrawfordRule"/>
      <w:bookmarkStart w:id="152" w:name="WhenCrawfordIssuesArise"/>
      <w:bookmarkStart w:id="153" w:name="_Toc398033806"/>
      <w:bookmarkStart w:id="154" w:name="_Toc223718238"/>
      <w:bookmarkStart w:id="155" w:name="_Toc223718494"/>
      <w:bookmarkStart w:id="156" w:name="_Toc223731885"/>
      <w:r w:rsidRPr="00CB502D">
        <w:rPr>
          <w:rStyle w:val="Heading2Char"/>
        </w:rPr>
        <w:lastRenderedPageBreak/>
        <w:t xml:space="preserve">When </w:t>
      </w:r>
      <w:r w:rsidRPr="00CB502D">
        <w:rPr>
          <w:rStyle w:val="Heading2Char"/>
          <w:i/>
        </w:rPr>
        <w:t>Crawford</w:t>
      </w:r>
      <w:r w:rsidRPr="00CB502D">
        <w:rPr>
          <w:rStyle w:val="Heading2Char"/>
        </w:rPr>
        <w:t xml:space="preserve"> Issues Arise</w:t>
      </w:r>
      <w:bookmarkEnd w:id="151"/>
      <w:bookmarkEnd w:id="152"/>
      <w:r w:rsidR="008750F6" w:rsidRPr="00CB502D">
        <w:rPr>
          <w:rFonts w:ascii="Arial" w:hAnsi="Arial" w:cs="Arial"/>
          <w:b/>
        </w:rPr>
        <w:t>.</w:t>
      </w:r>
      <w:bookmarkEnd w:id="153"/>
      <w:bookmarkEnd w:id="154"/>
      <w:bookmarkEnd w:id="155"/>
      <w:bookmarkEnd w:id="156"/>
      <w:r w:rsidR="008750F6" w:rsidRPr="00CB502D">
        <w:rPr>
          <w:rFonts w:ascii="Arial" w:hAnsi="Arial" w:cs="Arial"/>
          <w:b/>
        </w:rPr>
        <w:t xml:space="preserve"> </w:t>
      </w:r>
    </w:p>
    <w:p w14:paraId="2FFEAA4B" w14:textId="5E09ABE2" w:rsidR="00721378" w:rsidRPr="00CB502D" w:rsidRDefault="00721378" w:rsidP="008546B1">
      <w:pPr>
        <w:ind w:left="1440"/>
      </w:pPr>
      <w:r w:rsidRPr="00CB502D">
        <w:rPr>
          <w:rStyle w:val="00BTitalic"/>
          <w:rFonts w:ascii="Arial" w:hAnsi="Arial" w:cs="Arial"/>
        </w:rPr>
        <w:t>Crawford</w:t>
      </w:r>
      <w:r w:rsidR="00422D9D" w:rsidRPr="00CB502D">
        <w:t xml:space="preserve"> issues </w:t>
      </w:r>
      <w:r w:rsidR="00E64C08">
        <w:t xml:space="preserve">may </w:t>
      </w:r>
      <w:r w:rsidR="00422D9D" w:rsidRPr="00CB502D">
        <w:t>arise whenever the S</w:t>
      </w:r>
      <w:r w:rsidRPr="00CB502D">
        <w:t>tate seeks to introduce statements of a witness who is not subject to cross-examination at trial.</w:t>
      </w:r>
      <w:r w:rsidR="00531CD5" w:rsidRPr="00CB502D">
        <w:rPr>
          <w:rStyle w:val="FootnoteReference"/>
        </w:rPr>
        <w:footnoteReference w:id="10"/>
      </w:r>
      <w:r w:rsidRPr="00CB502D">
        <w:t xml:space="preserve"> For example, </w:t>
      </w:r>
      <w:r w:rsidRPr="00CB502D">
        <w:rPr>
          <w:rStyle w:val="00BTitalic"/>
          <w:rFonts w:ascii="Arial" w:hAnsi="Arial" w:cs="Arial"/>
        </w:rPr>
        <w:t xml:space="preserve">Crawford </w:t>
      </w:r>
      <w:r w:rsidR="00422D9D" w:rsidRPr="00CB502D">
        <w:t>issues arise when the S</w:t>
      </w:r>
      <w:r w:rsidRPr="00CB502D">
        <w:t>tate seeks to admit:</w:t>
      </w:r>
    </w:p>
    <w:p w14:paraId="57D7D291" w14:textId="77777777" w:rsidR="008750F6" w:rsidRPr="00CB502D" w:rsidRDefault="008750F6" w:rsidP="00972203">
      <w:pPr>
        <w:pStyle w:val="01BTbulletlist01BTstyles"/>
        <w:spacing w:line="240" w:lineRule="auto"/>
        <w:rPr>
          <w:rFonts w:ascii="Arial" w:hAnsi="Arial" w:cs="Arial"/>
        </w:rPr>
      </w:pPr>
    </w:p>
    <w:p w14:paraId="0DB5DDEB" w14:textId="77777777" w:rsidR="008750F6" w:rsidRPr="00CB502D" w:rsidRDefault="00721378" w:rsidP="00972203">
      <w:pPr>
        <w:pStyle w:val="01BTbulletlist01BTstyles"/>
        <w:numPr>
          <w:ilvl w:val="0"/>
          <w:numId w:val="2"/>
        </w:numPr>
        <w:spacing w:line="240" w:lineRule="auto"/>
        <w:rPr>
          <w:rFonts w:ascii="Arial" w:hAnsi="Arial" w:cs="Arial"/>
        </w:rPr>
      </w:pPr>
      <w:r w:rsidRPr="00CB502D">
        <w:rPr>
          <w:rFonts w:ascii="Arial" w:hAnsi="Arial" w:cs="Arial"/>
        </w:rPr>
        <w:t xml:space="preserve">out-of-court statements of a </w:t>
      </w:r>
      <w:proofErr w:type="spellStart"/>
      <w:r w:rsidRPr="00CB502D">
        <w:rPr>
          <w:rFonts w:ascii="Arial" w:hAnsi="Arial" w:cs="Arial"/>
        </w:rPr>
        <w:t>nontestifying</w:t>
      </w:r>
      <w:proofErr w:type="spellEnd"/>
      <w:r w:rsidRPr="00CB502D">
        <w:rPr>
          <w:rFonts w:ascii="Arial" w:hAnsi="Arial" w:cs="Arial"/>
        </w:rPr>
        <w:t xml:space="preserve"> domestic violence victim to first-responding officers or to a 911 </w:t>
      </w:r>
      <w:proofErr w:type="gramStart"/>
      <w:r w:rsidRPr="00CB502D">
        <w:rPr>
          <w:rFonts w:ascii="Arial" w:hAnsi="Arial" w:cs="Arial"/>
        </w:rPr>
        <w:t>operator;</w:t>
      </w:r>
      <w:proofErr w:type="gramEnd"/>
    </w:p>
    <w:p w14:paraId="150F40AA" w14:textId="77777777" w:rsidR="008750F6" w:rsidRPr="00CB502D" w:rsidRDefault="00721378" w:rsidP="00972203">
      <w:pPr>
        <w:pStyle w:val="01BTbulletlist01BTstyles"/>
        <w:numPr>
          <w:ilvl w:val="0"/>
          <w:numId w:val="2"/>
        </w:numPr>
        <w:spacing w:line="240" w:lineRule="auto"/>
        <w:rPr>
          <w:rFonts w:ascii="Arial" w:hAnsi="Arial" w:cs="Arial"/>
        </w:rPr>
      </w:pPr>
      <w:r w:rsidRPr="00CB502D">
        <w:rPr>
          <w:rFonts w:ascii="Arial" w:hAnsi="Arial" w:cs="Arial"/>
        </w:rPr>
        <w:t xml:space="preserve">out-of-court statements of a </w:t>
      </w:r>
      <w:proofErr w:type="spellStart"/>
      <w:r w:rsidRPr="00CB502D">
        <w:rPr>
          <w:rFonts w:ascii="Arial" w:hAnsi="Arial" w:cs="Arial"/>
        </w:rPr>
        <w:t>nontestifying</w:t>
      </w:r>
      <w:proofErr w:type="spellEnd"/>
      <w:r w:rsidRPr="00CB502D">
        <w:rPr>
          <w:rFonts w:ascii="Arial" w:hAnsi="Arial" w:cs="Arial"/>
        </w:rPr>
        <w:t xml:space="preserve"> child sexual assault victim to a family member, social worker, or </w:t>
      </w:r>
      <w:proofErr w:type="gramStart"/>
      <w:r w:rsidRPr="00CB502D">
        <w:rPr>
          <w:rFonts w:ascii="Arial" w:hAnsi="Arial" w:cs="Arial"/>
        </w:rPr>
        <w:t>doctor;</w:t>
      </w:r>
      <w:proofErr w:type="gramEnd"/>
    </w:p>
    <w:p w14:paraId="05306765" w14:textId="686A0ACC" w:rsidR="008750F6" w:rsidRPr="00CB502D" w:rsidRDefault="00721378" w:rsidP="00972203">
      <w:pPr>
        <w:pStyle w:val="01BTbulletlist01BTstyles"/>
        <w:numPr>
          <w:ilvl w:val="0"/>
          <w:numId w:val="2"/>
        </w:numPr>
        <w:spacing w:line="240" w:lineRule="auto"/>
        <w:rPr>
          <w:rFonts w:ascii="Arial" w:hAnsi="Arial" w:cs="Arial"/>
        </w:rPr>
      </w:pPr>
      <w:r w:rsidRPr="00CB502D">
        <w:rPr>
          <w:rFonts w:ascii="Arial" w:hAnsi="Arial" w:cs="Arial"/>
        </w:rPr>
        <w:t xml:space="preserve">a forensic report by a </w:t>
      </w:r>
      <w:proofErr w:type="spellStart"/>
      <w:r w:rsidRPr="00CB502D">
        <w:rPr>
          <w:rFonts w:ascii="Arial" w:hAnsi="Arial" w:cs="Arial"/>
        </w:rPr>
        <w:t>nontestifying</w:t>
      </w:r>
      <w:proofErr w:type="spellEnd"/>
      <w:r w:rsidRPr="00CB502D">
        <w:rPr>
          <w:rFonts w:ascii="Arial" w:hAnsi="Arial" w:cs="Arial"/>
        </w:rPr>
        <w:t xml:space="preserve"> analyst identifying a substance as a controlled substance or specifying its </w:t>
      </w:r>
      <w:proofErr w:type="gramStart"/>
      <w:r w:rsidRPr="00CB502D">
        <w:rPr>
          <w:rFonts w:ascii="Arial" w:hAnsi="Arial" w:cs="Arial"/>
        </w:rPr>
        <w:t>weight;</w:t>
      </w:r>
      <w:proofErr w:type="gramEnd"/>
    </w:p>
    <w:p w14:paraId="2CFB328F" w14:textId="28AD7BBB" w:rsidR="008750F6" w:rsidRPr="00CB502D" w:rsidRDefault="00721378" w:rsidP="00972203">
      <w:pPr>
        <w:pStyle w:val="01BTbulletlist01BTstyles"/>
        <w:numPr>
          <w:ilvl w:val="0"/>
          <w:numId w:val="2"/>
        </w:numPr>
        <w:spacing w:line="240" w:lineRule="auto"/>
        <w:rPr>
          <w:rFonts w:ascii="Arial" w:hAnsi="Arial" w:cs="Arial"/>
        </w:rPr>
      </w:pPr>
      <w:r w:rsidRPr="00CB502D">
        <w:rPr>
          <w:rFonts w:ascii="Arial" w:hAnsi="Arial" w:cs="Arial"/>
        </w:rPr>
        <w:t xml:space="preserve">an autopsy report by a </w:t>
      </w:r>
      <w:proofErr w:type="spellStart"/>
      <w:r w:rsidRPr="00CB502D">
        <w:rPr>
          <w:rFonts w:ascii="Arial" w:hAnsi="Arial" w:cs="Arial"/>
        </w:rPr>
        <w:t>nontestifying</w:t>
      </w:r>
      <w:proofErr w:type="spellEnd"/>
      <w:r w:rsidRPr="00CB502D">
        <w:rPr>
          <w:rFonts w:ascii="Arial" w:hAnsi="Arial" w:cs="Arial"/>
        </w:rPr>
        <w:t xml:space="preserve"> medical examiner specifying the cause of a victim’s </w:t>
      </w:r>
      <w:proofErr w:type="gramStart"/>
      <w:r w:rsidRPr="00CB502D">
        <w:rPr>
          <w:rFonts w:ascii="Arial" w:hAnsi="Arial" w:cs="Arial"/>
        </w:rPr>
        <w:t>death;</w:t>
      </w:r>
      <w:proofErr w:type="gramEnd"/>
    </w:p>
    <w:p w14:paraId="3BCF5983" w14:textId="22709059" w:rsidR="008750F6" w:rsidRPr="00CB502D" w:rsidRDefault="00721378" w:rsidP="00972203">
      <w:pPr>
        <w:pStyle w:val="01BTbulletlist01BTstyles"/>
        <w:numPr>
          <w:ilvl w:val="0"/>
          <w:numId w:val="2"/>
        </w:numPr>
        <w:spacing w:line="240" w:lineRule="auto"/>
        <w:rPr>
          <w:rFonts w:ascii="Arial" w:hAnsi="Arial" w:cs="Arial"/>
        </w:rPr>
      </w:pPr>
      <w:r w:rsidRPr="00CB502D">
        <w:rPr>
          <w:rFonts w:ascii="Arial" w:hAnsi="Arial" w:cs="Arial"/>
        </w:rPr>
        <w:t xml:space="preserve">a chemical analyst’s affidavit in an impaired driving case, when the analyst </w:t>
      </w:r>
      <w:r w:rsidR="008052E3" w:rsidRPr="00CB502D">
        <w:rPr>
          <w:rFonts w:ascii="Arial" w:hAnsi="Arial" w:cs="Arial"/>
        </w:rPr>
        <w:t xml:space="preserve">does not testify </w:t>
      </w:r>
      <w:r w:rsidRPr="00CB502D">
        <w:rPr>
          <w:rFonts w:ascii="Arial" w:hAnsi="Arial" w:cs="Arial"/>
        </w:rPr>
        <w:t xml:space="preserve">at </w:t>
      </w:r>
      <w:proofErr w:type="gramStart"/>
      <w:r w:rsidRPr="00CB502D">
        <w:rPr>
          <w:rFonts w:ascii="Arial" w:hAnsi="Arial" w:cs="Arial"/>
        </w:rPr>
        <w:t>trial;</w:t>
      </w:r>
      <w:proofErr w:type="gramEnd"/>
    </w:p>
    <w:p w14:paraId="1CA9CDF5" w14:textId="77777777" w:rsidR="00F035F0" w:rsidRPr="00CB502D" w:rsidRDefault="00DE1DD5" w:rsidP="00972203">
      <w:pPr>
        <w:pStyle w:val="01BTbulletlist01BTstyles"/>
        <w:numPr>
          <w:ilvl w:val="0"/>
          <w:numId w:val="2"/>
        </w:numPr>
        <w:spacing w:line="240" w:lineRule="auto"/>
        <w:rPr>
          <w:rFonts w:ascii="Arial" w:hAnsi="Arial" w:cs="Arial"/>
        </w:rPr>
      </w:pPr>
      <w:r w:rsidRPr="00CB502D">
        <w:rPr>
          <w:rFonts w:ascii="Arial" w:hAnsi="Arial" w:cs="Arial"/>
        </w:rPr>
        <w:t>a written record prepared by an</w:t>
      </w:r>
      <w:r w:rsidR="00721378" w:rsidRPr="00CB502D">
        <w:rPr>
          <w:rFonts w:ascii="Arial" w:hAnsi="Arial" w:cs="Arial"/>
        </w:rPr>
        <w:t xml:space="preserve"> evidence custodian to establish chain of custody, when the custodian does not testify at trial.</w:t>
      </w:r>
    </w:p>
    <w:p w14:paraId="394F01E7" w14:textId="77777777" w:rsidR="00F035F0" w:rsidRPr="00CB502D" w:rsidRDefault="00F035F0" w:rsidP="00972203">
      <w:pPr>
        <w:pStyle w:val="01BTbulletlist01BTstyles"/>
        <w:spacing w:line="240" w:lineRule="auto"/>
        <w:ind w:left="1440" w:firstLine="0"/>
        <w:rPr>
          <w:rFonts w:ascii="Arial" w:hAnsi="Arial" w:cs="Arial"/>
        </w:rPr>
      </w:pPr>
    </w:p>
    <w:p w14:paraId="2708C2DA" w14:textId="77777777" w:rsidR="00F32D19" w:rsidRPr="00CB502D" w:rsidRDefault="00721378" w:rsidP="008546B1">
      <w:pPr>
        <w:pStyle w:val="01BTbulletlist01BTstyles"/>
        <w:numPr>
          <w:ilvl w:val="0"/>
          <w:numId w:val="83"/>
        </w:numPr>
        <w:spacing w:line="240" w:lineRule="auto"/>
        <w:outlineLvl w:val="1"/>
        <w:rPr>
          <w:rFonts w:ascii="Arial" w:hAnsi="Arial" w:cs="Arial"/>
          <w:b/>
        </w:rPr>
      </w:pPr>
      <w:bookmarkStart w:id="157" w:name="FrameworkforAnalysis"/>
      <w:bookmarkStart w:id="158" w:name="_Toc398033807"/>
      <w:bookmarkStart w:id="159" w:name="_Toc223718239"/>
      <w:bookmarkStart w:id="160" w:name="_Toc223718495"/>
      <w:bookmarkStart w:id="161" w:name="_Toc223731886"/>
      <w:r w:rsidRPr="00CB502D">
        <w:rPr>
          <w:rStyle w:val="Heading2Char"/>
        </w:rPr>
        <w:t>Framework for Analysis</w:t>
      </w:r>
      <w:bookmarkEnd w:id="157"/>
      <w:r w:rsidR="00F035F0" w:rsidRPr="00CB502D">
        <w:rPr>
          <w:rFonts w:ascii="Arial" w:hAnsi="Arial" w:cs="Arial"/>
          <w:b/>
        </w:rPr>
        <w:t>.</w:t>
      </w:r>
      <w:bookmarkEnd w:id="158"/>
      <w:bookmarkEnd w:id="159"/>
      <w:bookmarkEnd w:id="160"/>
      <w:bookmarkEnd w:id="161"/>
      <w:r w:rsidR="00F035F0" w:rsidRPr="00CB502D">
        <w:rPr>
          <w:rFonts w:ascii="Arial" w:hAnsi="Arial" w:cs="Arial"/>
          <w:b/>
        </w:rPr>
        <w:t xml:space="preserve"> </w:t>
      </w:r>
    </w:p>
    <w:p w14:paraId="1627E70F" w14:textId="77777777" w:rsidR="00907316" w:rsidRPr="00CB502D" w:rsidRDefault="00721378" w:rsidP="008546B1">
      <w:pPr>
        <w:ind w:left="1440"/>
      </w:pPr>
      <w:r w:rsidRPr="00CB502D">
        <w:t xml:space="preserve">The flowchart in Figure 1 </w:t>
      </w:r>
      <w:r w:rsidR="006569E6" w:rsidRPr="00CB502D">
        <w:t xml:space="preserve">below </w:t>
      </w:r>
      <w:r w:rsidRPr="00CB502D">
        <w:t xml:space="preserve">sets out a framework for analyzing </w:t>
      </w:r>
      <w:r w:rsidRPr="00CB502D">
        <w:rPr>
          <w:rStyle w:val="00BTitalic"/>
          <w:rFonts w:ascii="Arial" w:hAnsi="Arial" w:cs="Arial"/>
        </w:rPr>
        <w:t>Crawford</w:t>
      </w:r>
      <w:r w:rsidRPr="00CB502D">
        <w:t xml:space="preserve"> issues. The steps of this analysis are fleshed </w:t>
      </w:r>
      <w:r w:rsidR="00F035F0" w:rsidRPr="00CB502D">
        <w:t>out in the sections that follow.</w:t>
      </w:r>
    </w:p>
    <w:p w14:paraId="13D7F754" w14:textId="77777777" w:rsidR="007479CF" w:rsidRPr="00CB502D" w:rsidRDefault="007479CF" w:rsidP="008546B1">
      <w:pPr>
        <w:ind w:left="1440"/>
      </w:pPr>
    </w:p>
    <w:p w14:paraId="5F3812ED" w14:textId="46DAAF09" w:rsidR="005C4519" w:rsidRDefault="005C4519">
      <w:r>
        <w:br w:type="page"/>
      </w:r>
    </w:p>
    <w:p w14:paraId="07E11B3E" w14:textId="5598365B" w:rsidR="005C4519" w:rsidRPr="005C4519" w:rsidRDefault="005C4519" w:rsidP="00A67AE3">
      <w:pPr>
        <w:rPr>
          <w:b/>
          <w:bCs/>
        </w:rPr>
      </w:pPr>
      <w:r>
        <w:rPr>
          <w:b/>
          <w:bCs/>
        </w:rPr>
        <w:lastRenderedPageBreak/>
        <w:t>Figure 1. Confrontation Clause Flowchart</w:t>
      </w:r>
    </w:p>
    <w:p w14:paraId="38C7C910" w14:textId="77777777" w:rsidR="005C4519" w:rsidRDefault="005C4519" w:rsidP="00A67AE3"/>
    <w:p w14:paraId="432AEDF8" w14:textId="4B6A1BF2" w:rsidR="00033BA1" w:rsidRPr="00CB502D" w:rsidRDefault="005C4519" w:rsidP="00033BA1">
      <w:r>
        <w:rPr>
          <w:noProof/>
        </w:rPr>
        <w:drawing>
          <wp:inline distT="0" distB="0" distL="0" distR="0" wp14:anchorId="0B00D236" wp14:editId="41EDD7F6">
            <wp:extent cx="5936615" cy="7687945"/>
            <wp:effectExtent l="0" t="0" r="0" b="0"/>
            <wp:docPr id="20915678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6615" cy="7687945"/>
                    </a:xfrm>
                    <a:prstGeom prst="rect">
                      <a:avLst/>
                    </a:prstGeom>
                    <a:noFill/>
                    <a:ln>
                      <a:noFill/>
                    </a:ln>
                  </pic:spPr>
                </pic:pic>
              </a:graphicData>
            </a:graphic>
          </wp:inline>
        </w:drawing>
      </w:r>
    </w:p>
    <w:p w14:paraId="60F80A46" w14:textId="77777777" w:rsidR="00097E33" w:rsidRPr="00CB502D" w:rsidRDefault="00097E33">
      <w:pPr>
        <w:rPr>
          <w:rFonts w:cs="Arial"/>
          <w:b/>
          <w:color w:val="000000"/>
          <w:szCs w:val="22"/>
        </w:rPr>
      </w:pPr>
      <w:bookmarkStart w:id="162" w:name="StatementOfferedForItsTruthAgainst"/>
      <w:r w:rsidRPr="00CB502D">
        <w:br w:type="page"/>
      </w:r>
    </w:p>
    <w:p w14:paraId="26AF0EB3" w14:textId="77777777" w:rsidR="00F32D19" w:rsidRPr="00CB502D" w:rsidRDefault="00E84EC2" w:rsidP="00033BA1">
      <w:pPr>
        <w:pStyle w:val="Heading1"/>
      </w:pPr>
      <w:bookmarkStart w:id="163" w:name="_Toc223718240"/>
      <w:bookmarkStart w:id="164" w:name="_Toc223718496"/>
      <w:bookmarkStart w:id="165" w:name="_Toc223731887"/>
      <w:r w:rsidRPr="003D3377">
        <w:lastRenderedPageBreak/>
        <w:t xml:space="preserve">Statement Offered </w:t>
      </w:r>
      <w:proofErr w:type="gramStart"/>
      <w:r w:rsidRPr="003D3377">
        <w:t>For</w:t>
      </w:r>
      <w:proofErr w:type="gramEnd"/>
      <w:r w:rsidRPr="003D3377">
        <w:t xml:space="preserve"> Its Truth Against the Defendant</w:t>
      </w:r>
      <w:bookmarkEnd w:id="162"/>
      <w:r w:rsidRPr="00CB502D">
        <w:t>.</w:t>
      </w:r>
      <w:bookmarkEnd w:id="163"/>
      <w:bookmarkEnd w:id="164"/>
      <w:bookmarkEnd w:id="165"/>
      <w:r w:rsidRPr="00CB502D">
        <w:t xml:space="preserve"> </w:t>
      </w:r>
    </w:p>
    <w:p w14:paraId="24D3B8C1" w14:textId="77777777" w:rsidR="00F32D19" w:rsidRPr="00CB502D" w:rsidRDefault="006569E6" w:rsidP="00D65E75">
      <w:pPr>
        <w:pStyle w:val="01BTbulletlist01BTstyles"/>
        <w:numPr>
          <w:ilvl w:val="0"/>
          <w:numId w:val="84"/>
        </w:numPr>
        <w:tabs>
          <w:tab w:val="clear" w:pos="440"/>
          <w:tab w:val="left" w:pos="0"/>
        </w:tabs>
        <w:spacing w:line="240" w:lineRule="auto"/>
        <w:ind w:left="1440" w:hanging="630"/>
        <w:outlineLvl w:val="1"/>
        <w:rPr>
          <w:rFonts w:ascii="Arial" w:hAnsi="Arial" w:cs="Arial"/>
          <w:b/>
        </w:rPr>
      </w:pPr>
      <w:bookmarkStart w:id="166" w:name="OfferedforItsTruth"/>
      <w:bookmarkStart w:id="167" w:name="_Toc398033808"/>
      <w:bookmarkStart w:id="168" w:name="_Toc223718241"/>
      <w:bookmarkStart w:id="169" w:name="_Toc223718497"/>
      <w:bookmarkStart w:id="170" w:name="_Toc223731888"/>
      <w:r w:rsidRPr="00CB502D">
        <w:rPr>
          <w:rStyle w:val="Heading2Char"/>
        </w:rPr>
        <w:t>F</w:t>
      </w:r>
      <w:r w:rsidR="00E84EC2" w:rsidRPr="00CB502D">
        <w:rPr>
          <w:rStyle w:val="Heading2Char"/>
        </w:rPr>
        <w:t>or Its Truth</w:t>
      </w:r>
      <w:bookmarkEnd w:id="166"/>
      <w:r w:rsidR="00E84EC2" w:rsidRPr="00CB502D">
        <w:rPr>
          <w:rFonts w:ascii="Arial" w:hAnsi="Arial" w:cs="Arial"/>
          <w:b/>
        </w:rPr>
        <w:t>.</w:t>
      </w:r>
      <w:bookmarkEnd w:id="167"/>
      <w:bookmarkEnd w:id="168"/>
      <w:bookmarkEnd w:id="169"/>
      <w:bookmarkEnd w:id="170"/>
      <w:r w:rsidR="00E84EC2" w:rsidRPr="00CB502D">
        <w:rPr>
          <w:rFonts w:ascii="Arial" w:hAnsi="Arial" w:cs="Arial"/>
          <w:b/>
        </w:rPr>
        <w:t xml:space="preserve"> </w:t>
      </w:r>
    </w:p>
    <w:p w14:paraId="696381C7" w14:textId="77777777" w:rsidR="00E84EC2" w:rsidRPr="00CB502D" w:rsidRDefault="00E84EC2" w:rsidP="008546B1">
      <w:pPr>
        <w:ind w:left="1440"/>
      </w:pPr>
      <w:r w:rsidRPr="00CB502D">
        <w:rPr>
          <w:i/>
        </w:rPr>
        <w:t xml:space="preserve">Crawford </w:t>
      </w:r>
      <w:r w:rsidRPr="00CB502D">
        <w:t>is implicated only if the out of court statement is offered for its truth.</w:t>
      </w:r>
      <w:r w:rsidRPr="00CB502D">
        <w:rPr>
          <w:rStyle w:val="FootnoteReference"/>
          <w:rFonts w:cs="Arial"/>
        </w:rPr>
        <w:footnoteReference w:id="11"/>
      </w:r>
      <w:r w:rsidRPr="00CB502D">
        <w:t xml:space="preserve"> </w:t>
      </w:r>
    </w:p>
    <w:p w14:paraId="29769BF1" w14:textId="77777777" w:rsidR="00F32D19" w:rsidRPr="00CB502D" w:rsidRDefault="007E18BD" w:rsidP="002F68D8">
      <w:pPr>
        <w:pStyle w:val="Heading3"/>
        <w:numPr>
          <w:ilvl w:val="0"/>
          <w:numId w:val="92"/>
        </w:numPr>
        <w:ind w:left="2160" w:hanging="720"/>
      </w:pPr>
      <w:r w:rsidRPr="00CB502D">
        <w:t>Role of</w:t>
      </w:r>
      <w:r w:rsidR="00E84EC2" w:rsidRPr="00CB502D">
        <w:t xml:space="preserve"> Hearsay Rules. </w:t>
      </w:r>
    </w:p>
    <w:p w14:paraId="1B791C29" w14:textId="1C73CBAA" w:rsidR="007E18BD" w:rsidRPr="00CB502D" w:rsidRDefault="00ED730F" w:rsidP="004C3078">
      <w:pPr>
        <w:ind w:left="2160"/>
      </w:pPr>
      <w:r>
        <w:t xml:space="preserve">Many statements implicate both </w:t>
      </w:r>
      <w:r w:rsidRPr="00ED730F">
        <w:rPr>
          <w:i/>
          <w:iCs/>
        </w:rPr>
        <w:t>Crawford</w:t>
      </w:r>
      <w:r>
        <w:t xml:space="preserve"> and </w:t>
      </w:r>
      <w:r w:rsidR="00866AB2">
        <w:t>evidentiary rules concerning</w:t>
      </w:r>
      <w:r>
        <w:t xml:space="preserve"> </w:t>
      </w:r>
      <w:r w:rsidR="001B4DFD" w:rsidRPr="00ED730F">
        <w:t>h</w:t>
      </w:r>
      <w:r w:rsidR="00E84EC2" w:rsidRPr="00ED730F">
        <w:t>earsay</w:t>
      </w:r>
      <w:r>
        <w:t xml:space="preserve"> </w:t>
      </w:r>
      <w:r w:rsidR="00866AB2">
        <w:t>because</w:t>
      </w:r>
      <w:r>
        <w:t xml:space="preserve"> each body of law </w:t>
      </w:r>
      <w:r w:rsidR="00866AB2">
        <w:t>deals</w:t>
      </w:r>
      <w:r>
        <w:t xml:space="preserve"> with</w:t>
      </w:r>
      <w:r w:rsidR="00E84EC2" w:rsidRPr="00CB502D">
        <w:t xml:space="preserve"> out of court statement</w:t>
      </w:r>
      <w:r>
        <w:t>s</w:t>
      </w:r>
      <w:r w:rsidR="00E84EC2" w:rsidRPr="00CB502D">
        <w:t xml:space="preserve"> offered for </w:t>
      </w:r>
      <w:r>
        <w:t>their</w:t>
      </w:r>
      <w:r w:rsidR="00E84EC2" w:rsidRPr="00CB502D">
        <w:t xml:space="preserve"> truth</w:t>
      </w:r>
      <w:r w:rsidR="007E18BD" w:rsidRPr="00CB502D">
        <w:t>.</w:t>
      </w:r>
      <w:r w:rsidR="00E84EC2" w:rsidRPr="00CB502D">
        <w:rPr>
          <w:rStyle w:val="FootnoteReference"/>
          <w:rFonts w:cs="Arial"/>
        </w:rPr>
        <w:footnoteReference w:id="12"/>
      </w:r>
      <w:r w:rsidR="00E84EC2" w:rsidRPr="00CB502D">
        <w:t xml:space="preserve"> </w:t>
      </w:r>
      <w:r w:rsidR="00BC20B6">
        <w:t>T</w:t>
      </w:r>
      <w:r w:rsidR="00E84EC2" w:rsidRPr="00CB502D">
        <w:t>he</w:t>
      </w:r>
      <w:r w:rsidR="001B4DFD">
        <w:t xml:space="preserve"> central point of </w:t>
      </w:r>
      <w:r w:rsidR="001B4DFD">
        <w:rPr>
          <w:i/>
          <w:iCs/>
        </w:rPr>
        <w:t>Crawford</w:t>
      </w:r>
      <w:r w:rsidR="00BC20B6">
        <w:t>, however,</w:t>
      </w:r>
      <w:r w:rsidR="00E84EC2" w:rsidRPr="00CB502D">
        <w:t xml:space="preserve"> </w:t>
      </w:r>
      <w:r w:rsidR="001B4DFD">
        <w:t xml:space="preserve">is </w:t>
      </w:r>
      <w:r w:rsidR="00BC20B6">
        <w:t xml:space="preserve">that the </w:t>
      </w:r>
      <w:r w:rsidR="00AE664A">
        <w:t>Confrontation Clause</w:t>
      </w:r>
      <w:r w:rsidR="00E84EC2" w:rsidRPr="00CB502D">
        <w:t xml:space="preserve"> analysis is </w:t>
      </w:r>
      <w:r w:rsidR="00BC20B6">
        <w:t>independent of</w:t>
      </w:r>
      <w:r w:rsidR="00E84EC2" w:rsidRPr="00CB502D">
        <w:t xml:space="preserve"> the hearsay rules.</w:t>
      </w:r>
      <w:r w:rsidR="00E84EC2" w:rsidRPr="00CB502D">
        <w:rPr>
          <w:rStyle w:val="FootnoteReference"/>
          <w:rFonts w:cs="Arial"/>
        </w:rPr>
        <w:footnoteReference w:id="13"/>
      </w:r>
      <w:r w:rsidR="00AE664A">
        <w:t xml:space="preserve"> </w:t>
      </w:r>
      <w:r w:rsidR="007E18BD" w:rsidRPr="00CB502D">
        <w:t xml:space="preserve">Notwithstanding this clear </w:t>
      </w:r>
      <w:r w:rsidR="00BC20B6">
        <w:t xml:space="preserve">separation of the constitutional and </w:t>
      </w:r>
      <w:r w:rsidR="00866AB2">
        <w:t>evidentiary</w:t>
      </w:r>
      <w:r w:rsidR="00BC20B6">
        <w:t xml:space="preserve"> analyses</w:t>
      </w:r>
      <w:r w:rsidR="00696E78">
        <w:rPr>
          <w:iCs/>
        </w:rPr>
        <w:t>,</w:t>
      </w:r>
      <w:r w:rsidR="007E18BD" w:rsidRPr="00CB502D">
        <w:t xml:space="preserve"> </w:t>
      </w:r>
      <w:r w:rsidR="00696E78">
        <w:t>i</w:t>
      </w:r>
      <w:r w:rsidR="00AE5AF4" w:rsidRPr="00CB502D">
        <w:t>n more recent cases the Court has</w:t>
      </w:r>
      <w:r w:rsidR="00273319" w:rsidRPr="00CB502D">
        <w:t xml:space="preserve"> </w:t>
      </w:r>
      <w:r w:rsidR="00AE5AF4" w:rsidRPr="00CB502D">
        <w:t xml:space="preserve">stated that “in determining whether a statement is testimonial, </w:t>
      </w:r>
      <w:r w:rsidR="008A1AC6" w:rsidRPr="00CB502D">
        <w:t>‘</w:t>
      </w:r>
      <w:r w:rsidR="00AE5AF4" w:rsidRPr="00CB502D">
        <w:t>standard rules of hearsay, designed to identify some statements as reliable, will be relevant.</w:t>
      </w:r>
      <w:r w:rsidR="008A1AC6" w:rsidRPr="00CB502D">
        <w:t>’</w:t>
      </w:r>
      <w:r w:rsidR="00273319" w:rsidRPr="00CB502D">
        <w:t>”</w:t>
      </w:r>
      <w:r w:rsidR="00AE5AF4" w:rsidRPr="00CB502D">
        <w:rPr>
          <w:rStyle w:val="FootnoteReference"/>
        </w:rPr>
        <w:footnoteReference w:id="14"/>
      </w:r>
      <w:r w:rsidR="00B570A7">
        <w:t xml:space="preserve"> The analysis for determining if a statement is testimonial is discussed below in Section IV.</w:t>
      </w:r>
      <w:r w:rsidR="00AE5AF4" w:rsidRPr="00CB502D">
        <w:t xml:space="preserve"> </w:t>
      </w:r>
    </w:p>
    <w:p w14:paraId="103A1B14" w14:textId="77777777" w:rsidR="001742EE" w:rsidRPr="00CB502D" w:rsidRDefault="00E030D9" w:rsidP="002F68D8">
      <w:pPr>
        <w:pStyle w:val="Heading3"/>
        <w:numPr>
          <w:ilvl w:val="0"/>
          <w:numId w:val="92"/>
        </w:numPr>
        <w:ind w:left="2160" w:hanging="720"/>
      </w:pPr>
      <w:r w:rsidRPr="00CB502D">
        <w:t>Offered for a Purpose Other Than the Truth</w:t>
      </w:r>
      <w:r w:rsidR="001B04A6" w:rsidRPr="00CB502D">
        <w:t>.</w:t>
      </w:r>
      <w:r w:rsidRPr="00CB502D">
        <w:t xml:space="preserve"> </w:t>
      </w:r>
    </w:p>
    <w:p w14:paraId="202D8680" w14:textId="17C2AB38" w:rsidR="00E030D9" w:rsidRPr="00CB502D" w:rsidRDefault="00E030D9" w:rsidP="008546B1">
      <w:pPr>
        <w:ind w:left="2160"/>
        <w:rPr>
          <w:b/>
        </w:rPr>
      </w:pPr>
      <w:r w:rsidRPr="00CB502D">
        <w:t xml:space="preserve">If </w:t>
      </w:r>
      <w:r w:rsidR="001B04A6" w:rsidRPr="00CB502D">
        <w:t>a</w:t>
      </w:r>
      <w:r w:rsidRPr="00CB502D">
        <w:t xml:space="preserve"> statement is offered for a purpose other than </w:t>
      </w:r>
      <w:r w:rsidR="001B04A6" w:rsidRPr="00CB502D">
        <w:t xml:space="preserve">for its </w:t>
      </w:r>
      <w:r w:rsidRPr="00CB502D">
        <w:t xml:space="preserve">truth, it </w:t>
      </w:r>
      <w:r w:rsidR="001B04A6" w:rsidRPr="00CB502D">
        <w:t xml:space="preserve">falls outside of the </w:t>
      </w:r>
      <w:r w:rsidR="00AE664A">
        <w:t>Confrontation Clause</w:t>
      </w:r>
      <w:r w:rsidR="001B04A6" w:rsidRPr="00CB502D">
        <w:t>.</w:t>
      </w:r>
      <w:r w:rsidRPr="00CB502D">
        <w:rPr>
          <w:rStyle w:val="00BTfootnotecallout"/>
          <w:rFonts w:ascii="Arial" w:hAnsi="Arial" w:cs="Arial"/>
        </w:rPr>
        <w:footnoteReference w:id="15"/>
      </w:r>
      <w:r w:rsidRPr="00CB502D">
        <w:t xml:space="preserve"> </w:t>
      </w:r>
    </w:p>
    <w:p w14:paraId="0D8DAF7D" w14:textId="0B03092F" w:rsidR="001B04A6" w:rsidRPr="00CB502D" w:rsidRDefault="00E030D9" w:rsidP="00972203">
      <w:pPr>
        <w:pStyle w:val="ListParagraph"/>
        <w:numPr>
          <w:ilvl w:val="0"/>
          <w:numId w:val="16"/>
        </w:numPr>
        <w:autoSpaceDE w:val="0"/>
        <w:autoSpaceDN w:val="0"/>
        <w:adjustRightInd w:val="0"/>
        <w:spacing w:after="0" w:line="240" w:lineRule="auto"/>
        <w:ind w:left="2880" w:hanging="720"/>
        <w:rPr>
          <w:rFonts w:ascii="Arial" w:hAnsi="Arial" w:cs="Arial"/>
        </w:rPr>
      </w:pPr>
      <w:r w:rsidRPr="00CB502D">
        <w:rPr>
          <w:rFonts w:ascii="Arial" w:hAnsi="Arial" w:cs="Arial"/>
          <w:b/>
        </w:rPr>
        <w:t>Impeachment.</w:t>
      </w:r>
      <w:r w:rsidRPr="00CB502D">
        <w:rPr>
          <w:rFonts w:ascii="Arial" w:hAnsi="Arial" w:cs="Arial"/>
        </w:rPr>
        <w:t xml:space="preserve"> If the out of court statement is offered for impeachment, it is offered for a purpose other than </w:t>
      </w:r>
      <w:r w:rsidR="00DE1DD5" w:rsidRPr="00CB502D">
        <w:rPr>
          <w:rFonts w:ascii="Arial" w:hAnsi="Arial" w:cs="Arial"/>
        </w:rPr>
        <w:t>its</w:t>
      </w:r>
      <w:r w:rsidRPr="00CB502D">
        <w:rPr>
          <w:rFonts w:ascii="Arial" w:hAnsi="Arial" w:cs="Arial"/>
        </w:rPr>
        <w:t xml:space="preserve"> truth and is not covered by the</w:t>
      </w:r>
      <w:r w:rsidR="000A4ED5" w:rsidRPr="00CB502D">
        <w:rPr>
          <w:rFonts w:ascii="Arial" w:hAnsi="Arial" w:cs="Arial"/>
        </w:rPr>
        <w:t xml:space="preserve"> </w:t>
      </w:r>
      <w:r w:rsidR="00AE664A">
        <w:rPr>
          <w:rFonts w:ascii="Arial" w:hAnsi="Arial" w:cs="Arial"/>
        </w:rPr>
        <w:t>Confrontation Clause</w:t>
      </w:r>
      <w:r w:rsidRPr="00CB502D">
        <w:rPr>
          <w:rFonts w:ascii="Arial" w:hAnsi="Arial" w:cs="Arial"/>
        </w:rPr>
        <w:t>.</w:t>
      </w:r>
      <w:r w:rsidR="00BC4CF8" w:rsidRPr="00CB502D">
        <w:rPr>
          <w:rStyle w:val="FootnoteReference"/>
          <w:rFonts w:ascii="Arial" w:hAnsi="Arial" w:cs="Arial"/>
        </w:rPr>
        <w:footnoteReference w:id="16"/>
      </w:r>
      <w:r w:rsidRPr="00CB502D">
        <w:rPr>
          <w:rFonts w:ascii="Arial" w:hAnsi="Arial" w:cs="Arial"/>
        </w:rPr>
        <w:t xml:space="preserve"> </w:t>
      </w:r>
    </w:p>
    <w:p w14:paraId="6D75192F" w14:textId="7BF5EDF5" w:rsidR="008546B1" w:rsidRPr="00CB502D" w:rsidRDefault="008546B1" w:rsidP="008546B1">
      <w:pPr>
        <w:pStyle w:val="ListParagraph"/>
        <w:numPr>
          <w:ilvl w:val="0"/>
          <w:numId w:val="16"/>
        </w:numPr>
        <w:autoSpaceDE w:val="0"/>
        <w:autoSpaceDN w:val="0"/>
        <w:adjustRightInd w:val="0"/>
        <w:spacing w:after="0" w:line="240" w:lineRule="auto"/>
        <w:ind w:left="2880" w:hanging="720"/>
        <w:rPr>
          <w:rFonts w:cs="Arial"/>
        </w:rPr>
      </w:pPr>
      <w:r w:rsidRPr="00CB502D">
        <w:rPr>
          <w:rFonts w:ascii="Arial" w:hAnsi="Arial" w:cs="Arial"/>
          <w:b/>
        </w:rPr>
        <w:t xml:space="preserve">Corroboration. </w:t>
      </w:r>
      <w:r w:rsidRPr="00CB502D">
        <w:rPr>
          <w:rFonts w:ascii="Arial" w:hAnsi="Arial" w:cs="Arial"/>
        </w:rPr>
        <w:t xml:space="preserve">When the evidence is admitted for </w:t>
      </w:r>
      <w:r w:rsidR="006569E6" w:rsidRPr="00CB502D">
        <w:rPr>
          <w:rFonts w:ascii="Arial" w:hAnsi="Arial" w:cs="Arial"/>
        </w:rPr>
        <w:t xml:space="preserve">the </w:t>
      </w:r>
      <w:r w:rsidRPr="00CB502D">
        <w:rPr>
          <w:rFonts w:ascii="Arial" w:hAnsi="Arial" w:cs="Arial"/>
        </w:rPr>
        <w:t>purpose of corroboration</w:t>
      </w:r>
      <w:r w:rsidR="006569E6" w:rsidRPr="00CB502D">
        <w:rPr>
          <w:rFonts w:ascii="Arial" w:hAnsi="Arial" w:cs="Arial"/>
        </w:rPr>
        <w:t xml:space="preserve">, cases hold that </w:t>
      </w:r>
      <w:r w:rsidRPr="00CB502D">
        <w:rPr>
          <w:rFonts w:ascii="Arial" w:hAnsi="Arial" w:cs="Arial"/>
        </w:rPr>
        <w:t>it is not offered for its truth and therefore falls outside of the scope of the</w:t>
      </w:r>
      <w:r w:rsidR="000A4ED5" w:rsidRPr="00CB502D">
        <w:rPr>
          <w:rFonts w:ascii="Arial" w:hAnsi="Arial" w:cs="Arial"/>
        </w:rPr>
        <w:t xml:space="preserve"> </w:t>
      </w:r>
      <w:r w:rsidR="00AE664A">
        <w:rPr>
          <w:rFonts w:ascii="Arial" w:hAnsi="Arial" w:cs="Arial"/>
        </w:rPr>
        <w:t>Confrontation Clause</w:t>
      </w:r>
      <w:r w:rsidRPr="00CB502D">
        <w:rPr>
          <w:rFonts w:ascii="Arial" w:hAnsi="Arial" w:cs="Arial"/>
        </w:rPr>
        <w:t>.</w:t>
      </w:r>
      <w:r w:rsidRPr="00CB502D">
        <w:rPr>
          <w:rStyle w:val="00BTfootnotecallout"/>
          <w:rFonts w:ascii="Arial" w:hAnsi="Arial" w:cs="Arial"/>
        </w:rPr>
        <w:footnoteReference w:id="17"/>
      </w:r>
      <w:r w:rsidRPr="00CB502D">
        <w:rPr>
          <w:rFonts w:ascii="Arial" w:hAnsi="Arial" w:cs="Arial"/>
        </w:rPr>
        <w:t xml:space="preserve"> </w:t>
      </w:r>
    </w:p>
    <w:p w14:paraId="405418BF" w14:textId="1322213B" w:rsidR="001B04A6" w:rsidRPr="00CB502D" w:rsidRDefault="00E030D9" w:rsidP="00972203">
      <w:pPr>
        <w:pStyle w:val="ListParagraph"/>
        <w:numPr>
          <w:ilvl w:val="0"/>
          <w:numId w:val="16"/>
        </w:numPr>
        <w:autoSpaceDE w:val="0"/>
        <w:autoSpaceDN w:val="0"/>
        <w:adjustRightInd w:val="0"/>
        <w:spacing w:after="0" w:line="240" w:lineRule="auto"/>
        <w:ind w:left="2880" w:hanging="720"/>
        <w:rPr>
          <w:rFonts w:ascii="Arial" w:hAnsi="Arial" w:cs="Arial"/>
        </w:rPr>
      </w:pPr>
      <w:r w:rsidRPr="00CB502D">
        <w:rPr>
          <w:rFonts w:ascii="Arial" w:hAnsi="Arial" w:cs="Arial"/>
          <w:b/>
        </w:rPr>
        <w:t xml:space="preserve">To Explain the Course of </w:t>
      </w:r>
      <w:r w:rsidR="006F5843">
        <w:rPr>
          <w:rFonts w:ascii="Arial" w:hAnsi="Arial" w:cs="Arial"/>
          <w:b/>
        </w:rPr>
        <w:t>Conduct</w:t>
      </w:r>
      <w:r w:rsidRPr="00CB502D">
        <w:rPr>
          <w:rFonts w:ascii="Arial" w:hAnsi="Arial" w:cs="Arial"/>
          <w:b/>
        </w:rPr>
        <w:t xml:space="preserve">. </w:t>
      </w:r>
      <w:r w:rsidRPr="00CB502D">
        <w:rPr>
          <w:rFonts w:ascii="Arial" w:hAnsi="Arial" w:cs="Arial"/>
        </w:rPr>
        <w:t xml:space="preserve">Sometimes statements of a </w:t>
      </w:r>
      <w:proofErr w:type="spellStart"/>
      <w:r w:rsidRPr="00CB502D">
        <w:rPr>
          <w:rFonts w:ascii="Arial" w:hAnsi="Arial" w:cs="Arial"/>
        </w:rPr>
        <w:t>nontestifying</w:t>
      </w:r>
      <w:proofErr w:type="spellEnd"/>
      <w:r w:rsidRPr="00CB502D">
        <w:rPr>
          <w:rFonts w:ascii="Arial" w:hAnsi="Arial" w:cs="Arial"/>
        </w:rPr>
        <w:t xml:space="preserve"> declarant are admitted </w:t>
      </w:r>
      <w:proofErr w:type="gramStart"/>
      <w:r w:rsidRPr="00CB502D">
        <w:rPr>
          <w:rFonts w:ascii="Arial" w:hAnsi="Arial" w:cs="Arial"/>
        </w:rPr>
        <w:t>to explain</w:t>
      </w:r>
      <w:proofErr w:type="gramEnd"/>
      <w:r w:rsidR="003E3C62">
        <w:rPr>
          <w:rFonts w:ascii="Arial" w:hAnsi="Arial" w:cs="Arial"/>
        </w:rPr>
        <w:t xml:space="preserve"> a course of conduct, such as</w:t>
      </w:r>
      <w:r w:rsidRPr="00CB502D">
        <w:rPr>
          <w:rFonts w:ascii="Arial" w:hAnsi="Arial" w:cs="Arial"/>
        </w:rPr>
        <w:t xml:space="preserve"> an officer’s action or the course of an investigation. </w:t>
      </w:r>
      <w:r w:rsidR="008E29AF" w:rsidRPr="00CB502D">
        <w:rPr>
          <w:rFonts w:ascii="Arial" w:hAnsi="Arial" w:cs="Arial"/>
        </w:rPr>
        <w:t xml:space="preserve">Cases </w:t>
      </w:r>
      <w:r w:rsidR="00CB435B" w:rsidRPr="00CB502D">
        <w:rPr>
          <w:rFonts w:ascii="Arial" w:hAnsi="Arial" w:cs="Arial"/>
        </w:rPr>
        <w:t>hold</w:t>
      </w:r>
      <w:r w:rsidRPr="00CB502D">
        <w:rPr>
          <w:rFonts w:ascii="Arial" w:hAnsi="Arial" w:cs="Arial"/>
        </w:rPr>
        <w:t xml:space="preserve"> that statements </w:t>
      </w:r>
      <w:r w:rsidR="00CB435B" w:rsidRPr="00CB502D">
        <w:rPr>
          <w:rFonts w:ascii="Arial" w:hAnsi="Arial" w:cs="Arial"/>
        </w:rPr>
        <w:t xml:space="preserve">introduced for this purpose </w:t>
      </w:r>
      <w:r w:rsidRPr="00CB502D">
        <w:rPr>
          <w:rFonts w:ascii="Arial" w:hAnsi="Arial" w:cs="Arial"/>
        </w:rPr>
        <w:t xml:space="preserve">are not admitted for their truth and </w:t>
      </w:r>
      <w:r w:rsidR="00A85D54" w:rsidRPr="00CB502D">
        <w:rPr>
          <w:rFonts w:ascii="Arial" w:hAnsi="Arial" w:cs="Arial"/>
        </w:rPr>
        <w:t>thus present</w:t>
      </w:r>
      <w:r w:rsidRPr="00CB502D">
        <w:rPr>
          <w:rFonts w:ascii="Arial" w:hAnsi="Arial" w:cs="Arial"/>
        </w:rPr>
        <w:t xml:space="preserve"> no</w:t>
      </w:r>
      <w:r w:rsidR="000A4ED5" w:rsidRPr="00CB502D">
        <w:rPr>
          <w:rFonts w:ascii="Arial" w:hAnsi="Arial" w:cs="Arial"/>
        </w:rPr>
        <w:t xml:space="preserve"> </w:t>
      </w:r>
      <w:r w:rsidR="00AE664A">
        <w:rPr>
          <w:rFonts w:ascii="Arial" w:hAnsi="Arial" w:cs="Arial"/>
        </w:rPr>
        <w:t>Confrontation Clause</w:t>
      </w:r>
      <w:r w:rsidRPr="00CB502D">
        <w:rPr>
          <w:rFonts w:ascii="Arial" w:hAnsi="Arial" w:cs="Arial"/>
        </w:rPr>
        <w:t xml:space="preserve"> issue.</w:t>
      </w:r>
      <w:r w:rsidRPr="00CB502D">
        <w:rPr>
          <w:rStyle w:val="00BTfootnotecallout"/>
          <w:rFonts w:ascii="Arial" w:hAnsi="Arial" w:cs="Arial"/>
        </w:rPr>
        <w:footnoteReference w:id="18"/>
      </w:r>
      <w:r w:rsidRPr="00CB502D">
        <w:rPr>
          <w:rFonts w:ascii="Arial" w:hAnsi="Arial" w:cs="Arial"/>
        </w:rPr>
        <w:t xml:space="preserve"> </w:t>
      </w:r>
    </w:p>
    <w:p w14:paraId="75463292" w14:textId="7B93A838" w:rsidR="001B04A6" w:rsidRPr="00CB502D" w:rsidRDefault="00E030D9" w:rsidP="00972203">
      <w:pPr>
        <w:pStyle w:val="ListParagraph"/>
        <w:numPr>
          <w:ilvl w:val="0"/>
          <w:numId w:val="16"/>
        </w:numPr>
        <w:autoSpaceDE w:val="0"/>
        <w:autoSpaceDN w:val="0"/>
        <w:adjustRightInd w:val="0"/>
        <w:spacing w:after="0" w:line="240" w:lineRule="auto"/>
        <w:ind w:left="2880" w:hanging="720"/>
        <w:rPr>
          <w:rFonts w:ascii="Arial" w:hAnsi="Arial" w:cs="Arial"/>
        </w:rPr>
      </w:pPr>
      <w:r w:rsidRPr="00CB502D">
        <w:rPr>
          <w:rFonts w:ascii="Arial" w:hAnsi="Arial" w:cs="Arial"/>
          <w:b/>
        </w:rPr>
        <w:t>To Explain a Listener’s</w:t>
      </w:r>
      <w:r w:rsidR="0022682A" w:rsidRPr="00CB502D">
        <w:rPr>
          <w:rFonts w:ascii="Arial" w:hAnsi="Arial" w:cs="Arial"/>
          <w:b/>
        </w:rPr>
        <w:t xml:space="preserve"> or Reader’s</w:t>
      </w:r>
      <w:r w:rsidRPr="00CB502D">
        <w:rPr>
          <w:rFonts w:ascii="Arial" w:hAnsi="Arial" w:cs="Arial"/>
          <w:b/>
        </w:rPr>
        <w:t xml:space="preserve"> Reaction or Response.</w:t>
      </w:r>
      <w:r w:rsidRPr="00CB502D">
        <w:rPr>
          <w:rFonts w:ascii="Arial" w:hAnsi="Arial" w:cs="Arial"/>
        </w:rPr>
        <w:t xml:space="preserve"> </w:t>
      </w:r>
      <w:r w:rsidR="0022682A" w:rsidRPr="00CB502D">
        <w:rPr>
          <w:rFonts w:ascii="Arial" w:hAnsi="Arial" w:cs="Arial"/>
        </w:rPr>
        <w:t>C</w:t>
      </w:r>
      <w:r w:rsidR="001B04A6" w:rsidRPr="00CB502D">
        <w:rPr>
          <w:rFonts w:ascii="Arial" w:hAnsi="Arial" w:cs="Arial"/>
        </w:rPr>
        <w:t xml:space="preserve">ases </w:t>
      </w:r>
      <w:r w:rsidR="0022682A" w:rsidRPr="00CB502D">
        <w:rPr>
          <w:rFonts w:ascii="Arial" w:hAnsi="Arial" w:cs="Arial"/>
        </w:rPr>
        <w:t>hold</w:t>
      </w:r>
      <w:r w:rsidR="001B04A6" w:rsidRPr="00CB502D">
        <w:rPr>
          <w:rFonts w:ascii="Arial" w:hAnsi="Arial" w:cs="Arial"/>
        </w:rPr>
        <w:t xml:space="preserve"> that </w:t>
      </w:r>
      <w:r w:rsidR="0022682A" w:rsidRPr="00CB502D">
        <w:rPr>
          <w:rFonts w:ascii="Arial" w:hAnsi="Arial" w:cs="Arial"/>
        </w:rPr>
        <w:t>when</w:t>
      </w:r>
      <w:r w:rsidR="001B04A6" w:rsidRPr="00CB502D">
        <w:rPr>
          <w:rFonts w:ascii="Arial" w:hAnsi="Arial" w:cs="Arial"/>
        </w:rPr>
        <w:t xml:space="preserve"> a statement is </w:t>
      </w:r>
      <w:r w:rsidRPr="00CB502D">
        <w:rPr>
          <w:rFonts w:ascii="Arial" w:hAnsi="Arial" w:cs="Arial"/>
        </w:rPr>
        <w:t xml:space="preserve">introduced to show </w:t>
      </w:r>
      <w:r w:rsidR="0022682A" w:rsidRPr="00CB502D">
        <w:rPr>
          <w:rFonts w:ascii="Arial" w:hAnsi="Arial" w:cs="Arial"/>
        </w:rPr>
        <w:t xml:space="preserve">the </w:t>
      </w:r>
      <w:r w:rsidRPr="00CB502D">
        <w:rPr>
          <w:rFonts w:ascii="Arial" w:hAnsi="Arial" w:cs="Arial"/>
        </w:rPr>
        <w:t>reaction or response</w:t>
      </w:r>
      <w:r w:rsidR="0022682A" w:rsidRPr="00CB502D">
        <w:rPr>
          <w:rFonts w:ascii="Arial" w:hAnsi="Arial" w:cs="Arial"/>
        </w:rPr>
        <w:t xml:space="preserve"> of a listener or reader</w:t>
      </w:r>
      <w:r w:rsidRPr="00CB502D">
        <w:rPr>
          <w:rFonts w:ascii="Arial" w:hAnsi="Arial" w:cs="Arial"/>
        </w:rPr>
        <w:t xml:space="preserve">, </w:t>
      </w:r>
      <w:r w:rsidR="001B04A6" w:rsidRPr="00CB502D">
        <w:rPr>
          <w:rFonts w:ascii="Arial" w:hAnsi="Arial" w:cs="Arial"/>
        </w:rPr>
        <w:t xml:space="preserve">it is not offered for its </w:t>
      </w:r>
      <w:proofErr w:type="gramStart"/>
      <w:r w:rsidR="001B04A6" w:rsidRPr="00CB502D">
        <w:rPr>
          <w:rFonts w:ascii="Arial" w:hAnsi="Arial" w:cs="Arial"/>
        </w:rPr>
        <w:t>truth</w:t>
      </w:r>
      <w:proofErr w:type="gramEnd"/>
      <w:r w:rsidR="001B04A6" w:rsidRPr="00CB502D">
        <w:rPr>
          <w:rFonts w:ascii="Arial" w:hAnsi="Arial" w:cs="Arial"/>
        </w:rPr>
        <w:t xml:space="preserve"> </w:t>
      </w:r>
      <w:r w:rsidR="009D3DA5" w:rsidRPr="00CB502D">
        <w:rPr>
          <w:rFonts w:ascii="Arial" w:hAnsi="Arial" w:cs="Arial"/>
        </w:rPr>
        <w:t xml:space="preserve">and </w:t>
      </w:r>
      <w:r w:rsidR="0022682A" w:rsidRPr="00CB502D">
        <w:rPr>
          <w:rFonts w:ascii="Arial" w:hAnsi="Arial" w:cs="Arial"/>
        </w:rPr>
        <w:t xml:space="preserve">the </w:t>
      </w:r>
      <w:r w:rsidR="00AE664A">
        <w:rPr>
          <w:rFonts w:ascii="Arial" w:hAnsi="Arial" w:cs="Arial"/>
        </w:rPr>
        <w:t>Confrontation Clause</w:t>
      </w:r>
      <w:r w:rsidR="0022682A" w:rsidRPr="00CB502D">
        <w:rPr>
          <w:rFonts w:ascii="Arial" w:hAnsi="Arial" w:cs="Arial"/>
        </w:rPr>
        <w:t xml:space="preserve"> is not implicated</w:t>
      </w:r>
      <w:r w:rsidRPr="00CB502D">
        <w:rPr>
          <w:rFonts w:ascii="Arial" w:hAnsi="Arial" w:cs="Arial"/>
        </w:rPr>
        <w:t>.</w:t>
      </w:r>
      <w:r w:rsidR="007F4E35" w:rsidRPr="00CB502D">
        <w:rPr>
          <w:rStyle w:val="FootnoteReference"/>
          <w:rFonts w:ascii="Arial" w:hAnsi="Arial" w:cs="Arial"/>
        </w:rPr>
        <w:footnoteReference w:id="19"/>
      </w:r>
    </w:p>
    <w:p w14:paraId="7D2D2561" w14:textId="1226538F" w:rsidR="000A4ED5" w:rsidRPr="00CB502D" w:rsidRDefault="000A4ED5">
      <w:pPr>
        <w:pStyle w:val="ListParagraph"/>
        <w:numPr>
          <w:ilvl w:val="0"/>
          <w:numId w:val="16"/>
        </w:numPr>
        <w:autoSpaceDE w:val="0"/>
        <w:autoSpaceDN w:val="0"/>
        <w:adjustRightInd w:val="0"/>
        <w:spacing w:after="0" w:line="240" w:lineRule="auto"/>
        <w:ind w:left="2880" w:hanging="720"/>
        <w:rPr>
          <w:rFonts w:ascii="Arial" w:hAnsi="Arial" w:cs="Arial"/>
        </w:rPr>
      </w:pPr>
      <w:r w:rsidRPr="00CB502D">
        <w:rPr>
          <w:rFonts w:ascii="Arial" w:hAnsi="Arial" w:cs="Arial"/>
          <w:b/>
        </w:rPr>
        <w:lastRenderedPageBreak/>
        <w:t xml:space="preserve">Basis of an Expert’s Opinion. </w:t>
      </w:r>
      <w:r w:rsidRPr="00CB502D">
        <w:rPr>
          <w:rFonts w:ascii="Arial" w:hAnsi="Arial" w:cs="Arial"/>
        </w:rPr>
        <w:t xml:space="preserve">Prior to the Court’s </w:t>
      </w:r>
      <w:r w:rsidR="005012FD">
        <w:rPr>
          <w:rFonts w:ascii="Arial" w:hAnsi="Arial" w:cs="Arial"/>
        </w:rPr>
        <w:t xml:space="preserve">2024 </w:t>
      </w:r>
      <w:r w:rsidRPr="00CB502D">
        <w:rPr>
          <w:rFonts w:ascii="Arial" w:hAnsi="Arial" w:cs="Arial"/>
        </w:rPr>
        <w:t xml:space="preserve">decision in </w:t>
      </w:r>
      <w:r w:rsidR="008D3CDF" w:rsidRPr="00EF071F">
        <w:rPr>
          <w:rFonts w:ascii="Arial" w:hAnsi="Arial" w:cs="Arial"/>
          <w:i/>
          <w:iCs/>
        </w:rPr>
        <w:t>Smith v. Arizona</w:t>
      </w:r>
      <w:r w:rsidR="00983CFA">
        <w:rPr>
          <w:rFonts w:ascii="Arial" w:hAnsi="Arial" w:cs="Arial"/>
        </w:rPr>
        <w:t>,</w:t>
      </w:r>
      <w:r w:rsidR="00983CFA" w:rsidRPr="00983CFA">
        <w:rPr>
          <w:rFonts w:ascii="Arial" w:hAnsi="Arial" w:cs="Arial"/>
          <w:vertAlign w:val="superscript"/>
        </w:rPr>
        <w:footnoteReference w:id="20"/>
      </w:r>
      <w:r w:rsidRPr="00CB502D">
        <w:rPr>
          <w:rFonts w:ascii="Arial" w:hAnsi="Arial" w:cs="Arial"/>
        </w:rPr>
        <w:t xml:space="preserve"> </w:t>
      </w:r>
      <w:r w:rsidR="0018213F">
        <w:rPr>
          <w:rFonts w:ascii="Arial" w:hAnsi="Arial" w:cs="Arial"/>
        </w:rPr>
        <w:t xml:space="preserve">North Carolina appellate courts, like </w:t>
      </w:r>
      <w:r w:rsidR="00B61E76">
        <w:rPr>
          <w:rFonts w:ascii="Arial" w:hAnsi="Arial" w:cs="Arial"/>
        </w:rPr>
        <w:t xml:space="preserve">many courts </w:t>
      </w:r>
      <w:r w:rsidRPr="00CB502D">
        <w:rPr>
          <w:rFonts w:ascii="Arial" w:hAnsi="Arial" w:cs="Arial"/>
        </w:rPr>
        <w:t xml:space="preserve">around the nation, held that a statement falls outside of the </w:t>
      </w:r>
      <w:r w:rsidRPr="00CB502D">
        <w:rPr>
          <w:rFonts w:ascii="Arial" w:hAnsi="Arial" w:cs="Arial"/>
          <w:i/>
        </w:rPr>
        <w:t xml:space="preserve">Crawford </w:t>
      </w:r>
      <w:r w:rsidRPr="00CB502D">
        <w:rPr>
          <w:rFonts w:ascii="Arial" w:hAnsi="Arial" w:cs="Arial"/>
        </w:rPr>
        <w:t>rule when offered as the basis of a testifying expert’s opinion.</w:t>
      </w:r>
      <w:r w:rsidRPr="00CB502D">
        <w:rPr>
          <w:rStyle w:val="00BTfootnotecallout"/>
          <w:rFonts w:ascii="Arial" w:hAnsi="Arial" w:cs="Arial"/>
        </w:rPr>
        <w:footnoteReference w:id="21"/>
      </w:r>
      <w:r w:rsidRPr="00CB502D">
        <w:rPr>
          <w:rFonts w:ascii="Arial" w:hAnsi="Arial" w:cs="Arial"/>
        </w:rPr>
        <w:t xml:space="preserve"> They reasoned that when offered for this purpose, a statement is not offered for its truth</w:t>
      </w:r>
      <w:r w:rsidR="00E45E6C">
        <w:rPr>
          <w:rFonts w:ascii="Arial" w:hAnsi="Arial" w:cs="Arial"/>
        </w:rPr>
        <w:t xml:space="preserve">. This approach </w:t>
      </w:r>
      <w:r w:rsidR="00983CFA">
        <w:rPr>
          <w:rFonts w:ascii="Arial" w:hAnsi="Arial" w:cs="Arial"/>
        </w:rPr>
        <w:t>was</w:t>
      </w:r>
      <w:r w:rsidR="00E45E6C">
        <w:rPr>
          <w:rFonts w:ascii="Arial" w:hAnsi="Arial" w:cs="Arial"/>
        </w:rPr>
        <w:t xml:space="preserve"> support</w:t>
      </w:r>
      <w:r w:rsidR="00940199">
        <w:rPr>
          <w:rFonts w:ascii="Arial" w:hAnsi="Arial" w:cs="Arial"/>
        </w:rPr>
        <w:t>ed</w:t>
      </w:r>
      <w:r w:rsidR="00E45E6C">
        <w:rPr>
          <w:rFonts w:ascii="Arial" w:hAnsi="Arial" w:cs="Arial"/>
        </w:rPr>
        <w:t xml:space="preserve"> </w:t>
      </w:r>
      <w:r w:rsidR="00940199">
        <w:rPr>
          <w:rFonts w:ascii="Arial" w:hAnsi="Arial" w:cs="Arial"/>
        </w:rPr>
        <w:t>by</w:t>
      </w:r>
      <w:r w:rsidR="00E45E6C">
        <w:rPr>
          <w:rFonts w:ascii="Arial" w:hAnsi="Arial" w:cs="Arial"/>
        </w:rPr>
        <w:t xml:space="preserve"> a plurality of justices in </w:t>
      </w:r>
      <w:r w:rsidR="000741E1">
        <w:rPr>
          <w:rFonts w:ascii="Arial" w:hAnsi="Arial" w:cs="Arial"/>
        </w:rPr>
        <w:t>a 2012</w:t>
      </w:r>
      <w:r w:rsidR="005012FD">
        <w:rPr>
          <w:rFonts w:ascii="Arial" w:hAnsi="Arial" w:cs="Arial"/>
        </w:rPr>
        <w:t xml:space="preserve"> case, </w:t>
      </w:r>
      <w:r w:rsidR="00E45E6C" w:rsidRPr="00983CFA">
        <w:rPr>
          <w:rFonts w:ascii="Arial" w:hAnsi="Arial" w:cs="Arial"/>
          <w:i/>
          <w:iCs/>
        </w:rPr>
        <w:t>Williams v. Illinois</w:t>
      </w:r>
      <w:r w:rsidR="00E45E6C">
        <w:rPr>
          <w:rFonts w:ascii="Arial" w:hAnsi="Arial" w:cs="Arial"/>
        </w:rPr>
        <w:t>.</w:t>
      </w:r>
      <w:r w:rsidR="00983CFA" w:rsidRPr="00983CFA">
        <w:rPr>
          <w:rFonts w:ascii="Arial" w:hAnsi="Arial" w:cs="Arial"/>
          <w:vertAlign w:val="superscript"/>
        </w:rPr>
        <w:footnoteReference w:id="22"/>
      </w:r>
      <w:r w:rsidR="00983CFA">
        <w:rPr>
          <w:rFonts w:ascii="Arial" w:hAnsi="Arial" w:cs="Arial"/>
        </w:rPr>
        <w:t xml:space="preserve"> </w:t>
      </w:r>
      <w:r w:rsidR="007E1B48">
        <w:rPr>
          <w:rFonts w:ascii="Arial" w:hAnsi="Arial" w:cs="Arial"/>
        </w:rPr>
        <w:t>The issue would most commonly arise with substitute forensic analysts</w:t>
      </w:r>
      <w:r w:rsidR="00084585">
        <w:rPr>
          <w:rFonts w:ascii="Arial" w:hAnsi="Arial" w:cs="Arial"/>
        </w:rPr>
        <w:t xml:space="preserve">—that is, when </w:t>
      </w:r>
      <w:r w:rsidR="00C37877">
        <w:rPr>
          <w:rFonts w:ascii="Arial" w:hAnsi="Arial" w:cs="Arial"/>
        </w:rPr>
        <w:t>a</w:t>
      </w:r>
      <w:r w:rsidR="00940199">
        <w:rPr>
          <w:rFonts w:ascii="Arial" w:hAnsi="Arial" w:cs="Arial"/>
        </w:rPr>
        <w:t xml:space="preserve"> forensic</w:t>
      </w:r>
      <w:r w:rsidR="00C37877">
        <w:rPr>
          <w:rFonts w:ascii="Arial" w:hAnsi="Arial" w:cs="Arial"/>
        </w:rPr>
        <w:t xml:space="preserve"> analyst testifies to the results of </w:t>
      </w:r>
      <w:r w:rsidR="007806B1">
        <w:rPr>
          <w:rFonts w:ascii="Arial" w:hAnsi="Arial" w:cs="Arial"/>
        </w:rPr>
        <w:t xml:space="preserve">testing or analysis performed by </w:t>
      </w:r>
      <w:r w:rsidR="00940199">
        <w:rPr>
          <w:rFonts w:ascii="Arial" w:hAnsi="Arial" w:cs="Arial"/>
        </w:rPr>
        <w:t>another</w:t>
      </w:r>
      <w:r w:rsidR="00831513">
        <w:rPr>
          <w:rFonts w:ascii="Arial" w:hAnsi="Arial" w:cs="Arial"/>
        </w:rPr>
        <w:t xml:space="preserve"> analyst</w:t>
      </w:r>
      <w:r w:rsidR="00940199">
        <w:rPr>
          <w:rFonts w:ascii="Arial" w:hAnsi="Arial" w:cs="Arial"/>
        </w:rPr>
        <w:t xml:space="preserve"> who does not testify</w:t>
      </w:r>
      <w:r w:rsidR="007E1B48">
        <w:rPr>
          <w:rFonts w:ascii="Arial" w:hAnsi="Arial" w:cs="Arial"/>
        </w:rPr>
        <w:t xml:space="preserve">. </w:t>
      </w:r>
      <w:r w:rsidR="00B61E76">
        <w:rPr>
          <w:rFonts w:ascii="Arial" w:hAnsi="Arial" w:cs="Arial"/>
        </w:rPr>
        <w:t xml:space="preserve">The U.S. Supreme Court squarely rejected this approach in </w:t>
      </w:r>
      <w:r w:rsidR="00B61E76" w:rsidRPr="00EF071F">
        <w:rPr>
          <w:rFonts w:ascii="Arial" w:hAnsi="Arial" w:cs="Arial"/>
          <w:i/>
          <w:iCs/>
        </w:rPr>
        <w:t>Smith</w:t>
      </w:r>
      <w:r w:rsidR="007806B1">
        <w:rPr>
          <w:rFonts w:ascii="Arial" w:hAnsi="Arial" w:cs="Arial"/>
          <w:i/>
          <w:iCs/>
        </w:rPr>
        <w:t xml:space="preserve"> </w:t>
      </w:r>
      <w:r w:rsidR="007806B1" w:rsidRPr="00A76257">
        <w:rPr>
          <w:rFonts w:ascii="Arial" w:hAnsi="Arial" w:cs="Arial"/>
        </w:rPr>
        <w:t>holding</w:t>
      </w:r>
      <w:r w:rsidR="007806B1">
        <w:rPr>
          <w:rFonts w:ascii="Arial" w:hAnsi="Arial" w:cs="Arial"/>
        </w:rPr>
        <w:t xml:space="preserve"> that</w:t>
      </w:r>
      <w:r w:rsidR="00A76257">
        <w:rPr>
          <w:rFonts w:ascii="Arial" w:hAnsi="Arial" w:cs="Arial"/>
        </w:rPr>
        <w:t xml:space="preserve"> </w:t>
      </w:r>
      <w:r w:rsidR="00282E0B">
        <w:rPr>
          <w:rFonts w:ascii="Arial" w:hAnsi="Arial" w:cs="Arial"/>
        </w:rPr>
        <w:t xml:space="preserve">the statement of a </w:t>
      </w:r>
      <w:proofErr w:type="spellStart"/>
      <w:r w:rsidR="00282E0B">
        <w:rPr>
          <w:rFonts w:ascii="Arial" w:hAnsi="Arial" w:cs="Arial"/>
        </w:rPr>
        <w:t>nontestifying</w:t>
      </w:r>
      <w:proofErr w:type="spellEnd"/>
      <w:r w:rsidR="00282E0B">
        <w:rPr>
          <w:rFonts w:ascii="Arial" w:hAnsi="Arial" w:cs="Arial"/>
        </w:rPr>
        <w:t xml:space="preserve"> expert</w:t>
      </w:r>
      <w:r w:rsidR="00690DB5">
        <w:rPr>
          <w:rFonts w:ascii="Arial" w:hAnsi="Arial" w:cs="Arial"/>
        </w:rPr>
        <w:t xml:space="preserve"> is offered for its truth when used as a basis of opinion by a testifying expert</w:t>
      </w:r>
      <w:r w:rsidR="007806B1">
        <w:rPr>
          <w:rFonts w:ascii="Arial" w:hAnsi="Arial" w:cs="Arial"/>
        </w:rPr>
        <w:t xml:space="preserve">. Thus, such </w:t>
      </w:r>
      <w:r w:rsidR="00141B90">
        <w:rPr>
          <w:rFonts w:ascii="Arial" w:hAnsi="Arial" w:cs="Arial"/>
        </w:rPr>
        <w:t xml:space="preserve">substitute analyst </w:t>
      </w:r>
      <w:r w:rsidR="007806B1">
        <w:rPr>
          <w:rFonts w:ascii="Arial" w:hAnsi="Arial" w:cs="Arial"/>
        </w:rPr>
        <w:t>testimony</w:t>
      </w:r>
      <w:r w:rsidR="00690DB5">
        <w:rPr>
          <w:rFonts w:ascii="Arial" w:hAnsi="Arial" w:cs="Arial"/>
        </w:rPr>
        <w:t xml:space="preserve"> implicates the Confrontation Clause</w:t>
      </w:r>
      <w:r w:rsidR="00141B90">
        <w:rPr>
          <w:rFonts w:ascii="Arial" w:hAnsi="Arial" w:cs="Arial"/>
        </w:rPr>
        <w:t xml:space="preserve"> when the statement of the non-testifying analyst is testimonial under the primary purpose test</w:t>
      </w:r>
      <w:r w:rsidR="00690DB5">
        <w:rPr>
          <w:rFonts w:ascii="Arial" w:hAnsi="Arial" w:cs="Arial"/>
        </w:rPr>
        <w:t>.</w:t>
      </w:r>
      <w:r w:rsidR="00905E52">
        <w:rPr>
          <w:rFonts w:ascii="Arial" w:hAnsi="Arial" w:cs="Arial"/>
        </w:rPr>
        <w:t xml:space="preserve"> </w:t>
      </w:r>
      <w:r w:rsidR="00905E52">
        <w:rPr>
          <w:rFonts w:ascii="Arial" w:hAnsi="Arial" w:cs="Arial"/>
          <w:i/>
        </w:rPr>
        <w:t>Smith</w:t>
      </w:r>
      <w:r w:rsidR="00325C7C">
        <w:rPr>
          <w:rFonts w:ascii="Arial" w:hAnsi="Arial" w:cs="Arial"/>
          <w:iCs/>
        </w:rPr>
        <w:t xml:space="preserve"> and substitute expert testimony</w:t>
      </w:r>
      <w:r w:rsidR="00905E52" w:rsidRPr="00CB502D">
        <w:rPr>
          <w:rFonts w:ascii="Arial" w:hAnsi="Arial" w:cs="Arial"/>
          <w:i/>
        </w:rPr>
        <w:t xml:space="preserve"> </w:t>
      </w:r>
      <w:r w:rsidRPr="00CB502D">
        <w:rPr>
          <w:rFonts w:ascii="Arial" w:hAnsi="Arial" w:cs="Arial"/>
        </w:rPr>
        <w:t>is discussed in more detail in Section V</w:t>
      </w:r>
      <w:r w:rsidR="007C7841">
        <w:rPr>
          <w:rFonts w:ascii="Arial" w:hAnsi="Arial" w:cs="Arial"/>
        </w:rPr>
        <w:t>.</w:t>
      </w:r>
      <w:r w:rsidRPr="00CB502D">
        <w:rPr>
          <w:rFonts w:ascii="Arial" w:hAnsi="Arial" w:cs="Arial"/>
        </w:rPr>
        <w:t xml:space="preserve"> below.</w:t>
      </w:r>
    </w:p>
    <w:p w14:paraId="47FFF9B1" w14:textId="77777777" w:rsidR="00E030D9" w:rsidRPr="00CB502D" w:rsidRDefault="00E030D9" w:rsidP="00972203">
      <w:pPr>
        <w:pStyle w:val="ListParagraph"/>
        <w:numPr>
          <w:ilvl w:val="0"/>
          <w:numId w:val="16"/>
        </w:numPr>
        <w:autoSpaceDE w:val="0"/>
        <w:autoSpaceDN w:val="0"/>
        <w:adjustRightInd w:val="0"/>
        <w:spacing w:after="0" w:line="240" w:lineRule="auto"/>
        <w:ind w:left="2880" w:hanging="720"/>
        <w:rPr>
          <w:rFonts w:ascii="Arial" w:hAnsi="Arial" w:cs="Arial"/>
        </w:rPr>
      </w:pPr>
      <w:r w:rsidRPr="00CB502D">
        <w:rPr>
          <w:rFonts w:ascii="Arial" w:hAnsi="Arial" w:cs="Arial"/>
          <w:b/>
        </w:rPr>
        <w:t>Limiting Instructions.</w:t>
      </w:r>
      <w:r w:rsidRPr="00CB502D">
        <w:rPr>
          <w:rFonts w:ascii="Arial" w:hAnsi="Arial" w:cs="Arial"/>
        </w:rPr>
        <w:t xml:space="preserve"> </w:t>
      </w:r>
      <w:r w:rsidR="006569E6" w:rsidRPr="00CB502D">
        <w:rPr>
          <w:rFonts w:ascii="Arial" w:hAnsi="Arial" w:cs="Arial"/>
        </w:rPr>
        <w:t xml:space="preserve">When a </w:t>
      </w:r>
      <w:r w:rsidR="001B04A6" w:rsidRPr="00CB502D">
        <w:rPr>
          <w:rFonts w:ascii="Arial" w:hAnsi="Arial" w:cs="Arial"/>
        </w:rPr>
        <w:t xml:space="preserve">statement is admitted for a proper “not for the truth” purpose, </w:t>
      </w:r>
      <w:r w:rsidRPr="00CB502D">
        <w:rPr>
          <w:rFonts w:ascii="Arial" w:hAnsi="Arial" w:cs="Arial"/>
        </w:rPr>
        <w:t>a limiting instruction should be given.</w:t>
      </w:r>
      <w:r w:rsidRPr="00CB502D">
        <w:rPr>
          <w:rStyle w:val="00BTfootnotecallout"/>
          <w:rFonts w:ascii="Arial" w:hAnsi="Arial" w:cs="Arial"/>
        </w:rPr>
        <w:footnoteReference w:id="23"/>
      </w:r>
    </w:p>
    <w:p w14:paraId="421AD417" w14:textId="77777777" w:rsidR="004A6792" w:rsidRPr="00CB502D" w:rsidRDefault="004A6792" w:rsidP="00020B2A">
      <w:pPr>
        <w:autoSpaceDE w:val="0"/>
        <w:autoSpaceDN w:val="0"/>
        <w:adjustRightInd w:val="0"/>
        <w:ind w:left="2160"/>
        <w:rPr>
          <w:rStyle w:val="00BTfootnotecallout"/>
          <w:rFonts w:ascii="Arial" w:hAnsi="Arial" w:cs="Arial"/>
          <w:color w:val="auto"/>
          <w:vertAlign w:val="baseline"/>
        </w:rPr>
      </w:pPr>
    </w:p>
    <w:p w14:paraId="1A475990" w14:textId="77777777" w:rsidR="001742EE" w:rsidRPr="00CB502D" w:rsidRDefault="00000E4D" w:rsidP="00C6660A">
      <w:pPr>
        <w:pStyle w:val="01BTbulletlist01BTstyles"/>
        <w:numPr>
          <w:ilvl w:val="0"/>
          <w:numId w:val="84"/>
        </w:numPr>
        <w:spacing w:line="240" w:lineRule="auto"/>
        <w:outlineLvl w:val="1"/>
        <w:rPr>
          <w:rFonts w:ascii="Arial" w:hAnsi="Arial" w:cs="Arial"/>
          <w:b/>
        </w:rPr>
      </w:pPr>
      <w:bookmarkStart w:id="171" w:name="OfferedAgainsttheDefendant"/>
      <w:bookmarkStart w:id="172" w:name="_Toc398033809"/>
      <w:bookmarkStart w:id="173" w:name="_Toc223718242"/>
      <w:bookmarkStart w:id="174" w:name="_Toc223718498"/>
      <w:bookmarkStart w:id="175" w:name="_Toc223731889"/>
      <w:r w:rsidRPr="00CB502D">
        <w:rPr>
          <w:rStyle w:val="Heading2Char"/>
        </w:rPr>
        <w:t>Against the Defendant</w:t>
      </w:r>
      <w:bookmarkEnd w:id="171"/>
      <w:r w:rsidRPr="00CB502D">
        <w:rPr>
          <w:rFonts w:ascii="Arial" w:hAnsi="Arial" w:cs="Arial"/>
          <w:b/>
        </w:rPr>
        <w:t>.</w:t>
      </w:r>
      <w:bookmarkEnd w:id="172"/>
      <w:bookmarkEnd w:id="173"/>
      <w:bookmarkEnd w:id="174"/>
      <w:bookmarkEnd w:id="175"/>
      <w:r w:rsidRPr="00CB502D">
        <w:rPr>
          <w:rFonts w:ascii="Arial" w:hAnsi="Arial" w:cs="Arial"/>
          <w:b/>
        </w:rPr>
        <w:t xml:space="preserve"> </w:t>
      </w:r>
    </w:p>
    <w:p w14:paraId="3E43AFAC" w14:textId="19080F5F" w:rsidR="00000E4D" w:rsidRPr="00CB502D" w:rsidRDefault="00721378" w:rsidP="00C6660A">
      <w:pPr>
        <w:ind w:left="1440"/>
      </w:pPr>
      <w:r w:rsidRPr="00CB502D">
        <w:t xml:space="preserve">Because the </w:t>
      </w:r>
      <w:r w:rsidR="00AE664A">
        <w:t>Confrontation Clause</w:t>
      </w:r>
      <w:r w:rsidRPr="00CB502D">
        <w:t xml:space="preserve"> confers a right to confront witnesses against the accused, the defendant’s own statements do not implicate the clause or the </w:t>
      </w:r>
      <w:r w:rsidRPr="00CB502D">
        <w:rPr>
          <w:rStyle w:val="00BTitalic"/>
          <w:rFonts w:ascii="Arial" w:hAnsi="Arial" w:cs="Arial"/>
        </w:rPr>
        <w:t xml:space="preserve">Crawford </w:t>
      </w:r>
      <w:r w:rsidRPr="00CB502D">
        <w:t>rule.</w:t>
      </w:r>
      <w:r w:rsidRPr="00CB502D">
        <w:rPr>
          <w:rStyle w:val="00BTfootnotecallout"/>
          <w:rFonts w:ascii="Arial" w:hAnsi="Arial" w:cs="Arial"/>
        </w:rPr>
        <w:footnoteReference w:id="24"/>
      </w:r>
      <w:r w:rsidRPr="00CB502D">
        <w:t xml:space="preserve"> Similarly, the </w:t>
      </w:r>
      <w:r w:rsidR="00AE664A">
        <w:t>Confrontation Clause</w:t>
      </w:r>
      <w:r w:rsidRPr="00CB502D">
        <w:t xml:space="preserve"> has no applicability to evidence presented by the defendant.</w:t>
      </w:r>
      <w:r w:rsidRPr="00CB502D">
        <w:rPr>
          <w:rStyle w:val="00BTfootnotecallout"/>
          <w:rFonts w:ascii="Arial" w:hAnsi="Arial" w:cs="Arial"/>
        </w:rPr>
        <w:footnoteReference w:id="25"/>
      </w:r>
    </w:p>
    <w:p w14:paraId="45B72277" w14:textId="77777777" w:rsidR="00000E4D" w:rsidRPr="00CB502D" w:rsidRDefault="00000E4D" w:rsidP="00972203">
      <w:pPr>
        <w:pStyle w:val="01BTbulletlist01BTstyles"/>
        <w:spacing w:line="240" w:lineRule="auto"/>
        <w:ind w:left="0" w:firstLine="0"/>
        <w:rPr>
          <w:rFonts w:ascii="Arial" w:hAnsi="Arial" w:cs="Arial"/>
        </w:rPr>
      </w:pPr>
    </w:p>
    <w:p w14:paraId="1DB205ED" w14:textId="77777777" w:rsidR="001742EE" w:rsidRPr="00CB502D" w:rsidRDefault="00721378" w:rsidP="00033BA1">
      <w:pPr>
        <w:pStyle w:val="Heading1"/>
        <w:rPr>
          <w:b w:val="0"/>
        </w:rPr>
      </w:pPr>
      <w:bookmarkStart w:id="176" w:name="_Toc398033810"/>
      <w:bookmarkStart w:id="177" w:name="_Toc223718243"/>
      <w:bookmarkStart w:id="178" w:name="_Toc223718499"/>
      <w:bookmarkStart w:id="179" w:name="_Toc223731890"/>
      <w:bookmarkStart w:id="180" w:name="SubjecttoCrossExaminationatTrial"/>
      <w:r w:rsidRPr="003D3377">
        <w:t>Subject to Cross-Examination at Trial</w:t>
      </w:r>
      <w:r w:rsidR="00000E4D" w:rsidRPr="00CB502D">
        <w:rPr>
          <w:b w:val="0"/>
        </w:rPr>
        <w:t>.</w:t>
      </w:r>
      <w:bookmarkEnd w:id="176"/>
      <w:bookmarkEnd w:id="177"/>
      <w:bookmarkEnd w:id="178"/>
      <w:bookmarkEnd w:id="179"/>
      <w:r w:rsidR="00000E4D" w:rsidRPr="00CB502D">
        <w:rPr>
          <w:b w:val="0"/>
        </w:rPr>
        <w:t xml:space="preserve"> </w:t>
      </w:r>
      <w:bookmarkEnd w:id="180"/>
    </w:p>
    <w:p w14:paraId="519A0EA4" w14:textId="77777777" w:rsidR="009D3DA5" w:rsidRPr="00CB502D" w:rsidRDefault="00721378" w:rsidP="0073029B">
      <w:pPr>
        <w:ind w:left="720"/>
      </w:pPr>
      <w:r w:rsidRPr="00CB502D">
        <w:rPr>
          <w:rStyle w:val="00BTitalic"/>
          <w:rFonts w:ascii="Arial" w:hAnsi="Arial" w:cs="Arial"/>
        </w:rPr>
        <w:t xml:space="preserve">Crawford </w:t>
      </w:r>
      <w:r w:rsidRPr="00CB502D">
        <w:t>does not apply when the declarant is subject to cross-examination at trial.</w:t>
      </w:r>
      <w:r w:rsidRPr="00CB502D">
        <w:rPr>
          <w:rStyle w:val="00BTfootnotecallout"/>
          <w:rFonts w:ascii="Arial" w:hAnsi="Arial" w:cs="Arial"/>
        </w:rPr>
        <w:footnoteReference w:id="26"/>
      </w:r>
      <w:r w:rsidRPr="00CB502D">
        <w:t xml:space="preserve"> Normally, a witness is subject to cross-examination when he or she is placed on the stand, put under oath, and responds willingly to questions. </w:t>
      </w:r>
    </w:p>
    <w:p w14:paraId="1E30969A" w14:textId="77777777" w:rsidR="00BA0BCF" w:rsidRPr="00CB502D" w:rsidRDefault="00BA0BCF" w:rsidP="0073029B">
      <w:pPr>
        <w:ind w:left="720"/>
      </w:pPr>
    </w:p>
    <w:p w14:paraId="490E506F" w14:textId="77777777" w:rsidR="001742EE" w:rsidRPr="00CB502D" w:rsidRDefault="00721378" w:rsidP="0073029B">
      <w:pPr>
        <w:pStyle w:val="01BTbulletlist01BTstyles"/>
        <w:numPr>
          <w:ilvl w:val="0"/>
          <w:numId w:val="86"/>
        </w:numPr>
        <w:tabs>
          <w:tab w:val="clear" w:pos="440"/>
        </w:tabs>
        <w:spacing w:line="240" w:lineRule="auto"/>
        <w:outlineLvl w:val="1"/>
        <w:rPr>
          <w:rFonts w:ascii="Arial" w:hAnsi="Arial" w:cs="Arial"/>
          <w:b/>
        </w:rPr>
      </w:pPr>
      <w:bookmarkStart w:id="181" w:name="_Toc398033811"/>
      <w:bookmarkStart w:id="182" w:name="_Toc223718244"/>
      <w:bookmarkStart w:id="183" w:name="_Toc223718500"/>
      <w:bookmarkStart w:id="184" w:name="_Toc223731891"/>
      <w:bookmarkStart w:id="185" w:name="memoryloss"/>
      <w:r w:rsidRPr="00CB502D">
        <w:rPr>
          <w:rStyle w:val="Heading2Char"/>
        </w:rPr>
        <w:t>Memory Loss</w:t>
      </w:r>
      <w:r w:rsidR="00000E4D" w:rsidRPr="00CB502D">
        <w:rPr>
          <w:rFonts w:ascii="Arial" w:hAnsi="Arial" w:cs="Arial"/>
          <w:b/>
        </w:rPr>
        <w:t>.</w:t>
      </w:r>
      <w:bookmarkEnd w:id="181"/>
      <w:bookmarkEnd w:id="182"/>
      <w:bookmarkEnd w:id="183"/>
      <w:bookmarkEnd w:id="184"/>
      <w:r w:rsidR="00000E4D" w:rsidRPr="00CB502D">
        <w:rPr>
          <w:rFonts w:ascii="Arial" w:hAnsi="Arial" w:cs="Arial"/>
          <w:b/>
        </w:rPr>
        <w:t xml:space="preserve"> </w:t>
      </w:r>
      <w:bookmarkEnd w:id="185"/>
    </w:p>
    <w:p w14:paraId="45309EE5" w14:textId="18E94B88" w:rsidR="001E11E1" w:rsidRPr="00CB502D" w:rsidRDefault="00950FC0" w:rsidP="0073029B">
      <w:pPr>
        <w:ind w:left="1440"/>
      </w:pPr>
      <w:r>
        <w:t>While no published North Carolina decision has addressed the issue of memory loss</w:t>
      </w:r>
      <w:r w:rsidR="0089617D">
        <w:t xml:space="preserve"> of a testifying witness in the context of confrontation rights, c</w:t>
      </w:r>
      <w:r w:rsidR="00721378" w:rsidRPr="00CB502D">
        <w:t xml:space="preserve">ases </w:t>
      </w:r>
      <w:r w:rsidR="007C5ABC">
        <w:t xml:space="preserve">from other </w:t>
      </w:r>
      <w:r w:rsidR="007C5ABC">
        <w:lastRenderedPageBreak/>
        <w:t xml:space="preserve">jurisdictions </w:t>
      </w:r>
      <w:r w:rsidR="00721378" w:rsidRPr="00CB502D">
        <w:t xml:space="preserve">both before and after </w:t>
      </w:r>
      <w:r w:rsidR="00721378" w:rsidRPr="00CB502D">
        <w:rPr>
          <w:rStyle w:val="00BTitalic"/>
          <w:rFonts w:ascii="Arial" w:hAnsi="Arial" w:cs="Arial"/>
        </w:rPr>
        <w:t>Crawford</w:t>
      </w:r>
      <w:r w:rsidR="00721378" w:rsidRPr="00CB502D">
        <w:t xml:space="preserve"> have held that a witness is subject to cross-examination at trial even if the witness testifies to memory loss as to the events in question.</w:t>
      </w:r>
      <w:r w:rsidR="00721378" w:rsidRPr="00CB502D">
        <w:rPr>
          <w:rStyle w:val="00BTfootnotecallout"/>
          <w:rFonts w:ascii="Arial" w:hAnsi="Arial" w:cs="Arial"/>
        </w:rPr>
        <w:footnoteReference w:id="27"/>
      </w:r>
    </w:p>
    <w:p w14:paraId="754C9898" w14:textId="77777777" w:rsidR="001E11E1" w:rsidRPr="00CB502D" w:rsidRDefault="001E11E1" w:rsidP="00972203">
      <w:pPr>
        <w:pStyle w:val="01BTbulletlist01BTstyles"/>
        <w:tabs>
          <w:tab w:val="clear" w:pos="440"/>
        </w:tabs>
        <w:spacing w:line="240" w:lineRule="auto"/>
        <w:ind w:left="1440" w:hanging="720"/>
        <w:rPr>
          <w:rFonts w:ascii="Arial" w:hAnsi="Arial" w:cs="Arial"/>
        </w:rPr>
      </w:pPr>
    </w:p>
    <w:p w14:paraId="16870485" w14:textId="77777777" w:rsidR="001742EE" w:rsidRPr="00CB502D" w:rsidRDefault="00000E4D" w:rsidP="0073029B">
      <w:pPr>
        <w:pStyle w:val="01BTbulletlist01BTstyles"/>
        <w:numPr>
          <w:ilvl w:val="0"/>
          <w:numId w:val="86"/>
        </w:numPr>
        <w:tabs>
          <w:tab w:val="clear" w:pos="440"/>
        </w:tabs>
        <w:spacing w:line="240" w:lineRule="auto"/>
        <w:outlineLvl w:val="1"/>
        <w:rPr>
          <w:rFonts w:ascii="Arial" w:hAnsi="Arial" w:cs="Arial"/>
        </w:rPr>
      </w:pPr>
      <w:bookmarkStart w:id="186" w:name="_Toc398033812"/>
      <w:bookmarkStart w:id="187" w:name="_Toc223718245"/>
      <w:bookmarkStart w:id="188" w:name="_Toc223718501"/>
      <w:bookmarkStart w:id="189" w:name="_Toc223731892"/>
      <w:bookmarkStart w:id="190" w:name="privilege"/>
      <w:r w:rsidRPr="00CB502D">
        <w:rPr>
          <w:rStyle w:val="Heading2Char"/>
        </w:rPr>
        <w:t>Privilege</w:t>
      </w:r>
      <w:r w:rsidRPr="00CB502D">
        <w:rPr>
          <w:rFonts w:ascii="Arial" w:hAnsi="Arial" w:cs="Arial"/>
        </w:rPr>
        <w:t>.</w:t>
      </w:r>
      <w:bookmarkEnd w:id="186"/>
      <w:bookmarkEnd w:id="187"/>
      <w:bookmarkEnd w:id="188"/>
      <w:bookmarkEnd w:id="189"/>
      <w:r w:rsidR="001E11E1" w:rsidRPr="00CB502D">
        <w:rPr>
          <w:rFonts w:ascii="Arial" w:hAnsi="Arial" w:cs="Arial"/>
        </w:rPr>
        <w:t xml:space="preserve"> </w:t>
      </w:r>
      <w:bookmarkEnd w:id="190"/>
    </w:p>
    <w:p w14:paraId="54C51B30" w14:textId="78C57367" w:rsidR="00721378" w:rsidRPr="00CB502D" w:rsidRDefault="00721378" w:rsidP="0073029B">
      <w:pPr>
        <w:ind w:left="1440"/>
      </w:pPr>
      <w:r w:rsidRPr="00CB502D">
        <w:t xml:space="preserve">When a witness takes the stand but is prevented from testifying </w:t>
      </w:r>
      <w:proofErr w:type="gramStart"/>
      <w:r w:rsidRPr="00CB502D">
        <w:t>on the basis of</w:t>
      </w:r>
      <w:proofErr w:type="gramEnd"/>
      <w:r w:rsidRPr="00CB502D">
        <w:t xml:space="preserve"> privilege, the witness has not testified for purposes of the </w:t>
      </w:r>
      <w:r w:rsidRPr="00CB502D">
        <w:rPr>
          <w:rStyle w:val="00BTitalic"/>
          <w:rFonts w:ascii="Arial" w:hAnsi="Arial" w:cs="Arial"/>
        </w:rPr>
        <w:t>Crawford</w:t>
      </w:r>
      <w:r w:rsidRPr="00CB502D">
        <w:t xml:space="preserve"> rule. </w:t>
      </w:r>
      <w:r w:rsidR="007C5ABC">
        <w:t>T</w:t>
      </w:r>
      <w:r w:rsidRPr="00CB502D">
        <w:t xml:space="preserve">his is what happened in </w:t>
      </w:r>
      <w:r w:rsidRPr="00CB502D">
        <w:rPr>
          <w:rStyle w:val="00BTitalic"/>
          <w:rFonts w:ascii="Arial" w:hAnsi="Arial" w:cs="Arial"/>
        </w:rPr>
        <w:t>Crawford</w:t>
      </w:r>
      <w:r w:rsidRPr="00CB502D">
        <w:t>, where state marital privilege barred the witness from testifying at trial.</w:t>
      </w:r>
      <w:r w:rsidRPr="00CB502D">
        <w:rPr>
          <w:rStyle w:val="00BTfootnotecallout"/>
          <w:rFonts w:ascii="Arial" w:hAnsi="Arial" w:cs="Arial"/>
        </w:rPr>
        <w:footnoteReference w:id="28"/>
      </w:r>
    </w:p>
    <w:p w14:paraId="28B0D51C" w14:textId="77777777" w:rsidR="00DF5408" w:rsidRPr="00CB502D" w:rsidRDefault="00DF5408" w:rsidP="0073029B">
      <w:pPr>
        <w:ind w:left="1440"/>
      </w:pPr>
    </w:p>
    <w:p w14:paraId="22EC5064" w14:textId="3FDCE4CD" w:rsidR="001742EE" w:rsidRPr="00CB502D" w:rsidRDefault="00721378" w:rsidP="0073029B">
      <w:pPr>
        <w:pStyle w:val="00Bhead00Heads"/>
        <w:numPr>
          <w:ilvl w:val="0"/>
          <w:numId w:val="86"/>
        </w:numPr>
        <w:spacing w:before="0" w:line="240" w:lineRule="auto"/>
        <w:outlineLvl w:val="1"/>
        <w:rPr>
          <w:rFonts w:ascii="Arial" w:hAnsi="Arial" w:cs="Arial"/>
          <w:b/>
        </w:rPr>
      </w:pPr>
      <w:bookmarkStart w:id="191" w:name="_Toc398033650"/>
      <w:bookmarkStart w:id="192" w:name="_Toc398033752"/>
      <w:bookmarkStart w:id="193" w:name="_Toc398033813"/>
      <w:bookmarkStart w:id="194" w:name="_Toc398033876"/>
      <w:bookmarkStart w:id="195" w:name="_Toc398033933"/>
      <w:bookmarkStart w:id="196" w:name="_Toc398034042"/>
      <w:bookmarkStart w:id="197" w:name="_Toc398034097"/>
      <w:bookmarkStart w:id="198" w:name="Maryland"/>
      <w:bookmarkStart w:id="199" w:name="_Toc398033814"/>
      <w:bookmarkStart w:id="200" w:name="_Toc223718246"/>
      <w:bookmarkStart w:id="201" w:name="_Toc223718502"/>
      <w:bookmarkStart w:id="202" w:name="_Toc223731893"/>
      <w:bookmarkEnd w:id="191"/>
      <w:bookmarkEnd w:id="192"/>
      <w:bookmarkEnd w:id="193"/>
      <w:bookmarkEnd w:id="194"/>
      <w:bookmarkEnd w:id="195"/>
      <w:bookmarkEnd w:id="196"/>
      <w:bookmarkEnd w:id="197"/>
      <w:r w:rsidRPr="00CB502D">
        <w:rPr>
          <w:rStyle w:val="Heading2Char"/>
          <w:i/>
        </w:rPr>
        <w:t>Maryland v. Craig</w:t>
      </w:r>
      <w:r w:rsidRPr="00CB502D">
        <w:rPr>
          <w:rStyle w:val="Heading2Char"/>
        </w:rPr>
        <w:t xml:space="preserve"> Procedures</w:t>
      </w:r>
      <w:r w:rsidR="0055507E" w:rsidRPr="00CB502D">
        <w:rPr>
          <w:rStyle w:val="Heading2Char"/>
        </w:rPr>
        <w:t xml:space="preserve"> </w:t>
      </w:r>
      <w:r w:rsidR="00B90459">
        <w:rPr>
          <w:rStyle w:val="Heading2Char"/>
        </w:rPr>
        <w:t>f</w:t>
      </w:r>
      <w:r w:rsidR="0055507E" w:rsidRPr="00CB502D">
        <w:rPr>
          <w:rStyle w:val="Heading2Char"/>
        </w:rPr>
        <w:t>or Child Abuse Victims</w:t>
      </w:r>
      <w:bookmarkEnd w:id="198"/>
      <w:r w:rsidR="00000E4D" w:rsidRPr="00CB502D">
        <w:rPr>
          <w:rFonts w:ascii="Arial" w:hAnsi="Arial" w:cs="Arial"/>
          <w:b/>
        </w:rPr>
        <w:t>.</w:t>
      </w:r>
      <w:bookmarkEnd w:id="199"/>
      <w:bookmarkEnd w:id="200"/>
      <w:bookmarkEnd w:id="201"/>
      <w:bookmarkEnd w:id="202"/>
      <w:r w:rsidR="00000E4D" w:rsidRPr="00CB502D">
        <w:rPr>
          <w:rFonts w:ascii="Arial" w:hAnsi="Arial" w:cs="Arial"/>
          <w:b/>
        </w:rPr>
        <w:t xml:space="preserve"> </w:t>
      </w:r>
    </w:p>
    <w:p w14:paraId="5ED4CF2A" w14:textId="12FFA81A" w:rsidR="00DF5408" w:rsidRPr="00CB502D" w:rsidRDefault="00DF5408" w:rsidP="0073029B">
      <w:pPr>
        <w:ind w:left="1440"/>
      </w:pPr>
      <w:r w:rsidRPr="00CB502D">
        <w:t>In</w:t>
      </w:r>
      <w:r w:rsidR="007161F5" w:rsidRPr="00CB502D">
        <w:t xml:space="preserve"> the pre-</w:t>
      </w:r>
      <w:r w:rsidR="007161F5" w:rsidRPr="00CB502D">
        <w:rPr>
          <w:i/>
        </w:rPr>
        <w:t xml:space="preserve">Crawford </w:t>
      </w:r>
      <w:r w:rsidR="007161F5" w:rsidRPr="00CB502D">
        <w:t>case</w:t>
      </w:r>
      <w:r w:rsidRPr="00CB502D">
        <w:t xml:space="preserve"> </w:t>
      </w:r>
      <w:r w:rsidRPr="00CB502D">
        <w:rPr>
          <w:i/>
        </w:rPr>
        <w:t xml:space="preserve">Maryland </w:t>
      </w:r>
      <w:r w:rsidR="00B06281" w:rsidRPr="00CB502D">
        <w:rPr>
          <w:i/>
        </w:rPr>
        <w:t>v. Craig</w:t>
      </w:r>
      <w:r w:rsidR="00B06281" w:rsidRPr="00CB502D">
        <w:t>,</w:t>
      </w:r>
      <w:r w:rsidR="00B06281" w:rsidRPr="00CB502D">
        <w:rPr>
          <w:rStyle w:val="FootnoteReference"/>
        </w:rPr>
        <w:footnoteReference w:id="29"/>
      </w:r>
      <w:r w:rsidRPr="00CB502D">
        <w:t xml:space="preserve"> the </w:t>
      </w:r>
      <w:r w:rsidR="00B06281" w:rsidRPr="00CB502D">
        <w:t xml:space="preserve">United States Supreme </w:t>
      </w:r>
      <w:r w:rsidRPr="00CB502D">
        <w:t>Court upheld a Maryland statute that allowed a judge to receive, through a one-way closed-circuit television system, the testimony of an alleged child abuse victim. The child witness was cross-examined in the separate room, while a video monitor recorded and displayed the child’s testimony to those in the courtroom.</w:t>
      </w:r>
      <w:r w:rsidR="00B06281" w:rsidRPr="00CB502D">
        <w:rPr>
          <w:rStyle w:val="FootnoteReference"/>
        </w:rPr>
        <w:footnoteReference w:id="30"/>
      </w:r>
      <w:r w:rsidRPr="00CB502D">
        <w:t xml:space="preserve"> Throughout the procedure, the defendant remained in electronic communication with defense counsel, and objections were made and ruled on as if the witness were testifying in the courtroom.</w:t>
      </w:r>
      <w:r w:rsidR="00B06281" w:rsidRPr="00CB502D">
        <w:rPr>
          <w:rStyle w:val="FootnoteReference"/>
        </w:rPr>
        <w:footnoteReference w:id="31"/>
      </w:r>
    </w:p>
    <w:p w14:paraId="251C58FF" w14:textId="2161A203" w:rsidR="00DF5408" w:rsidRPr="00CB502D" w:rsidRDefault="00DF5408" w:rsidP="0073029B">
      <w:pPr>
        <w:ind w:left="1440" w:firstLine="720"/>
      </w:pPr>
      <w:r w:rsidRPr="00CB502D">
        <w:t xml:space="preserve">Upholding the Maryland procedure, the </w:t>
      </w:r>
      <w:r w:rsidRPr="00CB502D">
        <w:rPr>
          <w:i/>
        </w:rPr>
        <w:t>Craig</w:t>
      </w:r>
      <w:r w:rsidRPr="00CB502D">
        <w:t xml:space="preserve"> Court held that while “the Confrontation Clause reflects a preference for face-to-face confrontation . . . that [preference] must occasionally give way to considerations of public policy and the necessities of the case.”</w:t>
      </w:r>
      <w:r w:rsidR="00B06281" w:rsidRPr="00CB502D">
        <w:rPr>
          <w:rStyle w:val="FootnoteReference"/>
        </w:rPr>
        <w:footnoteReference w:id="32"/>
      </w:r>
      <w:r w:rsidRPr="00CB502D">
        <w:t xml:space="preserve"> It went on to explain that “a defendant’s right to confront accusatory witnesses may be satisfied absent a physical, face-to-face confrontation at trial only where denial of such confrontation is necessary to further an important public policy and only where the reliability of the testimony is otherwise assured.”</w:t>
      </w:r>
      <w:r w:rsidR="00B06281" w:rsidRPr="00CB502D">
        <w:rPr>
          <w:rStyle w:val="FootnoteReference"/>
        </w:rPr>
        <w:footnoteReference w:id="33"/>
      </w:r>
    </w:p>
    <w:p w14:paraId="4B8F0734" w14:textId="0D595A92" w:rsidR="008052E3" w:rsidRPr="00CB502D" w:rsidRDefault="00867363" w:rsidP="0073029B">
      <w:pPr>
        <w:ind w:left="1440"/>
      </w:pPr>
      <w:r>
        <w:t>T</w:t>
      </w:r>
      <w:r w:rsidR="00DF5408" w:rsidRPr="00CB502D">
        <w:t>he Court made clear that the State must make a case-specific showing of necessity. Specifically, the trial court must</w:t>
      </w:r>
      <w:r w:rsidR="008052E3" w:rsidRPr="00CB502D">
        <w:t>:</w:t>
      </w:r>
    </w:p>
    <w:p w14:paraId="49142431" w14:textId="77777777" w:rsidR="008052E3" w:rsidRPr="00CB502D" w:rsidRDefault="008052E3" w:rsidP="0073029B">
      <w:pPr>
        <w:ind w:left="1440"/>
        <w:rPr>
          <w:rFonts w:cs="Arial"/>
        </w:rPr>
      </w:pPr>
    </w:p>
    <w:p w14:paraId="24BD3E86" w14:textId="1969AB34" w:rsidR="008052E3" w:rsidRPr="00CB502D" w:rsidRDefault="00DF5408" w:rsidP="00F25AF8">
      <w:pPr>
        <w:pStyle w:val="ListParagraph"/>
        <w:numPr>
          <w:ilvl w:val="0"/>
          <w:numId w:val="100"/>
        </w:numPr>
        <w:spacing w:after="0" w:line="240" w:lineRule="auto"/>
        <w:rPr>
          <w:rFonts w:cs="Arial"/>
        </w:rPr>
      </w:pPr>
      <w:r w:rsidRPr="00CB502D">
        <w:rPr>
          <w:rFonts w:ascii="Arial" w:hAnsi="Arial" w:cs="Arial"/>
        </w:rPr>
        <w:t>“</w:t>
      </w:r>
      <w:proofErr w:type="gramStart"/>
      <w:r w:rsidRPr="00CB502D">
        <w:rPr>
          <w:rFonts w:ascii="Arial" w:hAnsi="Arial" w:cs="Arial"/>
        </w:rPr>
        <w:t>hear</w:t>
      </w:r>
      <w:proofErr w:type="gramEnd"/>
      <w:r w:rsidRPr="00CB502D">
        <w:rPr>
          <w:rFonts w:ascii="Arial" w:hAnsi="Arial" w:cs="Arial"/>
        </w:rPr>
        <w:t xml:space="preserve"> evidence and determine whether use of the one-way closed-circuit television procedure is necessary to protect the welfare of the particular child witness who seeks to testify</w:t>
      </w:r>
      <w:proofErr w:type="gramStart"/>
      <w:r w:rsidRPr="00CB502D">
        <w:rPr>
          <w:rFonts w:ascii="Arial" w:hAnsi="Arial" w:cs="Arial"/>
        </w:rPr>
        <w:t>”;</w:t>
      </w:r>
      <w:proofErr w:type="gramEnd"/>
      <w:r w:rsidRPr="00CB502D">
        <w:rPr>
          <w:rFonts w:ascii="Arial" w:hAnsi="Arial" w:cs="Arial"/>
        </w:rPr>
        <w:t xml:space="preserve"> </w:t>
      </w:r>
    </w:p>
    <w:p w14:paraId="0B14628A" w14:textId="05D9ABFB" w:rsidR="008052E3" w:rsidRPr="00CB502D" w:rsidRDefault="00DF5408" w:rsidP="00F25AF8">
      <w:pPr>
        <w:pStyle w:val="ListParagraph"/>
        <w:numPr>
          <w:ilvl w:val="0"/>
          <w:numId w:val="100"/>
        </w:numPr>
        <w:spacing w:after="0" w:line="240" w:lineRule="auto"/>
        <w:rPr>
          <w:rFonts w:cs="Arial"/>
        </w:rPr>
      </w:pPr>
      <w:r w:rsidRPr="00CB502D">
        <w:rPr>
          <w:rFonts w:ascii="Arial" w:hAnsi="Arial" w:cs="Arial"/>
        </w:rPr>
        <w:t>“</w:t>
      </w:r>
      <w:proofErr w:type="gramStart"/>
      <w:r w:rsidRPr="00CB502D">
        <w:rPr>
          <w:rFonts w:ascii="Arial" w:hAnsi="Arial" w:cs="Arial"/>
        </w:rPr>
        <w:t>find</w:t>
      </w:r>
      <w:proofErr w:type="gramEnd"/>
      <w:r w:rsidRPr="00CB502D">
        <w:rPr>
          <w:rFonts w:ascii="Arial" w:hAnsi="Arial" w:cs="Arial"/>
        </w:rPr>
        <w:t xml:space="preserve"> that the child witness would be traumatized, not by the courtroom generally, but by the presence of the defendant”; and </w:t>
      </w:r>
    </w:p>
    <w:p w14:paraId="4921F48A" w14:textId="084730C0" w:rsidR="00757850" w:rsidRPr="00CB502D" w:rsidRDefault="00DF5408" w:rsidP="008404CB">
      <w:pPr>
        <w:pStyle w:val="ListParagraph"/>
        <w:numPr>
          <w:ilvl w:val="0"/>
          <w:numId w:val="100"/>
        </w:numPr>
        <w:spacing w:after="0" w:line="240" w:lineRule="auto"/>
      </w:pPr>
      <w:r w:rsidRPr="00CB502D">
        <w:rPr>
          <w:rFonts w:ascii="Arial" w:hAnsi="Arial" w:cs="Arial"/>
        </w:rPr>
        <w:t>“</w:t>
      </w:r>
      <w:proofErr w:type="gramStart"/>
      <w:r w:rsidRPr="00CB502D">
        <w:rPr>
          <w:rFonts w:ascii="Arial" w:hAnsi="Arial" w:cs="Arial"/>
        </w:rPr>
        <w:t>find</w:t>
      </w:r>
      <w:proofErr w:type="gramEnd"/>
      <w:r w:rsidRPr="00CB502D">
        <w:rPr>
          <w:rFonts w:ascii="Arial" w:hAnsi="Arial" w:cs="Arial"/>
        </w:rPr>
        <w:t xml:space="preserve"> that the emotional distress suffered by the child witness in the presence of the defendant is more than de minimis, i.e., more than mere nervousness or excitement or some reluctance to testify</w:t>
      </w:r>
      <w:r w:rsidRPr="00CB502D">
        <w:t>.”</w:t>
      </w:r>
      <w:r w:rsidR="00B06281" w:rsidRPr="00CB502D">
        <w:rPr>
          <w:rStyle w:val="FootnoteReference"/>
          <w:rFonts w:ascii="Arial" w:hAnsi="Arial" w:cs="Arial"/>
        </w:rPr>
        <w:footnoteReference w:id="34"/>
      </w:r>
    </w:p>
    <w:p w14:paraId="36AF3989" w14:textId="2CB10EC0" w:rsidR="00DF5408" w:rsidRPr="00CB502D" w:rsidRDefault="00B06281" w:rsidP="0073029B">
      <w:pPr>
        <w:ind w:left="1440"/>
      </w:pPr>
      <w:r w:rsidRPr="00CB502D">
        <w:tab/>
      </w:r>
    </w:p>
    <w:p w14:paraId="7B3F09B8" w14:textId="2E25DA3E" w:rsidR="000930C4" w:rsidRPr="00CB502D" w:rsidRDefault="0073029B" w:rsidP="0073029B">
      <w:pPr>
        <w:ind w:left="1440" w:firstLine="720"/>
        <w:rPr>
          <w:i/>
        </w:rPr>
      </w:pPr>
      <w:r w:rsidRPr="00CB502D">
        <w:lastRenderedPageBreak/>
        <w:t xml:space="preserve">Although </w:t>
      </w:r>
      <w:r w:rsidR="00B06281" w:rsidRPr="00CB502D">
        <w:t xml:space="preserve">the United States Supreme Court has not yet considered whether the </w:t>
      </w:r>
      <w:r w:rsidRPr="00CB502D">
        <w:t xml:space="preserve">type of procedure </w:t>
      </w:r>
      <w:r w:rsidR="00B06281" w:rsidRPr="00CB502D">
        <w:t xml:space="preserve">sanctioned in </w:t>
      </w:r>
      <w:r w:rsidR="00B06281" w:rsidRPr="00CB502D">
        <w:rPr>
          <w:i/>
        </w:rPr>
        <w:t>Craig</w:t>
      </w:r>
      <w:r w:rsidR="00B06281" w:rsidRPr="00CB502D">
        <w:t xml:space="preserve"> for child victims survives </w:t>
      </w:r>
      <w:r w:rsidR="00B06281" w:rsidRPr="00CB502D">
        <w:rPr>
          <w:i/>
        </w:rPr>
        <w:t>Crawford</w:t>
      </w:r>
      <w:r w:rsidR="00B06281" w:rsidRPr="00CB502D">
        <w:t xml:space="preserve">, the North Carolina courts </w:t>
      </w:r>
      <w:r w:rsidR="00CF437B">
        <w:t xml:space="preserve">and others </w:t>
      </w:r>
      <w:r w:rsidR="00B06281" w:rsidRPr="00CB502D">
        <w:t>have held that it does.</w:t>
      </w:r>
      <w:r w:rsidR="0055507E" w:rsidRPr="00CB502D">
        <w:rPr>
          <w:rStyle w:val="FootnoteReference"/>
          <w:rFonts w:cs="Arial"/>
        </w:rPr>
        <w:footnoteReference w:id="35"/>
      </w:r>
    </w:p>
    <w:p w14:paraId="3C64C697" w14:textId="77777777" w:rsidR="00235E16" w:rsidRPr="00CB502D" w:rsidRDefault="00235E16" w:rsidP="0073029B">
      <w:pPr>
        <w:ind w:left="1440" w:firstLine="720"/>
        <w:rPr>
          <w:i/>
        </w:rPr>
      </w:pPr>
    </w:p>
    <w:p w14:paraId="01235451" w14:textId="77777777" w:rsidR="001742EE" w:rsidRPr="00CB502D" w:rsidRDefault="00832B7E" w:rsidP="004C0CD4">
      <w:pPr>
        <w:pStyle w:val="Heading2"/>
        <w:numPr>
          <w:ilvl w:val="0"/>
          <w:numId w:val="86"/>
        </w:numPr>
      </w:pPr>
      <w:bookmarkStart w:id="203" w:name="_Toc398033815"/>
      <w:bookmarkStart w:id="204" w:name="_Toc223718247"/>
      <w:bookmarkStart w:id="205" w:name="_Toc223718503"/>
      <w:bookmarkStart w:id="206" w:name="_Toc223731894"/>
      <w:r w:rsidRPr="00CB502D">
        <w:t>Remote Testimony.</w:t>
      </w:r>
      <w:bookmarkEnd w:id="203"/>
      <w:bookmarkEnd w:id="204"/>
      <w:bookmarkEnd w:id="205"/>
      <w:bookmarkEnd w:id="206"/>
      <w:r w:rsidRPr="00CB502D">
        <w:t xml:space="preserve"> </w:t>
      </w:r>
    </w:p>
    <w:p w14:paraId="43666983" w14:textId="3DF3800F" w:rsidR="00B06281" w:rsidRPr="00CB502D" w:rsidRDefault="00832B7E" w:rsidP="00F90BD3">
      <w:pPr>
        <w:ind w:left="1440"/>
      </w:pPr>
      <w:r w:rsidRPr="00CB502D">
        <w:t xml:space="preserve">Relying on </w:t>
      </w:r>
      <w:r w:rsidRPr="00CB502D">
        <w:rPr>
          <w:i/>
        </w:rPr>
        <w:t>Maryland v. Craig</w:t>
      </w:r>
      <w:r w:rsidR="0049095C">
        <w:rPr>
          <w:i/>
        </w:rPr>
        <w:t>,</w:t>
      </w:r>
      <w:r w:rsidRPr="00CB502D">
        <w:t xml:space="preserve"> some </w:t>
      </w:r>
      <w:r w:rsidR="00F90BD3" w:rsidRPr="00CB502D">
        <w:t xml:space="preserve">have </w:t>
      </w:r>
      <w:r w:rsidRPr="00CB502D">
        <w:t>argue</w:t>
      </w:r>
      <w:r w:rsidR="00F90BD3" w:rsidRPr="00CB502D">
        <w:t>d</w:t>
      </w:r>
      <w:r w:rsidRPr="00CB502D">
        <w:t xml:space="preserve"> that </w:t>
      </w:r>
      <w:r w:rsidR="00F90BD3" w:rsidRPr="00CB502D">
        <w:t xml:space="preserve">when a witness testifies </w:t>
      </w:r>
      <w:r w:rsidRPr="00CB502D">
        <w:t xml:space="preserve">remotely </w:t>
      </w:r>
      <w:r w:rsidR="00B06281" w:rsidRPr="00CB502D">
        <w:t>through a two-way audio-visual system</w:t>
      </w:r>
      <w:r w:rsidR="00F90BD3" w:rsidRPr="00CB502D">
        <w:t xml:space="preserve"> the witness is subject to cross-examination at tr</w:t>
      </w:r>
      <w:r w:rsidR="006569E6" w:rsidRPr="00CB502D">
        <w:t xml:space="preserve">ial and the requirements of the </w:t>
      </w:r>
      <w:r w:rsidR="00AE664A">
        <w:t>Confrontation Clause</w:t>
      </w:r>
      <w:r w:rsidR="006569E6" w:rsidRPr="00CB502D">
        <w:t xml:space="preserve"> are satisfied</w:t>
      </w:r>
      <w:r w:rsidR="00F90BD3" w:rsidRPr="00CB502D">
        <w:t xml:space="preserve">. </w:t>
      </w:r>
      <w:r w:rsidRPr="00CB502D">
        <w:t xml:space="preserve">To date, courts have been willing to uphold such </w:t>
      </w:r>
      <w:r w:rsidR="00F90BD3" w:rsidRPr="00CB502D">
        <w:t xml:space="preserve">a </w:t>
      </w:r>
      <w:r w:rsidRPr="00CB502D">
        <w:t>procedure</w:t>
      </w:r>
      <w:r w:rsidR="00F90BD3" w:rsidRPr="00CB502D">
        <w:t xml:space="preserve"> only when </w:t>
      </w:r>
      <w:r w:rsidRPr="00CB502D">
        <w:t xml:space="preserve">the </w:t>
      </w:r>
      <w:r w:rsidR="00F90BD3" w:rsidRPr="00CB502D">
        <w:t>prosecution</w:t>
      </w:r>
      <w:r w:rsidRPr="00CB502D">
        <w:t xml:space="preserve"> can assert a pressing public policy interest, such as</w:t>
      </w:r>
      <w:r w:rsidR="00B06281" w:rsidRPr="00CB502D">
        <w:t>:</w:t>
      </w:r>
    </w:p>
    <w:p w14:paraId="4AEAA85F" w14:textId="77777777" w:rsidR="00832B7E" w:rsidRPr="00CB502D" w:rsidRDefault="00832B7E" w:rsidP="00F90BD3">
      <w:pPr>
        <w:ind w:left="1440"/>
      </w:pPr>
    </w:p>
    <w:p w14:paraId="274A2B64" w14:textId="77777777" w:rsidR="00832B7E" w:rsidRPr="00CB502D" w:rsidRDefault="00832B7E" w:rsidP="00F90BD3">
      <w:pPr>
        <w:pStyle w:val="ListParagraph"/>
        <w:numPr>
          <w:ilvl w:val="0"/>
          <w:numId w:val="90"/>
        </w:numPr>
        <w:spacing w:after="0" w:line="240" w:lineRule="auto"/>
        <w:rPr>
          <w:rFonts w:cs="Arial"/>
        </w:rPr>
      </w:pPr>
      <w:r w:rsidRPr="00CB502D">
        <w:rPr>
          <w:rFonts w:ascii="Arial" w:hAnsi="Arial" w:cs="Arial"/>
        </w:rPr>
        <w:t>protecting child sexual assault victims from trauma,</w:t>
      </w:r>
    </w:p>
    <w:p w14:paraId="636F5DDD" w14:textId="77777777" w:rsidR="00832B7E" w:rsidRPr="00CB502D" w:rsidRDefault="00832B7E" w:rsidP="00F90BD3">
      <w:pPr>
        <w:pStyle w:val="ListParagraph"/>
        <w:numPr>
          <w:ilvl w:val="0"/>
          <w:numId w:val="90"/>
        </w:numPr>
        <w:spacing w:after="0" w:line="240" w:lineRule="auto"/>
        <w:rPr>
          <w:rFonts w:cs="Arial"/>
        </w:rPr>
      </w:pPr>
      <w:r w:rsidRPr="00CB502D">
        <w:rPr>
          <w:rFonts w:ascii="Arial" w:hAnsi="Arial" w:cs="Arial"/>
        </w:rPr>
        <w:t>national security in terrorism cases,</w:t>
      </w:r>
    </w:p>
    <w:p w14:paraId="4270CC83" w14:textId="77777777" w:rsidR="00832B7E" w:rsidRPr="00CB502D" w:rsidRDefault="00832B7E" w:rsidP="00F90BD3">
      <w:pPr>
        <w:pStyle w:val="ListParagraph"/>
        <w:numPr>
          <w:ilvl w:val="0"/>
          <w:numId w:val="90"/>
        </w:numPr>
        <w:spacing w:after="0" w:line="240" w:lineRule="auto"/>
        <w:rPr>
          <w:rFonts w:cs="Arial"/>
        </w:rPr>
      </w:pPr>
      <w:r w:rsidRPr="00CB502D">
        <w:rPr>
          <w:rFonts w:ascii="Arial" w:hAnsi="Arial" w:cs="Arial"/>
        </w:rPr>
        <w:t>combating international drug smuggling,</w:t>
      </w:r>
    </w:p>
    <w:p w14:paraId="7C62A6A3" w14:textId="77777777" w:rsidR="00832B7E" w:rsidRPr="00CB502D" w:rsidRDefault="00832B7E" w:rsidP="00F90BD3">
      <w:pPr>
        <w:pStyle w:val="ListParagraph"/>
        <w:numPr>
          <w:ilvl w:val="0"/>
          <w:numId w:val="90"/>
        </w:numPr>
        <w:spacing w:after="0" w:line="240" w:lineRule="auto"/>
        <w:rPr>
          <w:rFonts w:ascii="Arial" w:hAnsi="Arial" w:cs="Arial"/>
        </w:rPr>
      </w:pPr>
      <w:r w:rsidRPr="00CB502D">
        <w:rPr>
          <w:rFonts w:ascii="Arial" w:hAnsi="Arial" w:cs="Arial"/>
        </w:rPr>
        <w:t>protecting a seriously ill witness’s health, and</w:t>
      </w:r>
    </w:p>
    <w:p w14:paraId="6F9FAE61" w14:textId="77777777" w:rsidR="00832B7E" w:rsidRPr="00CB502D" w:rsidRDefault="00832B7E" w:rsidP="00F90BD3">
      <w:pPr>
        <w:pStyle w:val="ListParagraph"/>
        <w:numPr>
          <w:ilvl w:val="0"/>
          <w:numId w:val="90"/>
        </w:numPr>
        <w:spacing w:after="0" w:line="240" w:lineRule="auto"/>
        <w:rPr>
          <w:rFonts w:ascii="Arial" w:hAnsi="Arial" w:cs="Arial"/>
        </w:rPr>
      </w:pPr>
      <w:r w:rsidRPr="00CB502D">
        <w:rPr>
          <w:rFonts w:ascii="Arial" w:hAnsi="Arial" w:cs="Arial"/>
        </w:rPr>
        <w:t>protecting witnesses who have been intimidated.</w:t>
      </w:r>
    </w:p>
    <w:p w14:paraId="5BF1A01F" w14:textId="77777777" w:rsidR="00B06281" w:rsidRPr="00CB502D" w:rsidRDefault="00B06281" w:rsidP="00F90BD3">
      <w:pPr>
        <w:pStyle w:val="ListParagraph"/>
        <w:spacing w:after="0" w:line="240" w:lineRule="auto"/>
        <w:ind w:left="2160"/>
        <w:rPr>
          <w:rFonts w:ascii="Arial" w:hAnsi="Arial" w:cs="Arial"/>
        </w:rPr>
      </w:pPr>
    </w:p>
    <w:p w14:paraId="5F9899DB" w14:textId="77777777" w:rsidR="00832B7E" w:rsidRPr="00CB502D" w:rsidRDefault="00832B7E" w:rsidP="00832B7E">
      <w:pPr>
        <w:ind w:left="1440"/>
        <w:rPr>
          <w:rFonts w:cs="Arial"/>
          <w:szCs w:val="22"/>
        </w:rPr>
      </w:pPr>
      <w:r w:rsidRPr="00CB502D">
        <w:rPr>
          <w:rFonts w:cs="Arial"/>
          <w:szCs w:val="22"/>
        </w:rPr>
        <w:t>At the same time, courts have either held or suggested that the following rationales are insufficient to justify abridging a defendant’s confrontation rights:</w:t>
      </w:r>
    </w:p>
    <w:p w14:paraId="7C53432B" w14:textId="77777777" w:rsidR="00B06281" w:rsidRPr="00CB502D" w:rsidRDefault="00B06281" w:rsidP="00832B7E">
      <w:pPr>
        <w:ind w:left="1440"/>
        <w:rPr>
          <w:rFonts w:cs="Arial"/>
          <w:szCs w:val="22"/>
        </w:rPr>
      </w:pPr>
    </w:p>
    <w:p w14:paraId="2144B5F2" w14:textId="77777777" w:rsidR="00832B7E" w:rsidRPr="00CB502D" w:rsidRDefault="00832B7E" w:rsidP="00F90BD3">
      <w:pPr>
        <w:pStyle w:val="ListParagraph"/>
        <w:numPr>
          <w:ilvl w:val="0"/>
          <w:numId w:val="82"/>
        </w:numPr>
        <w:spacing w:after="0" w:line="240" w:lineRule="auto"/>
        <w:rPr>
          <w:rFonts w:cs="Arial"/>
        </w:rPr>
      </w:pPr>
      <w:r w:rsidRPr="00CB502D">
        <w:rPr>
          <w:rFonts w:ascii="Arial" w:hAnsi="Arial" w:cs="Arial"/>
        </w:rPr>
        <w:t>convenience,</w:t>
      </w:r>
    </w:p>
    <w:p w14:paraId="6404B8FD" w14:textId="77777777" w:rsidR="00832B7E" w:rsidRPr="00CB502D" w:rsidRDefault="00832B7E" w:rsidP="00F90BD3">
      <w:pPr>
        <w:pStyle w:val="ListParagraph"/>
        <w:numPr>
          <w:ilvl w:val="0"/>
          <w:numId w:val="82"/>
        </w:numPr>
        <w:spacing w:after="0" w:line="240" w:lineRule="auto"/>
        <w:rPr>
          <w:rFonts w:ascii="Arial" w:hAnsi="Arial" w:cs="Arial"/>
        </w:rPr>
      </w:pPr>
      <w:r w:rsidRPr="00CB502D">
        <w:rPr>
          <w:rFonts w:ascii="Arial" w:hAnsi="Arial" w:cs="Arial"/>
        </w:rPr>
        <w:t xml:space="preserve">mere unavailability, </w:t>
      </w:r>
    </w:p>
    <w:p w14:paraId="2439A4F8" w14:textId="77777777" w:rsidR="00832B7E" w:rsidRPr="00CB502D" w:rsidRDefault="00832B7E" w:rsidP="00F90BD3">
      <w:pPr>
        <w:pStyle w:val="ListParagraph"/>
        <w:numPr>
          <w:ilvl w:val="0"/>
          <w:numId w:val="82"/>
        </w:numPr>
        <w:spacing w:after="0" w:line="240" w:lineRule="auto"/>
        <w:rPr>
          <w:rFonts w:ascii="Arial" w:hAnsi="Arial" w:cs="Arial"/>
        </w:rPr>
      </w:pPr>
      <w:r w:rsidRPr="00CB502D">
        <w:rPr>
          <w:rFonts w:ascii="Arial" w:hAnsi="Arial" w:cs="Arial"/>
        </w:rPr>
        <w:t>cost savings, and</w:t>
      </w:r>
    </w:p>
    <w:p w14:paraId="527A7684" w14:textId="77777777" w:rsidR="00832B7E" w:rsidRPr="00CB502D" w:rsidRDefault="00832B7E" w:rsidP="00F90BD3">
      <w:pPr>
        <w:pStyle w:val="ListParagraph"/>
        <w:numPr>
          <w:ilvl w:val="0"/>
          <w:numId w:val="82"/>
        </w:numPr>
        <w:spacing w:after="0" w:line="240" w:lineRule="auto"/>
        <w:rPr>
          <w:rFonts w:ascii="Arial" w:hAnsi="Arial" w:cs="Arial"/>
        </w:rPr>
      </w:pPr>
      <w:r w:rsidRPr="00CB502D">
        <w:rPr>
          <w:rFonts w:ascii="Arial" w:hAnsi="Arial" w:cs="Arial"/>
        </w:rPr>
        <w:t>general law enforcement.</w:t>
      </w:r>
    </w:p>
    <w:p w14:paraId="3F21772D" w14:textId="77777777" w:rsidR="00B06281" w:rsidRPr="00CB502D" w:rsidRDefault="00B06281" w:rsidP="00F90BD3">
      <w:pPr>
        <w:pStyle w:val="ListParagraph"/>
        <w:spacing w:after="0" w:line="240" w:lineRule="auto"/>
        <w:ind w:left="2160"/>
        <w:rPr>
          <w:rFonts w:ascii="Arial" w:hAnsi="Arial" w:cs="Arial"/>
        </w:rPr>
      </w:pPr>
    </w:p>
    <w:p w14:paraId="684E30D5" w14:textId="436B8661" w:rsidR="009D3DA5" w:rsidRPr="00CB502D" w:rsidRDefault="009D3DA5" w:rsidP="00F90BD3">
      <w:pPr>
        <w:ind w:left="1440"/>
        <w:rPr>
          <w:rFonts w:cs="Arial"/>
        </w:rPr>
      </w:pPr>
      <w:r w:rsidRPr="00CB502D">
        <w:rPr>
          <w:rFonts w:cs="Arial"/>
        </w:rPr>
        <w:tab/>
        <w:t xml:space="preserve">Of course, if confrontation rights are waived, remote testimony is permissible. </w:t>
      </w:r>
      <w:r w:rsidR="00753597">
        <w:rPr>
          <w:rFonts w:cs="Arial"/>
        </w:rPr>
        <w:t>G.S. 15A-1225.</w:t>
      </w:r>
      <w:r w:rsidR="009605E0">
        <w:rPr>
          <w:rFonts w:cs="Arial"/>
        </w:rPr>
        <w:t>3</w:t>
      </w:r>
      <w:r w:rsidR="000C3EFD">
        <w:rPr>
          <w:rFonts w:cs="Arial"/>
        </w:rPr>
        <w:t>(b)</w:t>
      </w:r>
      <w:r w:rsidR="009605E0">
        <w:rPr>
          <w:rFonts w:cs="Arial"/>
        </w:rPr>
        <w:t xml:space="preserve"> and </w:t>
      </w:r>
      <w:r w:rsidR="0083590E">
        <w:rPr>
          <w:rFonts w:cs="Arial"/>
        </w:rPr>
        <w:t>G.S. 20-139.1(c5)</w:t>
      </w:r>
      <w:r w:rsidR="00753597">
        <w:rPr>
          <w:rFonts w:cs="Arial"/>
        </w:rPr>
        <w:t xml:space="preserve"> allow</w:t>
      </w:r>
      <w:r w:rsidRPr="00CB502D">
        <w:rPr>
          <w:rFonts w:cs="Arial"/>
        </w:rPr>
        <w:t xml:space="preserve"> remote testimony by forensic analysts </w:t>
      </w:r>
      <w:r w:rsidR="00273319" w:rsidRPr="00CB502D">
        <w:rPr>
          <w:rFonts w:cs="Arial"/>
        </w:rPr>
        <w:t xml:space="preserve">in certain circumstances </w:t>
      </w:r>
      <w:r w:rsidRPr="00CB502D">
        <w:rPr>
          <w:rFonts w:cs="Arial"/>
        </w:rPr>
        <w:t>after a waiver of confrontation rights by the defendant through notice and demand statute</w:t>
      </w:r>
      <w:r w:rsidR="0083590E">
        <w:rPr>
          <w:rFonts w:cs="Arial"/>
        </w:rPr>
        <w:t>s</w:t>
      </w:r>
      <w:r w:rsidRPr="00CB502D">
        <w:rPr>
          <w:rFonts w:cs="Arial"/>
        </w:rPr>
        <w:t>.</w:t>
      </w:r>
      <w:r w:rsidRPr="00CB502D">
        <w:rPr>
          <w:rStyle w:val="FootnoteReference"/>
          <w:rFonts w:cs="Arial"/>
        </w:rPr>
        <w:footnoteReference w:id="36"/>
      </w:r>
      <w:r w:rsidR="007073A6" w:rsidRPr="00CB502D">
        <w:rPr>
          <w:rFonts w:cs="Arial"/>
        </w:rPr>
        <w:t xml:space="preserve"> Other North Carolina statutes allow for remote testimony</w:t>
      </w:r>
      <w:r w:rsidR="00F604C3" w:rsidRPr="00CB502D">
        <w:rPr>
          <w:rFonts w:cs="Arial"/>
        </w:rPr>
        <w:t xml:space="preserve"> of child witnesses,</w:t>
      </w:r>
      <w:r w:rsidR="00F604C3" w:rsidRPr="00CB502D">
        <w:rPr>
          <w:rStyle w:val="FootnoteReference"/>
          <w:rFonts w:cs="Arial"/>
        </w:rPr>
        <w:footnoteReference w:id="37"/>
      </w:r>
      <w:r w:rsidR="00F604C3" w:rsidRPr="00CB502D">
        <w:rPr>
          <w:rFonts w:cs="Arial"/>
        </w:rPr>
        <w:t xml:space="preserve"> and witnesses with</w:t>
      </w:r>
      <w:r w:rsidR="008404CB">
        <w:rPr>
          <w:rFonts w:cs="Arial"/>
        </w:rPr>
        <w:t xml:space="preserve"> intellectual or </w:t>
      </w:r>
      <w:r w:rsidR="00F604C3" w:rsidRPr="00CB502D">
        <w:rPr>
          <w:rFonts w:cs="Arial"/>
        </w:rPr>
        <w:t>developmental disabilities.</w:t>
      </w:r>
      <w:r w:rsidR="00F604C3" w:rsidRPr="00CB502D">
        <w:rPr>
          <w:rStyle w:val="FootnoteReference"/>
          <w:rFonts w:cs="Arial"/>
        </w:rPr>
        <w:footnoteReference w:id="38"/>
      </w:r>
      <w:r w:rsidR="00F604C3" w:rsidRPr="00CB502D">
        <w:rPr>
          <w:rFonts w:cs="Arial"/>
        </w:rPr>
        <w:t xml:space="preserve"> </w:t>
      </w:r>
      <w:r w:rsidR="001430AF">
        <w:rPr>
          <w:rFonts w:cs="Arial"/>
        </w:rPr>
        <w:t xml:space="preserve">In 2021, the North Carolina General Assembly enacted </w:t>
      </w:r>
      <w:r w:rsidR="00200BF9">
        <w:rPr>
          <w:rFonts w:cs="Arial"/>
        </w:rPr>
        <w:t>G.S. 7A-</w:t>
      </w:r>
      <w:r w:rsidR="00DF0880">
        <w:rPr>
          <w:rFonts w:cs="Arial"/>
        </w:rPr>
        <w:t>49.6, permitting remote testimony in all types of proceedings</w:t>
      </w:r>
      <w:r w:rsidR="00A077DC">
        <w:rPr>
          <w:rFonts w:cs="Arial"/>
        </w:rPr>
        <w:t xml:space="preserve"> under certain circumstances</w:t>
      </w:r>
      <w:r w:rsidR="002D6CD4">
        <w:rPr>
          <w:rFonts w:cs="Arial"/>
        </w:rPr>
        <w:t xml:space="preserve">, including a knowing and </w:t>
      </w:r>
      <w:r w:rsidR="0061367D">
        <w:rPr>
          <w:rFonts w:cs="Arial"/>
        </w:rPr>
        <w:t xml:space="preserve">voluntary waiver of confrontation rights by a defendant or juvenile in criminal or </w:t>
      </w:r>
      <w:r w:rsidR="0061367D">
        <w:rPr>
          <w:rFonts w:cs="Arial"/>
        </w:rPr>
        <w:lastRenderedPageBreak/>
        <w:t>delinquency proceedings.</w:t>
      </w:r>
      <w:r w:rsidR="00623319" w:rsidRPr="00CB502D">
        <w:rPr>
          <w:rStyle w:val="FootnoteReference"/>
          <w:rFonts w:cs="Arial"/>
        </w:rPr>
        <w:footnoteReference w:id="39"/>
      </w:r>
      <w:r w:rsidR="0061367D">
        <w:rPr>
          <w:rFonts w:cs="Arial"/>
        </w:rPr>
        <w:t xml:space="preserve"> </w:t>
      </w:r>
      <w:r w:rsidR="002F149E">
        <w:rPr>
          <w:rFonts w:cs="Arial"/>
        </w:rPr>
        <w:t>Remote testimony is further addressed in Section V</w:t>
      </w:r>
      <w:r w:rsidR="00B357D9">
        <w:rPr>
          <w:rFonts w:cs="Arial"/>
        </w:rPr>
        <w:t>I</w:t>
      </w:r>
      <w:r w:rsidR="002F149E">
        <w:rPr>
          <w:rFonts w:cs="Arial"/>
        </w:rPr>
        <w:t>I</w:t>
      </w:r>
      <w:r w:rsidR="00F6630D">
        <w:rPr>
          <w:rFonts w:cs="Arial"/>
        </w:rPr>
        <w:t>.B.</w:t>
      </w:r>
      <w:r w:rsidR="002F149E">
        <w:rPr>
          <w:rFonts w:cs="Arial"/>
        </w:rPr>
        <w:t>, below.</w:t>
      </w:r>
    </w:p>
    <w:p w14:paraId="1AB44B40" w14:textId="77777777" w:rsidR="001E11E1" w:rsidRPr="00CB502D" w:rsidRDefault="001E11E1" w:rsidP="00972203">
      <w:pPr>
        <w:pStyle w:val="NoParagraphStyle"/>
        <w:spacing w:line="240" w:lineRule="auto"/>
        <w:rPr>
          <w:rFonts w:ascii="Arial" w:hAnsi="Arial" w:cs="Arial"/>
          <w:sz w:val="22"/>
          <w:szCs w:val="22"/>
        </w:rPr>
      </w:pPr>
    </w:p>
    <w:p w14:paraId="11B7A800" w14:textId="77777777" w:rsidR="001742EE" w:rsidRPr="00CB502D" w:rsidRDefault="0030295C" w:rsidP="00D65E75">
      <w:pPr>
        <w:pStyle w:val="Heading2"/>
        <w:numPr>
          <w:ilvl w:val="0"/>
          <w:numId w:val="86"/>
        </w:numPr>
        <w:rPr>
          <w:iCs/>
        </w:rPr>
      </w:pPr>
      <w:bookmarkStart w:id="207" w:name="Makingthewitness"/>
      <w:bookmarkStart w:id="208" w:name="_Toc398033816"/>
      <w:bookmarkStart w:id="209" w:name="_Toc223718248"/>
      <w:bookmarkStart w:id="210" w:name="_Toc223718504"/>
      <w:bookmarkStart w:id="211" w:name="_Toc223731895"/>
      <w:r w:rsidRPr="00CB502D">
        <w:rPr>
          <w:iCs/>
        </w:rPr>
        <w:t xml:space="preserve">Making </w:t>
      </w:r>
      <w:r w:rsidR="001E11E1" w:rsidRPr="00CB502D">
        <w:rPr>
          <w:iCs/>
        </w:rPr>
        <w:t xml:space="preserve">the Witness </w:t>
      </w:r>
      <w:r w:rsidRPr="00CB502D">
        <w:rPr>
          <w:iCs/>
        </w:rPr>
        <w:t>“Available” to the Defense</w:t>
      </w:r>
      <w:bookmarkEnd w:id="207"/>
      <w:r w:rsidRPr="00CB502D">
        <w:rPr>
          <w:iCs/>
        </w:rPr>
        <w:t>.</w:t>
      </w:r>
      <w:bookmarkEnd w:id="208"/>
      <w:bookmarkEnd w:id="209"/>
      <w:bookmarkEnd w:id="210"/>
      <w:bookmarkEnd w:id="211"/>
      <w:r w:rsidR="001E11E1" w:rsidRPr="00CB502D">
        <w:rPr>
          <w:iCs/>
        </w:rPr>
        <w:t xml:space="preserve"> </w:t>
      </w:r>
    </w:p>
    <w:p w14:paraId="4DB4C1FE" w14:textId="484C5050" w:rsidR="001E11E1" w:rsidRPr="00CB502D" w:rsidRDefault="001E11E1" w:rsidP="00F90BD3">
      <w:pPr>
        <w:ind w:left="1440"/>
      </w:pPr>
      <w:r w:rsidRPr="00CB502D">
        <w:t xml:space="preserve">In </w:t>
      </w:r>
      <w:r w:rsidRPr="00CB502D">
        <w:rPr>
          <w:rStyle w:val="00BTitalic"/>
          <w:rFonts w:ascii="Arial" w:hAnsi="Arial" w:cs="Arial"/>
          <w:szCs w:val="22"/>
        </w:rPr>
        <w:t>Melendez-Diaz v. Massachusetts</w:t>
      </w:r>
      <w:r w:rsidRPr="00CB502D">
        <w:t>,</w:t>
      </w:r>
      <w:r w:rsidRPr="00CB502D">
        <w:rPr>
          <w:rStyle w:val="00BTfootnotecallout"/>
          <w:rFonts w:ascii="Arial" w:hAnsi="Arial" w:cs="Arial"/>
        </w:rPr>
        <w:footnoteReference w:id="40"/>
      </w:r>
      <w:r w:rsidRPr="00CB502D">
        <w:t xml:space="preserve"> the United States Supreme Court </w:t>
      </w:r>
      <w:r w:rsidR="0030295C" w:rsidRPr="00CB502D">
        <w:t>foreclose</w:t>
      </w:r>
      <w:r w:rsidR="006F14A7">
        <w:t>d</w:t>
      </w:r>
      <w:r w:rsidR="0030295C" w:rsidRPr="00CB502D">
        <w:t xml:space="preserve"> </w:t>
      </w:r>
      <w:r w:rsidRPr="00CB502D">
        <w:t xml:space="preserve">any argument that a witness is subject to cross-examination when the prosecution </w:t>
      </w:r>
      <w:r w:rsidR="0030295C" w:rsidRPr="00CB502D">
        <w:t xml:space="preserve">informs the defense that the witness will be made available if called by that side or </w:t>
      </w:r>
      <w:r w:rsidR="00660B5B" w:rsidRPr="00CB502D">
        <w:t xml:space="preserve">when the prosecution </w:t>
      </w:r>
      <w:r w:rsidRPr="00CB502D">
        <w:t>produces the witness in court but does not call that person to the stand.</w:t>
      </w:r>
    </w:p>
    <w:p w14:paraId="2A831DBE" w14:textId="77777777" w:rsidR="00972203" w:rsidRPr="00CB502D" w:rsidRDefault="00972203" w:rsidP="00972203">
      <w:pPr>
        <w:pStyle w:val="NoParagraphStyle"/>
        <w:spacing w:line="240" w:lineRule="auto"/>
        <w:ind w:left="1440" w:hanging="720"/>
        <w:rPr>
          <w:rFonts w:ascii="Arial" w:hAnsi="Arial" w:cs="Arial"/>
          <w:sz w:val="22"/>
          <w:szCs w:val="22"/>
        </w:rPr>
      </w:pPr>
      <w:bookmarkStart w:id="212" w:name="Testimonial"/>
    </w:p>
    <w:p w14:paraId="6C804F11" w14:textId="7C0F65A9" w:rsidR="00593126" w:rsidRPr="00593126" w:rsidRDefault="00593126" w:rsidP="00593126">
      <w:pPr>
        <w:pStyle w:val="Heading1"/>
        <w:rPr>
          <w:b w:val="0"/>
          <w:bCs/>
        </w:rPr>
      </w:pPr>
      <w:bookmarkStart w:id="213" w:name="_Toc223718249"/>
      <w:bookmarkStart w:id="214" w:name="_Toc223718505"/>
      <w:bookmarkStart w:id="215" w:name="_Toc223731896"/>
      <w:bookmarkEnd w:id="212"/>
      <w:r w:rsidRPr="003D3377">
        <w:t>Testimonial Statements</w:t>
      </w:r>
      <w:bookmarkEnd w:id="213"/>
      <w:bookmarkEnd w:id="214"/>
      <w:r w:rsidR="003D3377">
        <w:rPr>
          <w:rFonts w:eastAsia="Times New Roman"/>
        </w:rPr>
        <w:t>.</w:t>
      </w:r>
      <w:bookmarkEnd w:id="215"/>
      <w:r w:rsidRPr="00593126">
        <w:rPr>
          <w:rFonts w:eastAsia="Times New Roman"/>
          <w:b w:val="0"/>
          <w:bCs/>
        </w:rPr>
        <w:t xml:space="preserve"> </w:t>
      </w:r>
    </w:p>
    <w:p w14:paraId="78EDF3DF" w14:textId="1530721F" w:rsidR="00593126" w:rsidRPr="00593126" w:rsidRDefault="00593126" w:rsidP="00AB225B">
      <w:pPr>
        <w:ind w:left="720"/>
        <w:rPr>
          <w:rFonts w:eastAsia="Times New Roman" w:cs="Arial"/>
          <w:b/>
          <w:color w:val="000000"/>
          <w:szCs w:val="22"/>
        </w:rPr>
      </w:pPr>
      <w:r w:rsidRPr="00593126">
        <w:rPr>
          <w:rFonts w:eastAsia="Times New Roman"/>
        </w:rPr>
        <w:t xml:space="preserve">The </w:t>
      </w:r>
      <w:r w:rsidRPr="00593126">
        <w:rPr>
          <w:rFonts w:eastAsia="Times New Roman" w:cs="Arial"/>
          <w:i/>
          <w:iCs/>
        </w:rPr>
        <w:t xml:space="preserve">Crawford </w:t>
      </w:r>
      <w:r w:rsidRPr="00593126">
        <w:rPr>
          <w:rFonts w:eastAsia="Times New Roman"/>
        </w:rPr>
        <w:t xml:space="preserve">rule, by its terms, applies only to testimonial evidence; nontestimonial evidence falls outside of the </w:t>
      </w:r>
      <w:r w:rsidR="00AE664A">
        <w:rPr>
          <w:rFonts w:eastAsia="Times New Roman"/>
        </w:rPr>
        <w:t>Confrontation Clause</w:t>
      </w:r>
      <w:r w:rsidRPr="00593126">
        <w:rPr>
          <w:rFonts w:eastAsia="Times New Roman"/>
        </w:rPr>
        <w:t xml:space="preserve"> and need only satisfy the Evidence Rules for admissibility.</w:t>
      </w:r>
      <w:r w:rsidRPr="001A52FE">
        <w:rPr>
          <w:rFonts w:cs="Arial"/>
          <w:vertAlign w:val="superscript"/>
        </w:rPr>
        <w:footnoteReference w:id="41"/>
      </w:r>
      <w:r w:rsidRPr="00593126">
        <w:rPr>
          <w:rFonts w:eastAsia="Times New Roman"/>
        </w:rPr>
        <w:t xml:space="preserve"> Though it did not offer an exhaustive definition of the term, the </w:t>
      </w:r>
      <w:r w:rsidRPr="00593126">
        <w:rPr>
          <w:rFonts w:eastAsia="Times New Roman"/>
          <w:i/>
          <w:iCs/>
        </w:rPr>
        <w:t xml:space="preserve">Crawford </w:t>
      </w:r>
      <w:r w:rsidRPr="00593126">
        <w:rPr>
          <w:rFonts w:eastAsia="Times New Roman"/>
        </w:rPr>
        <w:t>Court described a testimonial statement as “[a] solemn declaration or affirmation made for the purpose of establishing or proving some fact at trial.”</w:t>
      </w:r>
      <w:r w:rsidRPr="001A52FE">
        <w:rPr>
          <w:rFonts w:eastAsia="Calibri" w:cs="Arial"/>
          <w:szCs w:val="22"/>
          <w:vertAlign w:val="superscript"/>
        </w:rPr>
        <w:footnoteReference w:id="42"/>
      </w:r>
      <w:r w:rsidRPr="00593126">
        <w:rPr>
          <w:rFonts w:eastAsia="Times New Roman"/>
        </w:rPr>
        <w:t xml:space="preserve"> In a series of cases following </w:t>
      </w:r>
      <w:r w:rsidRPr="00593126">
        <w:rPr>
          <w:rFonts w:eastAsia="Times New Roman"/>
          <w:i/>
          <w:iCs/>
        </w:rPr>
        <w:t>Crawford</w:t>
      </w:r>
      <w:r w:rsidRPr="00593126">
        <w:rPr>
          <w:rFonts w:eastAsia="Times New Roman"/>
        </w:rPr>
        <w:t>, the United States Supreme Court developed what has become known as the “primary purpose test” for determining whether a statement is testimonial.</w:t>
      </w:r>
      <w:r w:rsidRPr="001A52FE">
        <w:rPr>
          <w:rFonts w:eastAsia="Calibri" w:cs="Arial"/>
          <w:szCs w:val="22"/>
          <w:vertAlign w:val="superscript"/>
        </w:rPr>
        <w:footnoteReference w:id="43"/>
      </w:r>
      <w:r w:rsidRPr="00593126">
        <w:rPr>
          <w:rFonts w:eastAsia="Times New Roman"/>
        </w:rPr>
        <w:t xml:space="preserve"> Under this test, a court </w:t>
      </w:r>
      <w:r w:rsidRPr="00593126">
        <w:rPr>
          <w:rFonts w:eastAsia="Calibri" w:cs="Arial"/>
          <w:szCs w:val="22"/>
        </w:rPr>
        <w:t>must objectively evaluate all of the relevant circumstances to determine whether the principal reason for making a statement was its potential use in a future criminal proceeding.</w:t>
      </w:r>
      <w:r w:rsidRPr="001A52FE">
        <w:rPr>
          <w:rFonts w:eastAsia="Calibri" w:cs="Arial"/>
          <w:szCs w:val="22"/>
          <w:vertAlign w:val="superscript"/>
        </w:rPr>
        <w:footnoteReference w:id="44"/>
      </w:r>
      <w:r w:rsidRPr="00593126">
        <w:rPr>
          <w:rFonts w:eastAsia="Calibri" w:cs="Arial"/>
          <w:szCs w:val="22"/>
        </w:rPr>
        <w:t xml:space="preserve"> If a statement was made with such a primary purpose, it is testimonial and may not be offered at trial for its truth against the defendant unless the defendant is provided an opportunity to cross-examine the declarant.</w:t>
      </w:r>
      <w:r w:rsidRPr="001A52FE">
        <w:rPr>
          <w:rFonts w:eastAsia="Calibri" w:cs="Arial"/>
          <w:szCs w:val="22"/>
          <w:vertAlign w:val="superscript"/>
        </w:rPr>
        <w:footnoteReference w:id="45"/>
      </w:r>
      <w:r w:rsidRPr="00593126">
        <w:rPr>
          <w:rFonts w:eastAsia="Times New Roman"/>
        </w:rPr>
        <w:t xml:space="preserve"> </w:t>
      </w:r>
    </w:p>
    <w:p w14:paraId="5BB1B895" w14:textId="77777777" w:rsidR="00593126" w:rsidRDefault="00593126" w:rsidP="00AB225B">
      <w:pPr>
        <w:rPr>
          <w:rFonts w:eastAsia="Times New Roman" w:cs="Times New Roman"/>
        </w:rPr>
      </w:pPr>
    </w:p>
    <w:p w14:paraId="4C030EA9" w14:textId="77777777" w:rsidR="00593126" w:rsidRPr="00656FB8" w:rsidRDefault="00593126" w:rsidP="00593126">
      <w:pPr>
        <w:widowControl w:val="0"/>
        <w:numPr>
          <w:ilvl w:val="0"/>
          <w:numId w:val="87"/>
        </w:numPr>
        <w:suppressAutoHyphens/>
        <w:autoSpaceDE w:val="0"/>
        <w:autoSpaceDN w:val="0"/>
        <w:adjustRightInd w:val="0"/>
        <w:textAlignment w:val="center"/>
        <w:outlineLvl w:val="1"/>
        <w:rPr>
          <w:rFonts w:eastAsia="Times New Roman" w:cs="Arial"/>
          <w:b/>
          <w:color w:val="000000"/>
          <w:szCs w:val="22"/>
        </w:rPr>
      </w:pPr>
      <w:bookmarkStart w:id="216" w:name="_Toc223718250"/>
      <w:bookmarkStart w:id="217" w:name="_Toc223718506"/>
      <w:bookmarkStart w:id="218" w:name="_Toc223731897"/>
      <w:bookmarkStart w:id="219" w:name="Priortrial"/>
      <w:bookmarkStart w:id="220" w:name="_Toc398033818"/>
      <w:r w:rsidRPr="00D9302F">
        <w:rPr>
          <w:rStyle w:val="Heading2Char"/>
        </w:rPr>
        <w:t>Factors Relevant to the Primary Purpose Analysis</w:t>
      </w:r>
      <w:r w:rsidRPr="0076256C">
        <w:rPr>
          <w:rFonts w:eastAsia="Calibri" w:cs="Arial"/>
          <w:b/>
          <w:szCs w:val="22"/>
        </w:rPr>
        <w:t>.</w:t>
      </w:r>
      <w:bookmarkEnd w:id="216"/>
      <w:bookmarkEnd w:id="217"/>
      <w:bookmarkEnd w:id="218"/>
      <w:r w:rsidRPr="0076256C">
        <w:rPr>
          <w:rFonts w:eastAsia="Calibri" w:cs="Arial"/>
          <w:b/>
          <w:szCs w:val="22"/>
        </w:rPr>
        <w:t xml:space="preserve"> </w:t>
      </w:r>
    </w:p>
    <w:p w14:paraId="559D7E40" w14:textId="6136B740" w:rsidR="00593126" w:rsidRPr="00593126" w:rsidRDefault="00593126" w:rsidP="00364CCD">
      <w:pPr>
        <w:pStyle w:val="Heading3"/>
        <w:numPr>
          <w:ilvl w:val="0"/>
          <w:numId w:val="108"/>
        </w:numPr>
        <w:ind w:left="2160" w:hanging="720"/>
        <w:rPr>
          <w:rFonts w:eastAsia="Times New Roman" w:cs="Arial"/>
          <w:color w:val="000000"/>
        </w:rPr>
      </w:pPr>
      <w:r w:rsidRPr="00364CCD">
        <w:t>Ongoing Emergency</w:t>
      </w:r>
      <w:r w:rsidRPr="00FF6506">
        <w:rPr>
          <w:rFonts w:cs="Arial"/>
        </w:rPr>
        <w:t xml:space="preserve">. </w:t>
      </w:r>
    </w:p>
    <w:p w14:paraId="2C563DC4" w14:textId="3CF672C3" w:rsidR="00593126" w:rsidRPr="00FF6506" w:rsidRDefault="00593126" w:rsidP="00AB225B">
      <w:pPr>
        <w:ind w:left="2160"/>
        <w:rPr>
          <w:rFonts w:eastAsia="Times New Roman"/>
          <w:b/>
          <w:color w:val="000000"/>
        </w:rPr>
      </w:pPr>
      <w:r w:rsidRPr="00FF6506">
        <w:rPr>
          <w:iCs/>
        </w:rPr>
        <w:t xml:space="preserve">The primary purpose test was first articulated in </w:t>
      </w:r>
      <w:r w:rsidRPr="00FF6506">
        <w:rPr>
          <w:i/>
        </w:rPr>
        <w:t>Davis v. Washington</w:t>
      </w:r>
      <w:r w:rsidRPr="00FF6506">
        <w:t>,</w:t>
      </w:r>
      <w:r w:rsidRPr="001A52FE">
        <w:rPr>
          <w:vertAlign w:val="superscript"/>
        </w:rPr>
        <w:footnoteReference w:id="46"/>
      </w:r>
      <w:r w:rsidRPr="00FF6506">
        <w:t xml:space="preserve"> a consolidation of two separate domestic violence cases, </w:t>
      </w:r>
      <w:r w:rsidRPr="00FF6506">
        <w:rPr>
          <w:i/>
        </w:rPr>
        <w:t>Davis v. Washington</w:t>
      </w:r>
      <w:r w:rsidRPr="00FF6506">
        <w:t xml:space="preserve"> and </w:t>
      </w:r>
      <w:r w:rsidRPr="00FF6506">
        <w:rPr>
          <w:i/>
        </w:rPr>
        <w:t xml:space="preserve">Hammon v. Indiana. </w:t>
      </w:r>
      <w:r w:rsidRPr="00FF6506">
        <w:t xml:space="preserve">Both cases involved statements by victims to police officers or their agents. The Court held that statements by one of the domestic violence victims during a 911 call for help while being assaulted by her boyfriend were nontestimonial but that statements by the other domestic violence victim to first-responding officers concerning her husband’s past conduct and made while there was no immediate threat to the victim were testimonial. In distinguishing the two cases, the </w:t>
      </w:r>
      <w:r w:rsidRPr="00FF6506">
        <w:rPr>
          <w:i/>
        </w:rPr>
        <w:t xml:space="preserve">Davis </w:t>
      </w:r>
      <w:r w:rsidRPr="00FF6506">
        <w:t xml:space="preserve">Court focused on whether the primary purpose of the </w:t>
      </w:r>
      <w:r w:rsidRPr="00FF6506">
        <w:lastRenderedPageBreak/>
        <w:t xml:space="preserve">statements was to meet an ongoing </w:t>
      </w:r>
      <w:proofErr w:type="gramStart"/>
      <w:r w:rsidRPr="00FF6506">
        <w:t>emergency, and</w:t>
      </w:r>
      <w:proofErr w:type="gramEnd"/>
      <w:r w:rsidRPr="00FF6506">
        <w:t xml:space="preserve"> held that statements made with such a primary purpose are not testimonial.</w:t>
      </w:r>
      <w:r w:rsidRPr="001A52FE">
        <w:rPr>
          <w:vertAlign w:val="superscript"/>
        </w:rPr>
        <w:footnoteReference w:id="47"/>
      </w:r>
    </w:p>
    <w:p w14:paraId="038C4FEA" w14:textId="77777777" w:rsidR="00593126" w:rsidRDefault="00593126" w:rsidP="00AB225B">
      <w:pPr>
        <w:ind w:left="2160" w:firstLine="720"/>
        <w:rPr>
          <w:rFonts w:eastAsia="Times New Roman"/>
          <w:b/>
          <w:color w:val="000000"/>
        </w:rPr>
      </w:pPr>
      <w:r w:rsidRPr="00656FB8">
        <w:t xml:space="preserve">In </w:t>
      </w:r>
      <w:r w:rsidRPr="00656FB8">
        <w:rPr>
          <w:i/>
        </w:rPr>
        <w:t>Michigan v. Bryant</w:t>
      </w:r>
      <w:r w:rsidRPr="00656FB8">
        <w:t xml:space="preserve">, the Court </w:t>
      </w:r>
      <w:r>
        <w:t xml:space="preserve">made clear that an ongoing emergency may include circumstances that </w:t>
      </w:r>
      <w:r w:rsidRPr="00656FB8">
        <w:t xml:space="preserve">extend </w:t>
      </w:r>
      <w:r>
        <w:t>“</w:t>
      </w:r>
      <w:r w:rsidRPr="00656FB8">
        <w:t>beyond an initial victim to a potential threat to the responding police and the public at large</w:t>
      </w:r>
      <w:r>
        <w:t>.”</w:t>
      </w:r>
      <w:r w:rsidRPr="001A52FE">
        <w:rPr>
          <w:vertAlign w:val="superscript"/>
        </w:rPr>
        <w:footnoteReference w:id="48"/>
      </w:r>
      <w:r w:rsidRPr="00656FB8">
        <w:t xml:space="preserve"> </w:t>
      </w:r>
      <w:r>
        <w:t xml:space="preserve">In </w:t>
      </w:r>
      <w:r>
        <w:rPr>
          <w:i/>
          <w:iCs/>
        </w:rPr>
        <w:t>Bryant</w:t>
      </w:r>
      <w:r>
        <w:t>, the Court</w:t>
      </w:r>
      <w:r>
        <w:rPr>
          <w:i/>
          <w:iCs/>
        </w:rPr>
        <w:t xml:space="preserve"> </w:t>
      </w:r>
      <w:r w:rsidRPr="00656FB8">
        <w:t>held that a mortally wounded shooting victim’s statements to first-responding officers were nontestimonial</w:t>
      </w:r>
      <w:r w:rsidRPr="00656FB8">
        <w:rPr>
          <w:i/>
        </w:rPr>
        <w:t>.</w:t>
      </w:r>
      <w:r w:rsidRPr="001A52FE">
        <w:rPr>
          <w:vertAlign w:val="superscript"/>
        </w:rPr>
        <w:footnoteReference w:id="49"/>
      </w:r>
      <w:r w:rsidRPr="00656FB8">
        <w:t xml:space="preserve"> The Court noted that </w:t>
      </w:r>
      <w:r>
        <w:t xml:space="preserve">the </w:t>
      </w:r>
      <w:r w:rsidRPr="00656FB8">
        <w:t xml:space="preserve">victim </w:t>
      </w:r>
      <w:r>
        <w:t xml:space="preserve">was </w:t>
      </w:r>
      <w:r w:rsidRPr="00656FB8">
        <w:t>found in a public location suffering from a fatal gunshot wound and the perpetrator’s location was unknown.</w:t>
      </w:r>
      <w:r w:rsidRPr="001A52FE">
        <w:rPr>
          <w:vertAlign w:val="superscript"/>
        </w:rPr>
        <w:footnoteReference w:id="50"/>
      </w:r>
      <w:r w:rsidRPr="00656FB8">
        <w:t xml:space="preserve"> </w:t>
      </w:r>
      <w:r>
        <w:t>The Court observed that the “duration and scope of an emergency may depend in part on the type of weapon employed,” with emergencies involving unarmed assailants more easily resolved than those involving firearms.</w:t>
      </w:r>
      <w:r w:rsidRPr="001A52FE">
        <w:rPr>
          <w:vertAlign w:val="superscript"/>
        </w:rPr>
        <w:footnoteReference w:id="51"/>
      </w:r>
      <w:r>
        <w:t xml:space="preserve"> </w:t>
      </w:r>
    </w:p>
    <w:p w14:paraId="38E270F7" w14:textId="77777777" w:rsidR="00593126" w:rsidRPr="00B422C5" w:rsidRDefault="00593126" w:rsidP="00AB225B">
      <w:pPr>
        <w:ind w:left="2160" w:firstLine="720"/>
        <w:rPr>
          <w:rFonts w:eastAsia="Times New Roman"/>
          <w:b/>
          <w:color w:val="000000"/>
        </w:rPr>
      </w:pPr>
      <w:r>
        <w:t>Though assessments of whether a situation involved an ongoing emergency have been prominent recurring features of the case law, the</w:t>
      </w:r>
      <w:r w:rsidRPr="001A52FE">
        <w:t xml:space="preserve"> Supreme Court has emphasized that the existence of an ongoing emergency is not the “touchstone” of the analysis; rather it is just one factor in the primary purpose analysis, and courts should consider other factors</w:t>
      </w:r>
      <w:r>
        <w:t>.</w:t>
      </w:r>
      <w:r w:rsidRPr="001A52FE">
        <w:rPr>
          <w:vertAlign w:val="superscript"/>
        </w:rPr>
        <w:footnoteReference w:id="52"/>
      </w:r>
      <w:r w:rsidRPr="001A52FE">
        <w:t xml:space="preserve"> </w:t>
      </w:r>
    </w:p>
    <w:p w14:paraId="4B209732" w14:textId="68EC17F2" w:rsidR="00593126" w:rsidRPr="00593126" w:rsidRDefault="00593126" w:rsidP="00364CCD">
      <w:pPr>
        <w:pStyle w:val="Heading3"/>
        <w:numPr>
          <w:ilvl w:val="0"/>
          <w:numId w:val="108"/>
        </w:numPr>
        <w:ind w:left="2160" w:hanging="720"/>
        <w:rPr>
          <w:rFonts w:eastAsia="Times New Roman" w:cs="Arial"/>
          <w:color w:val="000000"/>
        </w:rPr>
      </w:pPr>
      <w:r w:rsidRPr="00364CCD">
        <w:t>Formality of the Setting or the Statement</w:t>
      </w:r>
      <w:r w:rsidRPr="00B422C5">
        <w:rPr>
          <w:rFonts w:cs="Arial"/>
        </w:rPr>
        <w:t>.</w:t>
      </w:r>
    </w:p>
    <w:p w14:paraId="62148CF8" w14:textId="16014E2B" w:rsidR="00593126" w:rsidRPr="00B422C5" w:rsidRDefault="00593126" w:rsidP="00AB225B">
      <w:pPr>
        <w:ind w:left="2160"/>
        <w:rPr>
          <w:rFonts w:eastAsia="Times New Roman"/>
          <w:b/>
          <w:color w:val="000000"/>
        </w:rPr>
      </w:pPr>
      <w:r w:rsidRPr="00B422C5">
        <w:t>The level of formality associated with the statement is a factor in the primary purpose analysis.</w:t>
      </w:r>
      <w:r w:rsidRPr="001A52FE">
        <w:rPr>
          <w:vertAlign w:val="superscript"/>
        </w:rPr>
        <w:footnoteReference w:id="53"/>
      </w:r>
      <w:r w:rsidRPr="00B422C5">
        <w:t xml:space="preserve"> </w:t>
      </w:r>
      <w:r>
        <w:t xml:space="preserve">In the context of police questioning, </w:t>
      </w:r>
      <w:r w:rsidRPr="00B422C5">
        <w:t>“</w:t>
      </w:r>
      <w:r>
        <w:t>[a]</w:t>
      </w:r>
      <w:r w:rsidRPr="00B422C5">
        <w:t xml:space="preserve"> ‘formal station-house interrogation,’ like the questioning in </w:t>
      </w:r>
      <w:r w:rsidRPr="00B422C5">
        <w:rPr>
          <w:i/>
        </w:rPr>
        <w:t>Crawford</w:t>
      </w:r>
      <w:r w:rsidRPr="00B422C5">
        <w:t>, is more likely to provoke testimonial statements, while less formal questioning is less likely to reflect a primary purpose aimed at obtaining testimonial evidence against the accused.”</w:t>
      </w:r>
      <w:r w:rsidRPr="001A52FE">
        <w:rPr>
          <w:vertAlign w:val="superscript"/>
        </w:rPr>
        <w:footnoteReference w:id="54"/>
      </w:r>
      <w:r>
        <w:t xml:space="preserve"> </w:t>
      </w:r>
    </w:p>
    <w:p w14:paraId="2B02C581" w14:textId="4CA73635" w:rsidR="00593126" w:rsidRPr="00593126" w:rsidRDefault="00593126" w:rsidP="00364CCD">
      <w:pPr>
        <w:pStyle w:val="Heading3"/>
        <w:numPr>
          <w:ilvl w:val="0"/>
          <w:numId w:val="108"/>
        </w:numPr>
        <w:ind w:left="2160" w:hanging="720"/>
        <w:rPr>
          <w:rFonts w:eastAsia="Times New Roman" w:cs="Arial"/>
          <w:color w:val="000000"/>
        </w:rPr>
      </w:pPr>
      <w:r w:rsidRPr="00364CCD">
        <w:t>Timing and Substance of Statements</w:t>
      </w:r>
      <w:r w:rsidRPr="00B422C5">
        <w:rPr>
          <w:rFonts w:cs="Arial"/>
        </w:rPr>
        <w:t>.</w:t>
      </w:r>
    </w:p>
    <w:p w14:paraId="4970ECBF" w14:textId="3C552F42" w:rsidR="00593126" w:rsidRPr="00B422C5" w:rsidRDefault="00593126" w:rsidP="00AB225B">
      <w:pPr>
        <w:ind w:left="2160"/>
        <w:rPr>
          <w:rFonts w:eastAsia="Times New Roman"/>
          <w:b/>
          <w:color w:val="000000"/>
        </w:rPr>
      </w:pPr>
      <w:r>
        <w:t>T</w:t>
      </w:r>
      <w:r w:rsidRPr="00B422C5">
        <w:t>he primary purpose analysis must examine the timing and substance of the statements of both the declarant and the interrogators.</w:t>
      </w:r>
      <w:r w:rsidRPr="001A52FE">
        <w:rPr>
          <w:vertAlign w:val="superscript"/>
        </w:rPr>
        <w:footnoteReference w:id="55"/>
      </w:r>
      <w:r w:rsidRPr="00B422C5">
        <w:t xml:space="preserve"> </w:t>
      </w:r>
      <w:r>
        <w:t xml:space="preserve">In </w:t>
      </w:r>
      <w:r>
        <w:rPr>
          <w:i/>
          <w:iCs/>
        </w:rPr>
        <w:t>Bryant</w:t>
      </w:r>
      <w:r>
        <w:t>, for example,</w:t>
      </w:r>
      <w:r>
        <w:rPr>
          <w:i/>
          <w:iCs/>
        </w:rPr>
        <w:t xml:space="preserve"> </w:t>
      </w:r>
      <w:r w:rsidRPr="00EB5891">
        <w:t xml:space="preserve">immediately </w:t>
      </w:r>
      <w:r>
        <w:t>u</w:t>
      </w:r>
      <w:r w:rsidRPr="00B422C5">
        <w:t xml:space="preserve">pon arriving at the scene of the ongoing </w:t>
      </w:r>
      <w:r w:rsidRPr="00B422C5">
        <w:lastRenderedPageBreak/>
        <w:t>emergency, the officers asked “what had happened, who had shot [the victim], and where the shooting occurred,” thus soliciting information necessary for them to assess the threat to their own safety and that of the victim and the public.</w:t>
      </w:r>
      <w:r w:rsidRPr="001A52FE">
        <w:rPr>
          <w:vertAlign w:val="superscript"/>
        </w:rPr>
        <w:footnoteReference w:id="56"/>
      </w:r>
      <w:r w:rsidRPr="00B422C5">
        <w:t xml:space="preserve"> The Court referenced its prior observation in </w:t>
      </w:r>
      <w:r w:rsidRPr="00B422C5">
        <w:rPr>
          <w:i/>
          <w:iCs/>
        </w:rPr>
        <w:t xml:space="preserve">Davis </w:t>
      </w:r>
      <w:r w:rsidRPr="00B422C5">
        <w:t>that “initial inquiries” made during ongoing emergencies “may ‘often . . . produce nontestimonial statements.’”</w:t>
      </w:r>
      <w:r w:rsidRPr="001A52FE">
        <w:rPr>
          <w:vertAlign w:val="superscript"/>
        </w:rPr>
        <w:footnoteReference w:id="57"/>
      </w:r>
      <w:r w:rsidRPr="00B422C5">
        <w:t xml:space="preserve"> Note, however, that </w:t>
      </w:r>
      <w:r w:rsidRPr="00B422C5">
        <w:rPr>
          <w:i/>
          <w:iCs/>
        </w:rPr>
        <w:t>Davis</w:t>
      </w:r>
      <w:r w:rsidRPr="00B422C5">
        <w:t xml:space="preserve"> stressed that in the absence of an ongoing emergency initial inquiries are not especially likely to produce nontestimonial statements.</w:t>
      </w:r>
      <w:r w:rsidRPr="001A52FE">
        <w:rPr>
          <w:vertAlign w:val="superscript"/>
        </w:rPr>
        <w:footnoteReference w:id="58"/>
      </w:r>
      <w:r w:rsidRPr="00B422C5">
        <w:t xml:space="preserve"> </w:t>
      </w:r>
    </w:p>
    <w:p w14:paraId="049B587C" w14:textId="2EA5A83F" w:rsidR="00593126" w:rsidRPr="00593126" w:rsidRDefault="00593126" w:rsidP="00364CCD">
      <w:pPr>
        <w:pStyle w:val="Heading3"/>
        <w:numPr>
          <w:ilvl w:val="0"/>
          <w:numId w:val="108"/>
        </w:numPr>
        <w:ind w:left="2160" w:hanging="720"/>
        <w:rPr>
          <w:rFonts w:eastAsia="Times New Roman" w:cs="Arial"/>
          <w:color w:val="000000"/>
        </w:rPr>
      </w:pPr>
      <w:r w:rsidRPr="00364CCD">
        <w:t>Actions of the Declarant and the Person to Whom Statements Were Made</w:t>
      </w:r>
      <w:r w:rsidRPr="00B422C5">
        <w:rPr>
          <w:rFonts w:eastAsia="Times New Roman" w:cs="Arial"/>
          <w:color w:val="000000"/>
        </w:rPr>
        <w:t>.</w:t>
      </w:r>
    </w:p>
    <w:p w14:paraId="0C372F63" w14:textId="245FA721" w:rsidR="00593126" w:rsidRPr="00B422C5" w:rsidRDefault="00593126" w:rsidP="00AB225B">
      <w:pPr>
        <w:ind w:left="2160"/>
        <w:rPr>
          <w:rFonts w:eastAsia="Times New Roman"/>
          <w:b/>
        </w:rPr>
      </w:pPr>
      <w:r w:rsidRPr="00B422C5">
        <w:rPr>
          <w:rFonts w:eastAsia="Times New Roman"/>
        </w:rPr>
        <w:t>The actions taken by the declarant and the</w:t>
      </w:r>
      <w:r>
        <w:rPr>
          <w:rFonts w:eastAsia="Times New Roman"/>
        </w:rPr>
        <w:t xml:space="preserve"> person to whom the statements were made</w:t>
      </w:r>
      <w:r w:rsidRPr="00B422C5">
        <w:rPr>
          <w:rFonts w:eastAsia="Times New Roman"/>
        </w:rPr>
        <w:t xml:space="preserve"> </w:t>
      </w:r>
      <w:r>
        <w:rPr>
          <w:rFonts w:eastAsia="Times New Roman"/>
        </w:rPr>
        <w:t>are factors</w:t>
      </w:r>
      <w:r w:rsidRPr="00B422C5">
        <w:rPr>
          <w:rFonts w:eastAsia="Times New Roman"/>
        </w:rPr>
        <w:t xml:space="preserve"> in the primary purpose analysis.</w:t>
      </w:r>
      <w:r w:rsidRPr="001A52FE">
        <w:rPr>
          <w:vertAlign w:val="superscript"/>
        </w:rPr>
        <w:footnoteReference w:id="59"/>
      </w:r>
      <w:r w:rsidRPr="00B422C5">
        <w:rPr>
          <w:rFonts w:eastAsia="Times New Roman"/>
        </w:rPr>
        <w:t xml:space="preserve"> For example, in finding a domestic violence victim’s statements nontestimonial in </w:t>
      </w:r>
      <w:r w:rsidRPr="00B422C5">
        <w:rPr>
          <w:rFonts w:eastAsia="Times New Roman"/>
          <w:i/>
          <w:iCs/>
        </w:rPr>
        <w:t>State v. Miller</w:t>
      </w:r>
      <w:r w:rsidRPr="00B422C5">
        <w:rPr>
          <w:rFonts w:eastAsia="Times New Roman"/>
        </w:rPr>
        <w:t>,</w:t>
      </w:r>
      <w:r w:rsidRPr="001A52FE">
        <w:rPr>
          <w:vertAlign w:val="superscript"/>
        </w:rPr>
        <w:footnoteReference w:id="60"/>
      </w:r>
      <w:r w:rsidRPr="00B422C5">
        <w:rPr>
          <w:rFonts w:eastAsia="Times New Roman"/>
        </w:rPr>
        <w:t xml:space="preserve"> the North Carolina Supreme Court emphasized that the statements caused an officer to enter the victim’s house and check the surrounding area in order to ensure that the defendant was no longer </w:t>
      </w:r>
      <w:r>
        <w:rPr>
          <w:rFonts w:eastAsia="Times New Roman"/>
        </w:rPr>
        <w:t>present</w:t>
      </w:r>
      <w:r w:rsidRPr="00B422C5">
        <w:rPr>
          <w:rFonts w:eastAsia="Times New Roman"/>
        </w:rPr>
        <w:t>.</w:t>
      </w:r>
    </w:p>
    <w:p w14:paraId="1165D79D" w14:textId="6A146921" w:rsidR="00593126" w:rsidRPr="00593126" w:rsidRDefault="00593126" w:rsidP="00364CCD">
      <w:pPr>
        <w:pStyle w:val="Heading3"/>
        <w:numPr>
          <w:ilvl w:val="0"/>
          <w:numId w:val="108"/>
        </w:numPr>
        <w:ind w:left="2160" w:hanging="720"/>
        <w:rPr>
          <w:rFonts w:eastAsia="Times New Roman" w:cs="Arial"/>
          <w:color w:val="000000"/>
        </w:rPr>
      </w:pPr>
      <w:r w:rsidRPr="00364CCD">
        <w:t>Identity of the Declarant and Person to Whom Statements Were Made</w:t>
      </w:r>
      <w:r w:rsidRPr="00B422C5">
        <w:rPr>
          <w:rFonts w:eastAsia="Times New Roman" w:cs="Arial"/>
          <w:color w:val="000000"/>
        </w:rPr>
        <w:t>.</w:t>
      </w:r>
    </w:p>
    <w:p w14:paraId="3C218DD5" w14:textId="569E4910" w:rsidR="00593126" w:rsidRPr="00B95D15" w:rsidRDefault="00593126" w:rsidP="00AB225B">
      <w:pPr>
        <w:ind w:left="2160"/>
        <w:rPr>
          <w:rFonts w:eastAsia="Times New Roman" w:cs="Arial"/>
          <w:b/>
          <w:color w:val="000000"/>
        </w:rPr>
      </w:pPr>
      <w:r w:rsidRPr="00B95D15">
        <w:rPr>
          <w:rFonts w:eastAsia="Times New Roman"/>
          <w:i/>
        </w:rPr>
        <w:t>Crawford,</w:t>
      </w:r>
      <w:r w:rsidRPr="00B95D15">
        <w:rPr>
          <w:rFonts w:eastAsia="Times New Roman"/>
        </w:rPr>
        <w:t xml:space="preserve"> </w:t>
      </w:r>
      <w:r w:rsidRPr="00B95D15">
        <w:rPr>
          <w:rFonts w:eastAsia="Times New Roman"/>
          <w:i/>
        </w:rPr>
        <w:t xml:space="preserve">Davis, </w:t>
      </w:r>
      <w:r w:rsidRPr="00B95D15">
        <w:rPr>
          <w:rFonts w:eastAsia="Times New Roman"/>
        </w:rPr>
        <w:t xml:space="preserve">and </w:t>
      </w:r>
      <w:r w:rsidRPr="00B95D15">
        <w:rPr>
          <w:rFonts w:eastAsia="Times New Roman"/>
          <w:i/>
        </w:rPr>
        <w:t xml:space="preserve">Bryant </w:t>
      </w:r>
      <w:r w:rsidRPr="00B95D15">
        <w:rPr>
          <w:rFonts w:eastAsia="Times New Roman"/>
        </w:rPr>
        <w:t xml:space="preserve">all involved questioning by the police or their agents. In </w:t>
      </w:r>
      <w:r w:rsidRPr="00B95D15">
        <w:rPr>
          <w:rFonts w:eastAsia="Times New Roman"/>
          <w:i/>
        </w:rPr>
        <w:t>Ohio v. Clark,</w:t>
      </w:r>
      <w:r w:rsidRPr="001A52FE">
        <w:rPr>
          <w:vertAlign w:val="superscript"/>
        </w:rPr>
        <w:footnoteReference w:id="61"/>
      </w:r>
      <w:r w:rsidRPr="00B95D15">
        <w:rPr>
          <w:rFonts w:eastAsia="Times New Roman"/>
          <w:i/>
        </w:rPr>
        <w:t xml:space="preserve"> </w:t>
      </w:r>
      <w:r w:rsidRPr="00B95D15">
        <w:rPr>
          <w:rFonts w:eastAsia="Times New Roman"/>
        </w:rPr>
        <w:t>the Court held that a child abuse victim’s statements to his preschool teachers were nontestimonial. Significantly, the Court declined to adopt a categorical rule excluding statements made to persons other than law enforcement officers or their agents from the scope of the Sixth Amendment. It did state however that “such statements are much less likely to be testimonial than statements to law enforcement officers.”</w:t>
      </w:r>
      <w:r w:rsidRPr="001A52FE">
        <w:rPr>
          <w:vertAlign w:val="superscript"/>
        </w:rPr>
        <w:footnoteReference w:id="62"/>
      </w:r>
      <w:r w:rsidRPr="00B95D15">
        <w:rPr>
          <w:rFonts w:eastAsia="Times New Roman"/>
        </w:rPr>
        <w:t xml:space="preserve">  </w:t>
      </w:r>
    </w:p>
    <w:p w14:paraId="6E4AE5F0" w14:textId="77777777" w:rsidR="00593126" w:rsidRDefault="00593126" w:rsidP="00AB225B">
      <w:pPr>
        <w:ind w:left="2160" w:firstLine="720"/>
        <w:rPr>
          <w:rFonts w:eastAsia="Times New Roman" w:cs="Arial"/>
          <w:szCs w:val="22"/>
        </w:rPr>
      </w:pPr>
      <w:r w:rsidRPr="001A52FE">
        <w:rPr>
          <w:rFonts w:eastAsia="Times New Roman" w:cs="Arial"/>
          <w:szCs w:val="22"/>
        </w:rPr>
        <w:t xml:space="preserve">Courts have considered whether </w:t>
      </w:r>
      <w:r w:rsidRPr="001A52FE">
        <w:rPr>
          <w:rFonts w:eastAsia="Times New Roman" w:cs="Arial"/>
          <w:i/>
          <w:szCs w:val="22"/>
        </w:rPr>
        <w:t>Crawford</w:t>
      </w:r>
      <w:r w:rsidRPr="001A52FE">
        <w:rPr>
          <w:rFonts w:eastAsia="Times New Roman" w:cs="Arial"/>
          <w:szCs w:val="22"/>
        </w:rPr>
        <w:t xml:space="preserve"> applies to statements made to a variety of people who do not qualify as the police and their agents. The sections below discuss those cases.</w:t>
      </w:r>
    </w:p>
    <w:p w14:paraId="181AE556" w14:textId="77777777" w:rsidR="00593126" w:rsidRPr="00593126" w:rsidRDefault="00593126" w:rsidP="00593126">
      <w:pPr>
        <w:pStyle w:val="ListParagraph"/>
        <w:numPr>
          <w:ilvl w:val="1"/>
          <w:numId w:val="103"/>
        </w:numPr>
        <w:autoSpaceDE w:val="0"/>
        <w:autoSpaceDN w:val="0"/>
        <w:adjustRightInd w:val="0"/>
        <w:spacing w:after="0" w:line="240" w:lineRule="auto"/>
        <w:ind w:left="2880" w:hanging="720"/>
        <w:rPr>
          <w:rFonts w:ascii="Arial" w:eastAsia="Times New Roman" w:hAnsi="Arial" w:cs="Arial"/>
        </w:rPr>
      </w:pPr>
      <w:r>
        <w:rPr>
          <w:rFonts w:ascii="Arial" w:eastAsia="Times New Roman" w:hAnsi="Arial" w:cs="Arial"/>
          <w:b/>
          <w:bCs/>
        </w:rPr>
        <w:t xml:space="preserve">Statements by Very Young Children. </w:t>
      </w:r>
    </w:p>
    <w:p w14:paraId="4A6425EB" w14:textId="0B0D4BA0" w:rsidR="00593126" w:rsidRPr="00B95D15" w:rsidRDefault="00593126" w:rsidP="00593126">
      <w:pPr>
        <w:pStyle w:val="ListParagraph"/>
        <w:autoSpaceDE w:val="0"/>
        <w:autoSpaceDN w:val="0"/>
        <w:adjustRightInd w:val="0"/>
        <w:spacing w:after="0" w:line="240" w:lineRule="auto"/>
        <w:ind w:left="2880"/>
        <w:rPr>
          <w:rFonts w:ascii="Arial" w:eastAsia="Times New Roman" w:hAnsi="Arial" w:cs="Arial"/>
        </w:rPr>
      </w:pPr>
      <w:r w:rsidRPr="00B95D15">
        <w:rPr>
          <w:rFonts w:ascii="Arial" w:eastAsia="Times New Roman" w:hAnsi="Arial"/>
        </w:rPr>
        <w:t xml:space="preserve">The Court in </w:t>
      </w:r>
      <w:r w:rsidRPr="00B95D15">
        <w:rPr>
          <w:rFonts w:ascii="Arial" w:eastAsia="Times New Roman" w:hAnsi="Arial"/>
          <w:i/>
          <w:iCs/>
        </w:rPr>
        <w:t>Clark</w:t>
      </w:r>
      <w:r w:rsidRPr="00B95D15">
        <w:rPr>
          <w:rFonts w:ascii="Arial" w:eastAsia="Times New Roman" w:hAnsi="Arial"/>
        </w:rPr>
        <w:t xml:space="preserve"> declared that “[s]</w:t>
      </w:r>
      <w:proofErr w:type="spellStart"/>
      <w:r w:rsidRPr="00B95D15">
        <w:rPr>
          <w:rFonts w:ascii="Arial" w:eastAsia="Times New Roman" w:hAnsi="Arial"/>
        </w:rPr>
        <w:t>tatements</w:t>
      </w:r>
      <w:proofErr w:type="spellEnd"/>
      <w:r w:rsidRPr="00B95D15">
        <w:rPr>
          <w:rFonts w:ascii="Arial" w:eastAsia="Times New Roman" w:hAnsi="Arial"/>
        </w:rPr>
        <w:t xml:space="preserve"> by very young children will rarely, if ever, implicate the Confrontation Clause.”</w:t>
      </w:r>
      <w:r w:rsidRPr="001A52FE">
        <w:rPr>
          <w:vertAlign w:val="superscript"/>
        </w:rPr>
        <w:footnoteReference w:id="63"/>
      </w:r>
    </w:p>
    <w:p w14:paraId="55838A76" w14:textId="77777777" w:rsidR="00593126" w:rsidRPr="00593126" w:rsidRDefault="00593126" w:rsidP="00593126">
      <w:pPr>
        <w:pStyle w:val="ListParagraph"/>
        <w:numPr>
          <w:ilvl w:val="1"/>
          <w:numId w:val="103"/>
        </w:numPr>
        <w:autoSpaceDE w:val="0"/>
        <w:autoSpaceDN w:val="0"/>
        <w:adjustRightInd w:val="0"/>
        <w:spacing w:after="0" w:line="240" w:lineRule="auto"/>
        <w:ind w:left="2880" w:hanging="720"/>
        <w:rPr>
          <w:rFonts w:ascii="Arial" w:eastAsia="Times New Roman" w:hAnsi="Arial" w:cs="Arial"/>
        </w:rPr>
      </w:pPr>
      <w:r w:rsidRPr="00EB3622">
        <w:rPr>
          <w:rFonts w:ascii="Arial" w:eastAsia="Times New Roman" w:hAnsi="Arial"/>
          <w:b/>
          <w:bCs/>
        </w:rPr>
        <w:t xml:space="preserve">Statements to Family, Friends, Co-Workers, and Other Private Persons. </w:t>
      </w:r>
    </w:p>
    <w:p w14:paraId="7F0F7A44" w14:textId="791E39CD" w:rsidR="00593126" w:rsidRDefault="00593126" w:rsidP="00593126">
      <w:pPr>
        <w:pStyle w:val="ListParagraph"/>
        <w:autoSpaceDE w:val="0"/>
        <w:autoSpaceDN w:val="0"/>
        <w:adjustRightInd w:val="0"/>
        <w:spacing w:after="0" w:line="240" w:lineRule="auto"/>
        <w:ind w:left="2880"/>
        <w:rPr>
          <w:rFonts w:ascii="Arial" w:eastAsia="Times New Roman" w:hAnsi="Arial" w:cs="Arial"/>
        </w:rPr>
      </w:pPr>
      <w:r w:rsidRPr="001A52FE">
        <w:rPr>
          <w:rFonts w:ascii="Arial" w:eastAsia="Times New Roman" w:hAnsi="Arial" w:cs="Arial"/>
          <w:i/>
          <w:iCs/>
        </w:rPr>
        <w:t>Crawford</w:t>
      </w:r>
      <w:r w:rsidRPr="001A52FE">
        <w:rPr>
          <w:rFonts w:ascii="Arial" w:eastAsia="Times New Roman" w:hAnsi="Arial"/>
        </w:rPr>
        <w:t xml:space="preserve"> indicated that “off-hand, overheard remark[s]” and “casual remark[s] to an acquaintance” bear little relation to the types of evidence that the </w:t>
      </w:r>
      <w:r w:rsidR="00AE664A">
        <w:rPr>
          <w:rFonts w:ascii="Arial" w:eastAsia="Times New Roman" w:hAnsi="Arial"/>
        </w:rPr>
        <w:t>Confrontation Clause</w:t>
      </w:r>
      <w:r w:rsidRPr="001A52FE">
        <w:rPr>
          <w:rFonts w:ascii="Arial" w:eastAsia="Times New Roman" w:hAnsi="Arial"/>
        </w:rPr>
        <w:t xml:space="preserve"> was designed to protect and thus are nontestimonial.</w:t>
      </w:r>
      <w:r w:rsidRPr="001A52FE">
        <w:rPr>
          <w:rFonts w:ascii="Arial" w:eastAsia="Times New Roman" w:hAnsi="Arial" w:cs="Arial"/>
          <w:color w:val="000000"/>
          <w:vertAlign w:val="superscript"/>
        </w:rPr>
        <w:footnoteReference w:id="64"/>
      </w:r>
      <w:r>
        <w:rPr>
          <w:rFonts w:ascii="Arial" w:eastAsia="Times New Roman" w:hAnsi="Arial"/>
        </w:rPr>
        <w:t xml:space="preserve"> </w:t>
      </w:r>
      <w:r w:rsidRPr="00EB3622">
        <w:rPr>
          <w:rFonts w:ascii="Arial" w:eastAsia="Times New Roman" w:hAnsi="Arial"/>
        </w:rPr>
        <w:t xml:space="preserve">Every North Carolina </w:t>
      </w:r>
      <w:r w:rsidRPr="00EB3622">
        <w:rPr>
          <w:rFonts w:ascii="Arial" w:eastAsia="Times New Roman" w:hAnsi="Arial"/>
        </w:rPr>
        <w:lastRenderedPageBreak/>
        <w:t>appellate case that has considered the issue has treated statements made to private persons as nontestimonial</w:t>
      </w:r>
      <w:r w:rsidRPr="00EB3622">
        <w:rPr>
          <w:rFonts w:ascii="Arial" w:eastAsia="Times New Roman" w:hAnsi="Arial" w:cs="Arial"/>
        </w:rPr>
        <w:t>.</w:t>
      </w:r>
      <w:r w:rsidRPr="001A52FE">
        <w:rPr>
          <w:rFonts w:cs="Arial"/>
          <w:vertAlign w:val="superscript"/>
        </w:rPr>
        <w:footnoteReference w:id="65"/>
      </w:r>
    </w:p>
    <w:p w14:paraId="37E00DAA" w14:textId="77777777" w:rsidR="00593126" w:rsidRPr="00593126" w:rsidRDefault="00593126" w:rsidP="00593126">
      <w:pPr>
        <w:pStyle w:val="ListParagraph"/>
        <w:numPr>
          <w:ilvl w:val="1"/>
          <w:numId w:val="103"/>
        </w:numPr>
        <w:autoSpaceDE w:val="0"/>
        <w:autoSpaceDN w:val="0"/>
        <w:adjustRightInd w:val="0"/>
        <w:spacing w:after="0" w:line="240" w:lineRule="auto"/>
        <w:ind w:left="2880" w:hanging="720"/>
        <w:rPr>
          <w:rFonts w:ascii="Arial" w:eastAsia="Times New Roman" w:hAnsi="Arial" w:cs="Arial"/>
        </w:rPr>
      </w:pPr>
      <w:r w:rsidRPr="00EB3622">
        <w:rPr>
          <w:rFonts w:ascii="Arial" w:eastAsia="Times New Roman" w:hAnsi="Arial"/>
          <w:b/>
          <w:bCs/>
        </w:rPr>
        <w:t xml:space="preserve">Statements to Medical Personnel. </w:t>
      </w:r>
    </w:p>
    <w:p w14:paraId="0FD27100" w14:textId="3263C096" w:rsidR="00593126" w:rsidRPr="00EB3622" w:rsidRDefault="00593126" w:rsidP="00593126">
      <w:pPr>
        <w:pStyle w:val="ListParagraph"/>
        <w:autoSpaceDE w:val="0"/>
        <w:autoSpaceDN w:val="0"/>
        <w:adjustRightInd w:val="0"/>
        <w:spacing w:after="0" w:line="240" w:lineRule="auto"/>
        <w:ind w:left="2880"/>
        <w:rPr>
          <w:rFonts w:ascii="Arial" w:eastAsia="Times New Roman" w:hAnsi="Arial" w:cs="Arial"/>
        </w:rPr>
      </w:pPr>
      <w:r>
        <w:rPr>
          <w:rFonts w:ascii="Arial" w:eastAsia="Times New Roman" w:hAnsi="Arial"/>
        </w:rPr>
        <w:t>T</w:t>
      </w:r>
      <w:r w:rsidRPr="00EB3622">
        <w:rPr>
          <w:rFonts w:ascii="Arial" w:eastAsia="Times New Roman" w:hAnsi="Arial"/>
        </w:rPr>
        <w:t xml:space="preserve">here has been a significant amount of litigation about the testimonial nature of statements to medical providers such as pediatricians, emergency room doctors, and sexual assault nurse examiners (SANE nurses). </w:t>
      </w:r>
      <w:r>
        <w:rPr>
          <w:rFonts w:ascii="Arial" w:eastAsia="Times New Roman" w:hAnsi="Arial"/>
        </w:rPr>
        <w:t>The</w:t>
      </w:r>
      <w:r w:rsidRPr="00EB3622">
        <w:rPr>
          <w:rFonts w:ascii="Arial" w:eastAsia="Times New Roman" w:hAnsi="Arial"/>
        </w:rPr>
        <w:t xml:space="preserve"> cases focus on whether the services have a medical purpose as opposed to, for example, a purely forensic purpose.</w:t>
      </w:r>
      <w:r w:rsidRPr="001A52FE">
        <w:rPr>
          <w:rFonts w:cs="Arial"/>
          <w:vertAlign w:val="superscript"/>
        </w:rPr>
        <w:footnoteReference w:id="66"/>
      </w:r>
      <w:r w:rsidRPr="00EB3622">
        <w:rPr>
          <w:rFonts w:ascii="Arial" w:eastAsia="Times New Roman" w:hAnsi="Arial"/>
        </w:rPr>
        <w:t xml:space="preserve"> </w:t>
      </w:r>
    </w:p>
    <w:p w14:paraId="21B77458" w14:textId="77777777" w:rsidR="00593126" w:rsidRDefault="00593126" w:rsidP="00593126">
      <w:pPr>
        <w:pStyle w:val="ListParagraph"/>
        <w:numPr>
          <w:ilvl w:val="1"/>
          <w:numId w:val="103"/>
        </w:numPr>
        <w:spacing w:after="0" w:line="240" w:lineRule="auto"/>
        <w:ind w:left="2880" w:hanging="720"/>
        <w:outlineLvl w:val="2"/>
        <w:rPr>
          <w:rFonts w:ascii="Arial" w:eastAsia="Times New Roman" w:hAnsi="Arial"/>
          <w:b/>
          <w:bCs/>
        </w:rPr>
      </w:pPr>
      <w:r w:rsidRPr="00EB3622">
        <w:rPr>
          <w:rFonts w:ascii="Arial" w:eastAsia="Times New Roman" w:hAnsi="Arial"/>
          <w:b/>
          <w:bCs/>
        </w:rPr>
        <w:t>Statements to Teachers.</w:t>
      </w:r>
      <w:r>
        <w:rPr>
          <w:rFonts w:ascii="Arial" w:eastAsia="Times New Roman" w:hAnsi="Arial"/>
          <w:b/>
          <w:bCs/>
        </w:rPr>
        <w:t xml:space="preserve"> </w:t>
      </w:r>
    </w:p>
    <w:p w14:paraId="1745CEDD" w14:textId="2978FE10" w:rsidR="00593126" w:rsidRPr="00EB3622" w:rsidRDefault="00593126" w:rsidP="00593126">
      <w:pPr>
        <w:pStyle w:val="ListParagraph"/>
        <w:spacing w:after="0" w:line="240" w:lineRule="auto"/>
        <w:ind w:left="2880"/>
        <w:outlineLvl w:val="2"/>
        <w:rPr>
          <w:rFonts w:ascii="Arial" w:eastAsia="Times New Roman" w:hAnsi="Arial"/>
          <w:b/>
          <w:bCs/>
        </w:rPr>
      </w:pPr>
      <w:r w:rsidRPr="00EB3622">
        <w:rPr>
          <w:rFonts w:ascii="Arial" w:eastAsia="Times New Roman" w:hAnsi="Arial"/>
        </w:rPr>
        <w:t xml:space="preserve">As discussed, the Court in </w:t>
      </w:r>
      <w:r w:rsidRPr="00EB3622">
        <w:rPr>
          <w:rFonts w:ascii="Arial" w:eastAsia="Times New Roman" w:hAnsi="Arial"/>
          <w:i/>
        </w:rPr>
        <w:t>Clark</w:t>
      </w:r>
      <w:r w:rsidRPr="001A52FE">
        <w:rPr>
          <w:vertAlign w:val="superscript"/>
        </w:rPr>
        <w:footnoteReference w:id="67"/>
      </w:r>
      <w:r w:rsidRPr="00EB3622">
        <w:rPr>
          <w:rFonts w:ascii="Arial" w:eastAsia="Times New Roman" w:hAnsi="Arial"/>
        </w:rPr>
        <w:t xml:space="preserve"> held that a child abuse victim’s statements to his preschool teachers were nontestimonial. Note that the Court rejected the defendant’s argument that Ohio’s mandatory reporting statutes made the child’s statements testimonial, concluding: “mandatory reporting statutes alone cannot convert a conversation between a concerned teacher and her student into a law enforcement mission aimed primarily at gathering evidence for a prosecution.”</w:t>
      </w:r>
      <w:r w:rsidRPr="001A52FE">
        <w:rPr>
          <w:vertAlign w:val="superscript"/>
        </w:rPr>
        <w:footnoteReference w:id="68"/>
      </w:r>
    </w:p>
    <w:p w14:paraId="25C4E886" w14:textId="77777777" w:rsidR="00593126" w:rsidRPr="00593126" w:rsidRDefault="00593126" w:rsidP="00593126">
      <w:pPr>
        <w:pStyle w:val="ListParagraph"/>
        <w:numPr>
          <w:ilvl w:val="1"/>
          <w:numId w:val="103"/>
        </w:numPr>
        <w:autoSpaceDE w:val="0"/>
        <w:autoSpaceDN w:val="0"/>
        <w:adjustRightInd w:val="0"/>
        <w:spacing w:after="0" w:line="240" w:lineRule="auto"/>
        <w:ind w:left="2880" w:hanging="720"/>
        <w:rPr>
          <w:rFonts w:ascii="Arial" w:eastAsia="Times New Roman" w:hAnsi="Arial" w:cs="Arial"/>
        </w:rPr>
      </w:pPr>
      <w:r w:rsidRPr="00EB3622">
        <w:rPr>
          <w:rFonts w:ascii="Arial" w:eastAsia="Times New Roman" w:hAnsi="Arial"/>
          <w:b/>
          <w:bCs/>
        </w:rPr>
        <w:t xml:space="preserve">Statements to Social Workers. </w:t>
      </w:r>
    </w:p>
    <w:p w14:paraId="6C1DC129" w14:textId="5C723E17" w:rsidR="00593126" w:rsidRPr="00EB3622" w:rsidRDefault="00593126" w:rsidP="00593126">
      <w:pPr>
        <w:pStyle w:val="ListParagraph"/>
        <w:autoSpaceDE w:val="0"/>
        <w:autoSpaceDN w:val="0"/>
        <w:adjustRightInd w:val="0"/>
        <w:spacing w:after="0" w:line="240" w:lineRule="auto"/>
        <w:ind w:left="2880"/>
        <w:rPr>
          <w:rFonts w:ascii="Arial" w:eastAsia="Times New Roman" w:hAnsi="Arial" w:cs="Arial"/>
        </w:rPr>
      </w:pPr>
      <w:r w:rsidRPr="00EB3622">
        <w:rPr>
          <w:rFonts w:ascii="Arial" w:eastAsia="Times New Roman" w:hAnsi="Arial"/>
        </w:rPr>
        <w:t>The testimonial nature of statements by child victims to social workers has been hotly litigated.</w:t>
      </w:r>
      <w:r w:rsidRPr="001A52FE">
        <w:rPr>
          <w:rFonts w:cs="Arial"/>
          <w:vertAlign w:val="superscript"/>
        </w:rPr>
        <w:footnoteReference w:id="69"/>
      </w:r>
      <w:r w:rsidRPr="00EB3622">
        <w:rPr>
          <w:rFonts w:ascii="Arial" w:eastAsia="Times New Roman" w:hAnsi="Arial"/>
        </w:rPr>
        <w:t xml:space="preserve"> The Fourth Circuit weighed in on the issue in </w:t>
      </w:r>
      <w:r w:rsidRPr="00EB3622">
        <w:rPr>
          <w:rFonts w:ascii="Arial" w:eastAsia="Times New Roman" w:hAnsi="Arial"/>
          <w:i/>
        </w:rPr>
        <w:t>United States v. DeLeon,</w:t>
      </w:r>
      <w:r w:rsidRPr="001A52FE">
        <w:rPr>
          <w:rFonts w:cs="Arial"/>
          <w:vertAlign w:val="superscript"/>
        </w:rPr>
        <w:footnoteReference w:id="70"/>
      </w:r>
      <w:r w:rsidRPr="00EB3622">
        <w:rPr>
          <w:rFonts w:ascii="Arial" w:eastAsia="Times New Roman" w:hAnsi="Arial"/>
        </w:rPr>
        <w:t xml:space="preserve"> holding that although no ongoing emergency existed, the child’s statements to a social worker were nontestimonial based on an objective analysis of the primary purpose and circumstances of the interview.</w:t>
      </w:r>
      <w:r w:rsidRPr="001A52FE">
        <w:rPr>
          <w:rFonts w:cs="Arial"/>
          <w:vertAlign w:val="superscript"/>
        </w:rPr>
        <w:footnoteReference w:id="71"/>
      </w:r>
      <w:r w:rsidRPr="00EB3622">
        <w:rPr>
          <w:rFonts w:ascii="Arial" w:eastAsia="Times New Roman" w:hAnsi="Arial"/>
        </w:rPr>
        <w:t xml:space="preserve"> </w:t>
      </w:r>
    </w:p>
    <w:p w14:paraId="4C8829AB" w14:textId="77777777" w:rsidR="00593126" w:rsidRDefault="00593126" w:rsidP="00593126">
      <w:pPr>
        <w:widowControl w:val="0"/>
        <w:suppressAutoHyphens/>
        <w:autoSpaceDE w:val="0"/>
        <w:autoSpaceDN w:val="0"/>
        <w:adjustRightInd w:val="0"/>
        <w:ind w:left="1440"/>
        <w:textAlignment w:val="center"/>
        <w:outlineLvl w:val="1"/>
        <w:rPr>
          <w:rFonts w:eastAsia="Times New Roman" w:cs="Arial"/>
          <w:b/>
          <w:color w:val="000000"/>
          <w:szCs w:val="22"/>
        </w:rPr>
      </w:pPr>
    </w:p>
    <w:p w14:paraId="77D1C38C" w14:textId="77777777" w:rsidR="00593126" w:rsidRPr="00593126" w:rsidRDefault="00593126" w:rsidP="00593126">
      <w:pPr>
        <w:pStyle w:val="ListParagraph"/>
        <w:widowControl w:val="0"/>
        <w:numPr>
          <w:ilvl w:val="0"/>
          <w:numId w:val="87"/>
        </w:numPr>
        <w:suppressAutoHyphens/>
        <w:autoSpaceDE w:val="0"/>
        <w:autoSpaceDN w:val="0"/>
        <w:adjustRightInd w:val="0"/>
        <w:spacing w:after="0" w:line="240" w:lineRule="auto"/>
        <w:textAlignment w:val="center"/>
        <w:outlineLvl w:val="1"/>
        <w:rPr>
          <w:rFonts w:ascii="Arial" w:eastAsia="Times New Roman" w:hAnsi="Arial" w:cs="Arial"/>
          <w:b/>
          <w:color w:val="000000"/>
        </w:rPr>
      </w:pPr>
      <w:bookmarkStart w:id="221" w:name="_Toc223718251"/>
      <w:bookmarkStart w:id="222" w:name="_Toc223718507"/>
      <w:bookmarkStart w:id="223" w:name="_Toc223731898"/>
      <w:r w:rsidRPr="00D9302F">
        <w:rPr>
          <w:rStyle w:val="Heading2Char"/>
        </w:rPr>
        <w:t>Statements with Mixed Purposes</w:t>
      </w:r>
      <w:r w:rsidRPr="00B422C5">
        <w:rPr>
          <w:rFonts w:ascii="Arial" w:hAnsi="Arial" w:cs="Arial"/>
          <w:b/>
        </w:rPr>
        <w:t>.</w:t>
      </w:r>
      <w:bookmarkEnd w:id="221"/>
      <w:bookmarkEnd w:id="222"/>
      <w:bookmarkEnd w:id="223"/>
      <w:r w:rsidRPr="00B422C5">
        <w:rPr>
          <w:rFonts w:ascii="Arial" w:hAnsi="Arial" w:cs="Arial"/>
        </w:rPr>
        <w:t xml:space="preserve"> </w:t>
      </w:r>
    </w:p>
    <w:p w14:paraId="1EB374FE" w14:textId="687B8855" w:rsidR="00593126" w:rsidRPr="00B422C5" w:rsidRDefault="00593126" w:rsidP="00AB225B">
      <w:pPr>
        <w:ind w:left="1440"/>
        <w:rPr>
          <w:rFonts w:eastAsia="Times New Roman"/>
          <w:b/>
          <w:color w:val="000000"/>
        </w:rPr>
      </w:pPr>
      <w:r>
        <w:t xml:space="preserve">In </w:t>
      </w:r>
      <w:r w:rsidRPr="00EC3612">
        <w:rPr>
          <w:i/>
          <w:iCs/>
        </w:rPr>
        <w:t>Davis</w:t>
      </w:r>
      <w:r>
        <w:t xml:space="preserve">, the Court recognized the possibility that a situation may involve both testimonial and nontestimonial statements, such as when an ongoing emergency </w:t>
      </w:r>
      <w:r>
        <w:lastRenderedPageBreak/>
        <w:t>is resolved and the focus shifts to gathering evidence.</w:t>
      </w:r>
      <w:r w:rsidRPr="001A52FE">
        <w:rPr>
          <w:vertAlign w:val="superscript"/>
        </w:rPr>
        <w:footnoteReference w:id="72"/>
      </w:r>
      <w:r>
        <w:t xml:space="preserve"> </w:t>
      </w:r>
      <w:r w:rsidRPr="00EC3612">
        <w:t>The</w:t>
      </w:r>
      <w:r w:rsidRPr="00B422C5">
        <w:t xml:space="preserve"> Court </w:t>
      </w:r>
      <w:r>
        <w:t xml:space="preserve">likewise </w:t>
      </w:r>
      <w:r w:rsidRPr="00B422C5">
        <w:t xml:space="preserve">noted in </w:t>
      </w:r>
      <w:r w:rsidRPr="00B422C5">
        <w:rPr>
          <w:i/>
          <w:iCs/>
        </w:rPr>
        <w:t>Smith v. Arizona</w:t>
      </w:r>
      <w:r w:rsidRPr="00B422C5">
        <w:t xml:space="preserve"> that </w:t>
      </w:r>
      <w:r>
        <w:t>forensic reports</w:t>
      </w:r>
      <w:r w:rsidRPr="00B422C5">
        <w:t xml:space="preserve"> may contain both testimonial and nontestimonial components.</w:t>
      </w:r>
      <w:r w:rsidRPr="001A52FE">
        <w:rPr>
          <w:vertAlign w:val="superscript"/>
        </w:rPr>
        <w:footnoteReference w:id="73"/>
      </w:r>
      <w:r w:rsidRPr="00B422C5">
        <w:t xml:space="preserve"> In a situation involving both testimonial and nontestimonial statements, only the testimonial statements will be objectionable under the </w:t>
      </w:r>
      <w:r w:rsidR="00AE664A">
        <w:t>Confrontation Clause</w:t>
      </w:r>
      <w:r w:rsidRPr="00B422C5">
        <w:t>.</w:t>
      </w:r>
      <w:r w:rsidRPr="001A52FE">
        <w:rPr>
          <w:vertAlign w:val="superscript"/>
        </w:rPr>
        <w:footnoteReference w:id="74"/>
      </w:r>
    </w:p>
    <w:p w14:paraId="659BEF04" w14:textId="77777777" w:rsidR="00593126" w:rsidRDefault="00593126" w:rsidP="00593126">
      <w:pPr>
        <w:widowControl w:val="0"/>
        <w:suppressAutoHyphens/>
        <w:autoSpaceDE w:val="0"/>
        <w:autoSpaceDN w:val="0"/>
        <w:adjustRightInd w:val="0"/>
        <w:textAlignment w:val="center"/>
        <w:outlineLvl w:val="1"/>
        <w:rPr>
          <w:rFonts w:eastAsia="Times New Roman" w:cs="Arial"/>
          <w:b/>
          <w:color w:val="000000"/>
          <w:szCs w:val="22"/>
        </w:rPr>
      </w:pPr>
    </w:p>
    <w:p w14:paraId="6D10BB7A" w14:textId="6E57B47F" w:rsidR="00593126" w:rsidRPr="00593126" w:rsidRDefault="00593126" w:rsidP="005D21E3">
      <w:pPr>
        <w:widowControl w:val="0"/>
        <w:numPr>
          <w:ilvl w:val="0"/>
          <w:numId w:val="87"/>
        </w:numPr>
        <w:suppressAutoHyphens/>
        <w:autoSpaceDE w:val="0"/>
        <w:autoSpaceDN w:val="0"/>
        <w:adjustRightInd w:val="0"/>
        <w:textAlignment w:val="center"/>
        <w:outlineLvl w:val="1"/>
        <w:rPr>
          <w:rFonts w:eastAsia="Times New Roman" w:cs="Arial"/>
          <w:b/>
          <w:color w:val="000000"/>
          <w:szCs w:val="22"/>
        </w:rPr>
      </w:pPr>
      <w:bookmarkStart w:id="224" w:name="_Toc223718252"/>
      <w:bookmarkStart w:id="225" w:name="_Toc223718508"/>
      <w:bookmarkStart w:id="226" w:name="_Toc223731899"/>
      <w:r w:rsidRPr="00D9302F">
        <w:rPr>
          <w:rStyle w:val="Heading2Char"/>
        </w:rPr>
        <w:t>Categorically Testimonial Statements</w:t>
      </w:r>
      <w:r w:rsidRPr="00AD14B8">
        <w:rPr>
          <w:rFonts w:eastAsia="Times New Roman" w:cs="Arial"/>
          <w:b/>
          <w:color w:val="000000"/>
          <w:szCs w:val="22"/>
        </w:rPr>
        <w:t>.</w:t>
      </w:r>
      <w:bookmarkEnd w:id="224"/>
      <w:bookmarkEnd w:id="225"/>
      <w:bookmarkEnd w:id="226"/>
    </w:p>
    <w:p w14:paraId="7342CF73" w14:textId="13BC82F5" w:rsidR="00633156" w:rsidRPr="00512406" w:rsidRDefault="00593126" w:rsidP="00512406">
      <w:pPr>
        <w:ind w:left="1440"/>
        <w:rPr>
          <w:rFonts w:eastAsia="Times New Roman"/>
          <w:b/>
        </w:rPr>
      </w:pPr>
      <w:r w:rsidRPr="00633156">
        <w:rPr>
          <w:rFonts w:eastAsia="Times New Roman"/>
          <w:i/>
          <w:iCs/>
        </w:rPr>
        <w:t>Crawford</w:t>
      </w:r>
      <w:r w:rsidRPr="00AD14B8">
        <w:rPr>
          <w:rFonts w:eastAsia="Times New Roman"/>
        </w:rPr>
        <w:t xml:space="preserve"> declared statements made under certain circumstances to be categorically testimonial.</w:t>
      </w:r>
      <w:r>
        <w:rPr>
          <w:rFonts w:eastAsia="Times New Roman"/>
        </w:rPr>
        <w:t xml:space="preserve"> It seems likely that the same result would be reached under the primary purpose test.</w:t>
      </w:r>
      <w:bookmarkStart w:id="227" w:name="_Toc398033819"/>
      <w:bookmarkStart w:id="228" w:name="pleaallocutions"/>
      <w:bookmarkEnd w:id="219"/>
      <w:bookmarkEnd w:id="220"/>
    </w:p>
    <w:p w14:paraId="476B7508" w14:textId="6319AABB" w:rsidR="00633156" w:rsidRPr="00512406" w:rsidRDefault="00633156" w:rsidP="00512406">
      <w:pPr>
        <w:pStyle w:val="Heading3"/>
        <w:numPr>
          <w:ilvl w:val="3"/>
          <w:numId w:val="87"/>
        </w:numPr>
        <w:ind w:left="2160" w:hanging="720"/>
        <w:rPr>
          <w:rFonts w:eastAsia="Times New Roman" w:cs="Arial"/>
          <w:color w:val="000000"/>
          <w:szCs w:val="22"/>
        </w:rPr>
      </w:pPr>
      <w:r w:rsidRPr="00512406">
        <w:rPr>
          <w:rFonts w:eastAsia="Times New Roman"/>
        </w:rPr>
        <w:t>Prior Trial, Preliminary Hearing, and Grand Jury Testimony.</w:t>
      </w:r>
    </w:p>
    <w:p w14:paraId="79EF58A2" w14:textId="0C3D5524" w:rsidR="00633156" w:rsidRPr="00633156" w:rsidRDefault="00633156" w:rsidP="00512406">
      <w:pPr>
        <w:ind w:left="2160"/>
        <w:rPr>
          <w:rFonts w:eastAsia="Times New Roman" w:cs="Arial"/>
          <w:color w:val="000000"/>
          <w:szCs w:val="22"/>
        </w:rPr>
      </w:pPr>
      <w:r w:rsidRPr="00483A75">
        <w:rPr>
          <w:rFonts w:eastAsia="Times New Roman"/>
          <w:i/>
          <w:iCs/>
        </w:rPr>
        <w:t xml:space="preserve">Crawford </w:t>
      </w:r>
      <w:r w:rsidRPr="00483A75">
        <w:rPr>
          <w:rFonts w:eastAsia="Times New Roman"/>
        </w:rPr>
        <w:t xml:space="preserve">stated </w:t>
      </w:r>
      <w:r>
        <w:rPr>
          <w:rFonts w:eastAsia="Times New Roman"/>
        </w:rPr>
        <w:t>that “</w:t>
      </w:r>
      <w:r w:rsidRPr="00483A75">
        <w:rPr>
          <w:rFonts w:eastAsia="Times New Roman"/>
        </w:rPr>
        <w:t>prior testimony at a preliminary hearing, before a grand jury, or at a former trial”</w:t>
      </w:r>
      <w:r>
        <w:rPr>
          <w:rFonts w:eastAsia="Times New Roman"/>
        </w:rPr>
        <w:t xml:space="preserve"> is testimonial.</w:t>
      </w:r>
      <w:r w:rsidRPr="001A52FE">
        <w:rPr>
          <w:vertAlign w:val="superscript"/>
        </w:rPr>
        <w:footnoteReference w:id="75"/>
      </w:r>
    </w:p>
    <w:p w14:paraId="2024F953" w14:textId="04426325" w:rsidR="00593126" w:rsidRDefault="00593126" w:rsidP="00512406">
      <w:pPr>
        <w:pStyle w:val="Heading3"/>
        <w:numPr>
          <w:ilvl w:val="3"/>
          <w:numId w:val="87"/>
        </w:numPr>
        <w:ind w:left="2160" w:hanging="720"/>
        <w:rPr>
          <w:rFonts w:eastAsia="Times New Roman"/>
        </w:rPr>
      </w:pPr>
      <w:r w:rsidRPr="001A52FE">
        <w:rPr>
          <w:rFonts w:eastAsia="Times New Roman"/>
        </w:rPr>
        <w:t>Plea Allocutions.</w:t>
      </w:r>
      <w:bookmarkEnd w:id="227"/>
      <w:r w:rsidRPr="001A52FE">
        <w:rPr>
          <w:rFonts w:eastAsia="Times New Roman"/>
        </w:rPr>
        <w:t xml:space="preserve"> </w:t>
      </w:r>
      <w:bookmarkEnd w:id="228"/>
    </w:p>
    <w:p w14:paraId="62712604" w14:textId="080AC49A" w:rsidR="00593126" w:rsidRPr="00483A75" w:rsidRDefault="00593126" w:rsidP="00512406">
      <w:pPr>
        <w:ind w:left="1440" w:firstLine="720"/>
        <w:rPr>
          <w:rFonts w:eastAsia="Times New Roman"/>
        </w:rPr>
      </w:pPr>
      <w:r w:rsidRPr="00483A75">
        <w:rPr>
          <w:rFonts w:eastAsia="Times New Roman"/>
          <w:i/>
          <w:iCs/>
        </w:rPr>
        <w:t>Crawford</w:t>
      </w:r>
      <w:r w:rsidRPr="00483A75">
        <w:rPr>
          <w:rFonts w:eastAsia="Times New Roman" w:cs="Times New Roman"/>
        </w:rPr>
        <w:t xml:space="preserve"> classified plea allocutions as testimonial.</w:t>
      </w:r>
      <w:r w:rsidRPr="001A52FE">
        <w:rPr>
          <w:rFonts w:eastAsia="Times New Roman"/>
          <w:vertAlign w:val="superscript"/>
        </w:rPr>
        <w:footnoteReference w:id="76"/>
      </w:r>
    </w:p>
    <w:p w14:paraId="025D1BBC" w14:textId="6C6768A4" w:rsidR="00593126" w:rsidRDefault="00593126" w:rsidP="00512406">
      <w:pPr>
        <w:pStyle w:val="Heading3"/>
        <w:numPr>
          <w:ilvl w:val="3"/>
          <w:numId w:val="87"/>
        </w:numPr>
        <w:ind w:left="2160" w:hanging="720"/>
        <w:rPr>
          <w:rFonts w:eastAsia="Times New Roman"/>
        </w:rPr>
      </w:pPr>
      <w:bookmarkStart w:id="229" w:name="deposition"/>
      <w:bookmarkStart w:id="230" w:name="_Toc398033820"/>
      <w:r w:rsidRPr="001A52FE">
        <w:rPr>
          <w:rFonts w:eastAsia="Times New Roman"/>
        </w:rPr>
        <w:t>Deposition Testimony</w:t>
      </w:r>
      <w:bookmarkEnd w:id="229"/>
      <w:r w:rsidRPr="001A52FE">
        <w:rPr>
          <w:rFonts w:eastAsia="Times New Roman"/>
        </w:rPr>
        <w:t>.</w:t>
      </w:r>
      <w:bookmarkEnd w:id="230"/>
      <w:r w:rsidRPr="001A52FE">
        <w:rPr>
          <w:rFonts w:eastAsia="Times New Roman"/>
        </w:rPr>
        <w:t xml:space="preserve"> </w:t>
      </w:r>
    </w:p>
    <w:p w14:paraId="29CC5D3E" w14:textId="457DB387" w:rsidR="00593126" w:rsidRPr="00483A75" w:rsidRDefault="00593126" w:rsidP="00512406">
      <w:pPr>
        <w:ind w:left="2160"/>
        <w:rPr>
          <w:rFonts w:eastAsia="Times New Roman"/>
        </w:rPr>
      </w:pPr>
      <w:r w:rsidRPr="00483A75">
        <w:rPr>
          <w:rFonts w:eastAsia="Times New Roman"/>
          <w:i/>
          <w:iCs/>
        </w:rPr>
        <w:t>Davis</w:t>
      </w:r>
      <w:r w:rsidRPr="00483A75">
        <w:rPr>
          <w:rFonts w:eastAsia="Times New Roman" w:cs="Times New Roman"/>
        </w:rPr>
        <w:t xml:space="preserve"> suggests and state cases hold that deposition testimony is testimonial.</w:t>
      </w:r>
      <w:r w:rsidRPr="001A52FE">
        <w:rPr>
          <w:rFonts w:eastAsia="Times New Roman"/>
          <w:vertAlign w:val="superscript"/>
        </w:rPr>
        <w:footnoteReference w:id="77"/>
      </w:r>
    </w:p>
    <w:p w14:paraId="4996778A" w14:textId="2B76280D" w:rsidR="00593126" w:rsidRPr="00593126" w:rsidRDefault="00593126" w:rsidP="00512406">
      <w:pPr>
        <w:pStyle w:val="Heading3"/>
        <w:numPr>
          <w:ilvl w:val="3"/>
          <w:numId w:val="87"/>
        </w:numPr>
        <w:ind w:left="2160" w:hanging="720"/>
        <w:rPr>
          <w:rFonts w:eastAsia="Calibri"/>
        </w:rPr>
      </w:pPr>
      <w:bookmarkStart w:id="231" w:name="policeinterrogation"/>
      <w:bookmarkStart w:id="232" w:name="_Toc398033821"/>
      <w:r>
        <w:rPr>
          <w:rFonts w:eastAsia="Times New Roman"/>
        </w:rPr>
        <w:t>Custodial</w:t>
      </w:r>
      <w:r w:rsidRPr="001A52FE">
        <w:rPr>
          <w:rFonts w:eastAsia="Times New Roman"/>
        </w:rPr>
        <w:t xml:space="preserve"> Interrogation</w:t>
      </w:r>
      <w:bookmarkEnd w:id="231"/>
      <w:r>
        <w:rPr>
          <w:rFonts w:eastAsia="Times New Roman"/>
        </w:rPr>
        <w:t xml:space="preserve"> following </w:t>
      </w:r>
      <w:r>
        <w:rPr>
          <w:rFonts w:eastAsia="Times New Roman"/>
          <w:i/>
          <w:iCs/>
        </w:rPr>
        <w:t xml:space="preserve">Miranda </w:t>
      </w:r>
      <w:r>
        <w:rPr>
          <w:rFonts w:eastAsia="Times New Roman"/>
        </w:rPr>
        <w:t>Warnings</w:t>
      </w:r>
      <w:r w:rsidRPr="001A52FE">
        <w:rPr>
          <w:rFonts w:eastAsia="Times New Roman"/>
        </w:rPr>
        <w:t>.</w:t>
      </w:r>
      <w:bookmarkEnd w:id="232"/>
    </w:p>
    <w:p w14:paraId="2021DBAF" w14:textId="48FDBF08" w:rsidR="00593126" w:rsidRPr="00121BD0" w:rsidRDefault="00593126" w:rsidP="00512406">
      <w:pPr>
        <w:ind w:left="2160"/>
        <w:rPr>
          <w:rFonts w:eastAsia="Calibri"/>
        </w:rPr>
      </w:pPr>
      <w:r w:rsidRPr="00483A75">
        <w:rPr>
          <w:rFonts w:eastAsia="Times New Roman"/>
          <w:i/>
        </w:rPr>
        <w:t>Crawford</w:t>
      </w:r>
      <w:r w:rsidRPr="00483A75">
        <w:rPr>
          <w:rFonts w:eastAsia="Times New Roman"/>
        </w:rPr>
        <w:t xml:space="preserve"> held that recorded statements made by a suspect to the police during a custodial interrogation at the station house and after </w:t>
      </w:r>
      <w:r w:rsidRPr="00483A75">
        <w:rPr>
          <w:rFonts w:eastAsia="Times New Roman"/>
          <w:i/>
        </w:rPr>
        <w:t xml:space="preserve">Miranda </w:t>
      </w:r>
      <w:r w:rsidRPr="00483A75">
        <w:rPr>
          <w:rFonts w:eastAsia="Times New Roman"/>
        </w:rPr>
        <w:t>warnings had been given qualified “under any conceivable definition” of the term interrogation.</w:t>
      </w:r>
      <w:r w:rsidRPr="001A52FE">
        <w:rPr>
          <w:rFonts w:eastAsia="Times New Roman"/>
          <w:vertAlign w:val="superscript"/>
        </w:rPr>
        <w:footnoteReference w:id="78"/>
      </w:r>
      <w:r w:rsidRPr="00483A75">
        <w:rPr>
          <w:rFonts w:eastAsia="Times New Roman"/>
        </w:rPr>
        <w:t xml:space="preserve"> The Court noted that when classifying police interrogations as testimonial it used the term “interrogation” in its “colloquial, rather than any technical, legal sense</w:t>
      </w:r>
      <w:r>
        <w:rPr>
          <w:rFonts w:eastAsia="Times New Roman"/>
        </w:rPr>
        <w:t>,</w:t>
      </w:r>
      <w:r w:rsidRPr="00483A75">
        <w:rPr>
          <w:rFonts w:eastAsia="Times New Roman"/>
        </w:rPr>
        <w:t>”</w:t>
      </w:r>
      <w:r w:rsidRPr="001A52FE">
        <w:rPr>
          <w:rFonts w:eastAsia="Times New Roman"/>
          <w:vertAlign w:val="superscript"/>
        </w:rPr>
        <w:footnoteReference w:id="79"/>
      </w:r>
      <w:r>
        <w:rPr>
          <w:rFonts w:eastAsia="Times New Roman"/>
        </w:rPr>
        <w:t xml:space="preserve"> and broadly stated that “[w]</w:t>
      </w:r>
      <w:proofErr w:type="spellStart"/>
      <w:r>
        <w:rPr>
          <w:rFonts w:eastAsia="Times New Roman"/>
        </w:rPr>
        <w:t>hatever</w:t>
      </w:r>
      <w:proofErr w:type="spellEnd"/>
      <w:r>
        <w:rPr>
          <w:rFonts w:eastAsia="Times New Roman"/>
        </w:rPr>
        <w:t xml:space="preserve"> else the term [testimonial] covers, it applies at a minimum to . . . police interrogations.”</w:t>
      </w:r>
      <w:r w:rsidRPr="001A52FE">
        <w:rPr>
          <w:rFonts w:eastAsia="Times New Roman"/>
          <w:vertAlign w:val="superscript"/>
        </w:rPr>
        <w:footnoteReference w:id="80"/>
      </w:r>
      <w:r>
        <w:rPr>
          <w:rFonts w:eastAsia="Times New Roman"/>
        </w:rPr>
        <w:t xml:space="preserve"> Despite this language, subsequent Supreme Court cases have made it clear that </w:t>
      </w:r>
      <w:r>
        <w:rPr>
          <w:rFonts w:eastAsia="Times New Roman"/>
          <w:i/>
          <w:iCs/>
        </w:rPr>
        <w:t>Crawford</w:t>
      </w:r>
      <w:r>
        <w:rPr>
          <w:rFonts w:eastAsia="Times New Roman"/>
        </w:rPr>
        <w:t xml:space="preserve">, to the extent that it announces a categorical rule for police interrogations, should be read narrowly to include within this rule only formal custodial interrogations involving </w:t>
      </w:r>
      <w:r>
        <w:rPr>
          <w:rFonts w:eastAsia="Times New Roman"/>
          <w:i/>
          <w:iCs/>
        </w:rPr>
        <w:t>Miranda</w:t>
      </w:r>
      <w:r>
        <w:rPr>
          <w:rFonts w:eastAsia="Times New Roman"/>
        </w:rPr>
        <w:t xml:space="preserve"> warnings; the Court has consistently applied the primary purpose test to police interrogations not involving </w:t>
      </w:r>
      <w:r>
        <w:rPr>
          <w:rFonts w:eastAsia="Times New Roman"/>
          <w:i/>
          <w:iCs/>
        </w:rPr>
        <w:t>Miranda</w:t>
      </w:r>
      <w:r>
        <w:rPr>
          <w:rFonts w:eastAsia="Times New Roman"/>
        </w:rPr>
        <w:t xml:space="preserve"> custody.</w:t>
      </w:r>
      <w:r w:rsidRPr="001A52FE">
        <w:rPr>
          <w:rFonts w:eastAsia="Times New Roman"/>
          <w:vertAlign w:val="superscript"/>
        </w:rPr>
        <w:footnoteReference w:id="81"/>
      </w:r>
      <w:r w:rsidRPr="00483A75">
        <w:rPr>
          <w:rFonts w:eastAsia="Times New Roman"/>
        </w:rPr>
        <w:t xml:space="preserve"> </w:t>
      </w:r>
    </w:p>
    <w:p w14:paraId="4DF578FA" w14:textId="77777777" w:rsidR="00593126" w:rsidRPr="001A52FE" w:rsidRDefault="00593126" w:rsidP="00633156">
      <w:pPr>
        <w:rPr>
          <w:rFonts w:eastAsia="Times New Roman" w:cs="Arial"/>
        </w:rPr>
      </w:pPr>
    </w:p>
    <w:p w14:paraId="11FA1054" w14:textId="77777777" w:rsidR="00593126" w:rsidRPr="00593126" w:rsidRDefault="00593126" w:rsidP="00593126">
      <w:pPr>
        <w:pStyle w:val="ListParagraph"/>
        <w:numPr>
          <w:ilvl w:val="0"/>
          <w:numId w:val="87"/>
        </w:numPr>
        <w:spacing w:after="0" w:line="240" w:lineRule="auto"/>
        <w:outlineLvl w:val="1"/>
        <w:rPr>
          <w:rFonts w:ascii="Arial" w:hAnsi="Arial" w:cs="Arial"/>
        </w:rPr>
      </w:pPr>
      <w:bookmarkStart w:id="233" w:name="_Toc223718253"/>
      <w:bookmarkStart w:id="234" w:name="_Toc223718509"/>
      <w:bookmarkStart w:id="235" w:name="_Toc223731900"/>
      <w:r w:rsidRPr="00D9302F">
        <w:rPr>
          <w:rStyle w:val="Heading2Char"/>
        </w:rPr>
        <w:t>Reports, Records, and Logs</w:t>
      </w:r>
      <w:r>
        <w:rPr>
          <w:rFonts w:ascii="Arial" w:hAnsi="Arial" w:cs="Arial"/>
          <w:b/>
          <w:color w:val="000000"/>
        </w:rPr>
        <w:t>.</w:t>
      </w:r>
      <w:bookmarkEnd w:id="233"/>
      <w:bookmarkEnd w:id="234"/>
      <w:bookmarkEnd w:id="235"/>
      <w:r>
        <w:rPr>
          <w:rFonts w:ascii="Arial" w:hAnsi="Arial" w:cs="Arial"/>
          <w:bCs/>
          <w:color w:val="000000"/>
        </w:rPr>
        <w:t xml:space="preserve"> </w:t>
      </w:r>
    </w:p>
    <w:p w14:paraId="14968E07" w14:textId="3497275D" w:rsidR="00296C8F" w:rsidRPr="00296C8F" w:rsidRDefault="00593126" w:rsidP="00296C8F">
      <w:pPr>
        <w:ind w:left="1440"/>
      </w:pPr>
      <w:r w:rsidRPr="003E2ADA">
        <w:rPr>
          <w:i/>
          <w:iCs/>
        </w:rPr>
        <w:lastRenderedPageBreak/>
        <w:t>Crawford</w:t>
      </w:r>
      <w:r>
        <w:t xml:space="preserve">, </w:t>
      </w:r>
      <w:r>
        <w:rPr>
          <w:i/>
          <w:iCs/>
        </w:rPr>
        <w:t>Davis</w:t>
      </w:r>
      <w:r>
        <w:t xml:space="preserve">, and </w:t>
      </w:r>
      <w:r>
        <w:rPr>
          <w:i/>
          <w:iCs/>
        </w:rPr>
        <w:t>Bryant</w:t>
      </w:r>
      <w:r>
        <w:t xml:space="preserve"> all involved oral statements made to police officers. In </w:t>
      </w:r>
      <w:r>
        <w:rPr>
          <w:i/>
          <w:iCs/>
        </w:rPr>
        <w:t>Melendez-Diaz v. Massachusetts</w:t>
      </w:r>
      <w:r>
        <w:t>,</w:t>
      </w:r>
      <w:r w:rsidRPr="001A52FE">
        <w:rPr>
          <w:vertAlign w:val="superscript"/>
        </w:rPr>
        <w:footnoteReference w:id="82"/>
      </w:r>
      <w:r>
        <w:t xml:space="preserve"> the Court applied </w:t>
      </w:r>
      <w:r>
        <w:rPr>
          <w:i/>
          <w:iCs/>
        </w:rPr>
        <w:t xml:space="preserve">Crawford </w:t>
      </w:r>
      <w:r>
        <w:t xml:space="preserve">beyond that context, examining the testimonial nature of a forensic report, an issue discussed in specific detail in Section </w:t>
      </w:r>
      <w:r w:rsidR="003D3377">
        <w:t>V</w:t>
      </w:r>
      <w:r>
        <w:t xml:space="preserve">., below. The following subsections explore other types of reports, records, and logs. The Court in </w:t>
      </w:r>
      <w:r>
        <w:rPr>
          <w:i/>
          <w:iCs/>
        </w:rPr>
        <w:t xml:space="preserve">Melendez-Diaz </w:t>
      </w:r>
      <w:r>
        <w:t>observed that many such materials are created primarily for a purpose other than use in a criminal proceeding and thus are nontestimonial. A trial court should be mindful that the relevant inquiry is the primary purpose of the material at the time of its creation, not at the time at which it is provided in response to a subpoena.</w:t>
      </w:r>
      <w:r w:rsidRPr="001A52FE">
        <w:rPr>
          <w:vertAlign w:val="superscript"/>
        </w:rPr>
        <w:footnoteReference w:id="83"/>
      </w:r>
    </w:p>
    <w:p w14:paraId="2A8506C6" w14:textId="29348D3C" w:rsidR="00296C8F" w:rsidRDefault="00296C8F" w:rsidP="00296C8F">
      <w:pPr>
        <w:pStyle w:val="Heading3"/>
        <w:numPr>
          <w:ilvl w:val="0"/>
          <w:numId w:val="111"/>
        </w:numPr>
        <w:ind w:left="2160" w:hanging="720"/>
      </w:pPr>
      <w:bookmarkStart w:id="236" w:name="_Toc223718255"/>
      <w:bookmarkStart w:id="237" w:name="_Toc223718511"/>
      <w:r w:rsidRPr="00296C8F">
        <w:t>Medical Reports and Records.</w:t>
      </w:r>
    </w:p>
    <w:p w14:paraId="499FEFF1" w14:textId="17C4BF14" w:rsidR="00296C8F" w:rsidRPr="00296C8F" w:rsidRDefault="00296C8F" w:rsidP="00296C8F">
      <w:pPr>
        <w:ind w:left="2160"/>
      </w:pPr>
      <w:r w:rsidRPr="005B0406">
        <w:rPr>
          <w:rFonts w:eastAsia="Times New Roman" w:cs="Arial"/>
          <w:i/>
          <w:iCs/>
        </w:rPr>
        <w:t xml:space="preserve">Melendez-Diaz </w:t>
      </w:r>
      <w:r w:rsidRPr="005B0406">
        <w:rPr>
          <w:rFonts w:eastAsia="Times New Roman"/>
        </w:rPr>
        <w:t>indicated that “medical reports created for treatment purposes . . . would not be testimonial under our decision today.”</w:t>
      </w:r>
      <w:r w:rsidRPr="001A52FE">
        <w:rPr>
          <w:rFonts w:cs="Arial"/>
          <w:color w:val="000000"/>
          <w:vertAlign w:val="superscript"/>
        </w:rPr>
        <w:footnoteReference w:id="84"/>
      </w:r>
      <w:r w:rsidRPr="005B0406">
        <w:rPr>
          <w:rFonts w:eastAsia="Times New Roman"/>
        </w:rPr>
        <w:t xml:space="preserve"> Medical reports prepared for forensic purposes obviously are not prepared for treatment purposes; </w:t>
      </w:r>
      <w:r>
        <w:rPr>
          <w:rFonts w:eastAsia="Times New Roman"/>
        </w:rPr>
        <w:t xml:space="preserve">as noted, </w:t>
      </w:r>
      <w:r w:rsidRPr="005B0406">
        <w:rPr>
          <w:rFonts w:eastAsia="Times New Roman"/>
        </w:rPr>
        <w:t>forensic reports are discussed in more detail below.</w:t>
      </w:r>
    </w:p>
    <w:p w14:paraId="156C61B7" w14:textId="622B19AE" w:rsidR="00593126" w:rsidRDefault="00593126" w:rsidP="00296C8F">
      <w:pPr>
        <w:pStyle w:val="Heading3"/>
        <w:numPr>
          <w:ilvl w:val="0"/>
          <w:numId w:val="111"/>
        </w:numPr>
        <w:ind w:left="2160" w:hanging="720"/>
      </w:pPr>
      <w:r w:rsidRPr="005B0406">
        <w:t>Business and Public Records.</w:t>
      </w:r>
      <w:bookmarkEnd w:id="236"/>
      <w:bookmarkEnd w:id="237"/>
    </w:p>
    <w:p w14:paraId="7860F78A" w14:textId="74B69990" w:rsidR="00593126" w:rsidRPr="005B0406" w:rsidRDefault="00593126" w:rsidP="00296C8F">
      <w:pPr>
        <w:ind w:left="2160"/>
        <w:rPr>
          <w:rFonts w:cs="Arial"/>
        </w:rPr>
      </w:pPr>
      <w:r w:rsidRPr="005B0406">
        <w:rPr>
          <w:rFonts w:eastAsia="Times New Roman" w:cs="Arial"/>
          <w:i/>
          <w:iCs/>
        </w:rPr>
        <w:t>Crawford</w:t>
      </w:r>
      <w:r w:rsidRPr="005B0406">
        <w:rPr>
          <w:rFonts w:eastAsia="Times New Roman"/>
        </w:rPr>
        <w:t xml:space="preserve"> offered business records as an example of nontestimonial evidence.</w:t>
      </w:r>
      <w:r w:rsidRPr="001A52FE">
        <w:rPr>
          <w:rFonts w:cs="Arial"/>
          <w:color w:val="000000"/>
          <w:vertAlign w:val="superscript"/>
        </w:rPr>
        <w:footnoteReference w:id="85"/>
      </w:r>
      <w:r w:rsidRPr="005B0406">
        <w:rPr>
          <w:rFonts w:eastAsia="Times New Roman"/>
        </w:rPr>
        <w:t xml:space="preserve"> In </w:t>
      </w:r>
      <w:r w:rsidRPr="005B0406">
        <w:rPr>
          <w:rFonts w:eastAsia="Times New Roman" w:cs="Arial"/>
          <w:i/>
          <w:iCs/>
        </w:rPr>
        <w:t>Melendez-Diaz</w:t>
      </w:r>
      <w:r w:rsidRPr="005B0406">
        <w:rPr>
          <w:rFonts w:eastAsia="Times New Roman"/>
        </w:rPr>
        <w:t xml:space="preserve">, the Court was careful to clarify: “Business and public records are generally admissible absent </w:t>
      </w:r>
      <w:proofErr w:type="gramStart"/>
      <w:r w:rsidRPr="005B0406">
        <w:rPr>
          <w:rFonts w:eastAsia="Times New Roman"/>
        </w:rPr>
        <w:t>confrontation  because</w:t>
      </w:r>
      <w:proofErr w:type="gramEnd"/>
      <w:r w:rsidRPr="005B0406">
        <w:rPr>
          <w:rFonts w:eastAsia="Times New Roman"/>
        </w:rPr>
        <w:t>—having been created for the administration of an entity’s affairs and not for the purpose of establishing or proving some fact at trial—they are not testimonial.”</w:t>
      </w:r>
      <w:r w:rsidRPr="001A52FE">
        <w:rPr>
          <w:rFonts w:cs="Arial"/>
          <w:color w:val="000000"/>
          <w:vertAlign w:val="superscript"/>
        </w:rPr>
        <w:footnoteReference w:id="86"/>
      </w:r>
    </w:p>
    <w:p w14:paraId="212DFF06" w14:textId="11DF0D03" w:rsidR="00593126" w:rsidRPr="00296C8F" w:rsidRDefault="00593126" w:rsidP="00296C8F">
      <w:pPr>
        <w:pStyle w:val="Heading3"/>
        <w:numPr>
          <w:ilvl w:val="0"/>
          <w:numId w:val="111"/>
        </w:numPr>
        <w:ind w:left="2160" w:hanging="720"/>
        <w:rPr>
          <w:rFonts w:eastAsia="Times New Roman"/>
        </w:rPr>
      </w:pPr>
      <w:r w:rsidRPr="00296C8F">
        <w:rPr>
          <w:rFonts w:eastAsia="Times New Roman"/>
        </w:rPr>
        <w:t>Records Regarding Equipment Maintenance.</w:t>
      </w:r>
    </w:p>
    <w:p w14:paraId="35F4239F" w14:textId="01F90AAF" w:rsidR="00296C8F" w:rsidRDefault="00593126" w:rsidP="00296C8F">
      <w:pPr>
        <w:ind w:left="2160"/>
        <w:rPr>
          <w:rFonts w:eastAsia="Times New Roman"/>
          <w:b/>
          <w:bCs/>
        </w:rPr>
      </w:pPr>
      <w:r w:rsidRPr="00E076BF">
        <w:rPr>
          <w:rFonts w:eastAsia="Times New Roman" w:cs="Arial"/>
          <w:i/>
          <w:iCs/>
        </w:rPr>
        <w:t>Melendez-Diaz</w:t>
      </w:r>
      <w:r w:rsidRPr="00E076BF">
        <w:rPr>
          <w:rFonts w:eastAsia="Times New Roman"/>
        </w:rPr>
        <w:t xml:space="preserve"> stated that “documents prepared in the regular course of equipment maintenance may well qualify as nontestimonial records.”</w:t>
      </w:r>
      <w:r w:rsidRPr="001A52FE">
        <w:rPr>
          <w:rFonts w:cs="Arial"/>
          <w:color w:val="000000"/>
          <w:vertAlign w:val="superscript"/>
        </w:rPr>
        <w:footnoteReference w:id="87"/>
      </w:r>
    </w:p>
    <w:p w14:paraId="3A85642A" w14:textId="24EB6BA4" w:rsidR="00593126" w:rsidRPr="00296C8F" w:rsidRDefault="00593126" w:rsidP="00296C8F">
      <w:pPr>
        <w:pStyle w:val="Heading3"/>
        <w:numPr>
          <w:ilvl w:val="0"/>
          <w:numId w:val="111"/>
        </w:numPr>
        <w:ind w:left="2160" w:hanging="720"/>
        <w:rPr>
          <w:rFonts w:eastAsia="Times New Roman"/>
        </w:rPr>
      </w:pPr>
      <w:r w:rsidRPr="00296C8F">
        <w:rPr>
          <w:rFonts w:eastAsia="Times New Roman"/>
        </w:rPr>
        <w:t>Machine Generated Raw Data.</w:t>
      </w:r>
    </w:p>
    <w:p w14:paraId="563181D2" w14:textId="432D6DC5" w:rsidR="00593126" w:rsidRPr="009F6B04" w:rsidRDefault="00593126" w:rsidP="00296C8F">
      <w:pPr>
        <w:ind w:left="2160"/>
        <w:rPr>
          <w:rFonts w:eastAsia="Times New Roman"/>
          <w:b/>
          <w:bCs/>
        </w:rPr>
      </w:pPr>
      <w:r>
        <w:t>The N</w:t>
      </w:r>
      <w:r w:rsidRPr="009F6B04">
        <w:t xml:space="preserve">orth Carolina </w:t>
      </w:r>
      <w:r>
        <w:t>Supreme Court</w:t>
      </w:r>
      <w:r w:rsidRPr="009F6B04">
        <w:t xml:space="preserve"> ha</w:t>
      </w:r>
      <w:r>
        <w:t>s</w:t>
      </w:r>
      <w:r w:rsidRPr="009F6B04">
        <w:t xml:space="preserve"> </w:t>
      </w:r>
      <w:r>
        <w:t>held</w:t>
      </w:r>
      <w:r w:rsidRPr="009F6B04">
        <w:t xml:space="preserve"> that </w:t>
      </w:r>
      <w:r>
        <w:t>computer generated cellular phone records are</w:t>
      </w:r>
      <w:r w:rsidRPr="009F6B04">
        <w:t xml:space="preserve"> nontestimonial</w:t>
      </w:r>
      <w:r>
        <w:t xml:space="preserve"> because “</w:t>
      </w:r>
      <w:r w:rsidRPr="00DC4598">
        <w:t xml:space="preserve">a computer's pure output is not made for the </w:t>
      </w:r>
      <w:r>
        <w:t>‘</w:t>
      </w:r>
      <w:r w:rsidRPr="00DC4598">
        <w:t>primary purpose of establishing or proving past events potentially relevant to later criminal prosecution.</w:t>
      </w:r>
      <w:r>
        <w:t>’”</w:t>
      </w:r>
      <w:r w:rsidRPr="00AB6656">
        <w:rPr>
          <w:vertAlign w:val="superscript"/>
        </w:rPr>
        <w:footnoteReference w:id="88"/>
      </w:r>
      <w:r w:rsidRPr="009F6B04">
        <w:t xml:space="preserve"> Note, though, that an expert opinion interpreting such raw data is testimonial.</w:t>
      </w:r>
      <w:r w:rsidRPr="00AB6656">
        <w:rPr>
          <w:vertAlign w:val="superscript"/>
        </w:rPr>
        <w:footnoteReference w:id="89"/>
      </w:r>
      <w:r w:rsidRPr="009F6B04">
        <w:t xml:space="preserve"> Other examples of machine-generated data include automatically created cell phone records, seismograph monitoring outputs, and flight data recorder data, and other information created by a computer without human involvement.</w:t>
      </w:r>
      <w:r>
        <w:t xml:space="preserve"> Machine generated data associated with forensic reports is discussed in more detail below.</w:t>
      </w:r>
    </w:p>
    <w:p w14:paraId="51F0074E" w14:textId="37C607FE" w:rsidR="00593126" w:rsidRDefault="00593126" w:rsidP="00296C8F">
      <w:pPr>
        <w:pStyle w:val="Heading3"/>
        <w:numPr>
          <w:ilvl w:val="0"/>
          <w:numId w:val="111"/>
        </w:numPr>
        <w:ind w:left="2160" w:hanging="720"/>
        <w:rPr>
          <w:rFonts w:eastAsia="Times New Roman"/>
        </w:rPr>
      </w:pPr>
      <w:r w:rsidRPr="001A52FE">
        <w:rPr>
          <w:rFonts w:eastAsia="Times New Roman"/>
        </w:rPr>
        <w:lastRenderedPageBreak/>
        <w:t>Police Reports.</w:t>
      </w:r>
    </w:p>
    <w:p w14:paraId="444E38F2" w14:textId="2A607833" w:rsidR="00593126" w:rsidRPr="00E076BF" w:rsidRDefault="00593126" w:rsidP="00296C8F">
      <w:pPr>
        <w:ind w:left="2160"/>
        <w:outlineLvl w:val="2"/>
        <w:rPr>
          <w:rFonts w:eastAsia="Times New Roman" w:cs="Times New Roman"/>
          <w:b/>
          <w:bCs/>
        </w:rPr>
      </w:pPr>
      <w:r w:rsidRPr="00E076BF">
        <w:rPr>
          <w:rFonts w:eastAsia="Times New Roman" w:cs="Arial"/>
          <w:i/>
          <w:iCs/>
          <w:szCs w:val="22"/>
        </w:rPr>
        <w:t>Melendez-Diaz</w:t>
      </w:r>
      <w:r w:rsidRPr="00E076BF">
        <w:rPr>
          <w:rFonts w:eastAsia="Times New Roman" w:cs="Times New Roman"/>
        </w:rPr>
        <w:t xml:space="preserve"> suggests that police reports are testimonial when they are used to establish a fact at trial.</w:t>
      </w:r>
      <w:r w:rsidRPr="001A52FE">
        <w:rPr>
          <w:rFonts w:eastAsia="Times New Roman" w:cs="Arial"/>
          <w:color w:val="000000"/>
          <w:szCs w:val="22"/>
          <w:vertAlign w:val="superscript"/>
        </w:rPr>
        <w:footnoteReference w:id="90"/>
      </w:r>
    </w:p>
    <w:p w14:paraId="5CB25EA7" w14:textId="69419F40" w:rsidR="00593126" w:rsidRDefault="00593126" w:rsidP="00296C8F">
      <w:pPr>
        <w:pStyle w:val="Heading3"/>
        <w:numPr>
          <w:ilvl w:val="0"/>
          <w:numId w:val="111"/>
        </w:numPr>
        <w:ind w:left="2160" w:hanging="720"/>
        <w:rPr>
          <w:rFonts w:eastAsia="Times New Roman"/>
        </w:rPr>
      </w:pPr>
      <w:r w:rsidRPr="001A52FE">
        <w:rPr>
          <w:rFonts w:eastAsia="Times New Roman"/>
        </w:rPr>
        <w:t>Fingerprint Cards.</w:t>
      </w:r>
    </w:p>
    <w:p w14:paraId="07EB65B9" w14:textId="15875AC1" w:rsidR="00593126" w:rsidRPr="00E076BF" w:rsidRDefault="00593126" w:rsidP="00593126">
      <w:pPr>
        <w:ind w:left="2160"/>
        <w:outlineLvl w:val="2"/>
        <w:rPr>
          <w:rFonts w:eastAsia="Times New Roman" w:cs="Times New Roman"/>
          <w:b/>
          <w:bCs/>
        </w:rPr>
      </w:pPr>
      <w:r w:rsidRPr="00E076BF">
        <w:rPr>
          <w:rFonts w:eastAsia="Times New Roman" w:cs="Times New Roman"/>
        </w:rPr>
        <w:t>In one pre-</w:t>
      </w:r>
      <w:r w:rsidRPr="00E076BF">
        <w:rPr>
          <w:rFonts w:eastAsia="Times New Roman" w:cs="Arial"/>
          <w:i/>
          <w:iCs/>
          <w:szCs w:val="22"/>
        </w:rPr>
        <w:t>Melendez-Diaz</w:t>
      </w:r>
      <w:r w:rsidRPr="00E076BF">
        <w:rPr>
          <w:rFonts w:eastAsia="Times New Roman" w:cs="Times New Roman"/>
        </w:rPr>
        <w:t xml:space="preserve"> case, the North Carolina Court of Appeals held, with little analysis, that a fingerprint card contained in the Automated Fingerprint Identification System (AFIS) database was a nontestimonial business record.</w:t>
      </w:r>
      <w:r w:rsidRPr="001A52FE">
        <w:rPr>
          <w:rFonts w:eastAsia="Times New Roman" w:cs="Arial"/>
          <w:color w:val="000000"/>
          <w:szCs w:val="22"/>
          <w:vertAlign w:val="superscript"/>
        </w:rPr>
        <w:footnoteReference w:id="91"/>
      </w:r>
      <w:r w:rsidRPr="00E076BF">
        <w:rPr>
          <w:rFonts w:eastAsia="Times New Roman" w:cs="Times New Roman"/>
        </w:rPr>
        <w:t xml:space="preserve"> After </w:t>
      </w:r>
      <w:r w:rsidRPr="00E076BF">
        <w:rPr>
          <w:rFonts w:eastAsia="Times New Roman" w:cs="Arial"/>
          <w:i/>
          <w:iCs/>
          <w:szCs w:val="22"/>
        </w:rPr>
        <w:t>Melendez-Diaz</w:t>
      </w:r>
      <w:r w:rsidRPr="00E076BF">
        <w:rPr>
          <w:rFonts w:eastAsia="Times New Roman" w:cs="Times New Roman"/>
        </w:rPr>
        <w:t xml:space="preserve">, a report of a comparison between a fingerprint taken from the crime scene and an AFIS card used to identify the perpetrator is almost certainly testimonial. However, it is not clear how </w:t>
      </w:r>
      <w:r w:rsidRPr="00E076BF">
        <w:rPr>
          <w:rFonts w:eastAsia="Times New Roman" w:cs="Arial"/>
          <w:i/>
          <w:iCs/>
          <w:szCs w:val="22"/>
        </w:rPr>
        <w:t>Melendez-</w:t>
      </w:r>
      <w:r w:rsidRPr="00E076BF">
        <w:rPr>
          <w:rFonts w:eastAsia="Times New Roman" w:cs="Times New Roman"/>
          <w:i/>
        </w:rPr>
        <w:t>Diaz</w:t>
      </w:r>
      <w:r w:rsidRPr="00E076BF">
        <w:rPr>
          <w:rFonts w:eastAsia="Times New Roman" w:cs="Times New Roman"/>
        </w:rPr>
        <w:t xml:space="preserve"> applies to the fingerprint card itself.</w:t>
      </w:r>
    </w:p>
    <w:p w14:paraId="34CD58A9" w14:textId="07BC39AD" w:rsidR="00593126" w:rsidRDefault="00593126" w:rsidP="00296C8F">
      <w:pPr>
        <w:pStyle w:val="Heading3"/>
        <w:numPr>
          <w:ilvl w:val="0"/>
          <w:numId w:val="111"/>
        </w:numPr>
        <w:ind w:left="2160" w:hanging="720"/>
        <w:rPr>
          <w:rFonts w:eastAsia="Times New Roman"/>
        </w:rPr>
      </w:pPr>
      <w:r w:rsidRPr="001A52FE">
        <w:rPr>
          <w:rFonts w:eastAsia="Times New Roman"/>
        </w:rPr>
        <w:t>911 Event Logs.</w:t>
      </w:r>
    </w:p>
    <w:p w14:paraId="6CAA1A75" w14:textId="41E622AF" w:rsidR="00593126" w:rsidRPr="00E076BF" w:rsidRDefault="00593126" w:rsidP="00593126">
      <w:pPr>
        <w:ind w:left="2160"/>
        <w:outlineLvl w:val="2"/>
        <w:rPr>
          <w:rFonts w:eastAsia="Times New Roman" w:cs="Times New Roman"/>
          <w:b/>
          <w:bCs/>
        </w:rPr>
      </w:pPr>
      <w:r w:rsidRPr="00E076BF">
        <w:rPr>
          <w:rFonts w:eastAsia="Times New Roman" w:cs="Times New Roman"/>
        </w:rPr>
        <w:t>In a pre-</w:t>
      </w:r>
      <w:r w:rsidRPr="00E076BF">
        <w:rPr>
          <w:rFonts w:eastAsia="Times New Roman" w:cs="Arial"/>
          <w:i/>
          <w:iCs/>
          <w:szCs w:val="22"/>
        </w:rPr>
        <w:t>Melendez-Diaz</w:t>
      </w:r>
      <w:r w:rsidRPr="00E076BF">
        <w:rPr>
          <w:rFonts w:eastAsia="Times New Roman" w:cs="Times New Roman"/>
        </w:rPr>
        <w:t xml:space="preserve"> case, the North Carolina Court of Appeals cited a now discredited North Carolina Supreme Court case and held that a 911 event log was a nontestimonial business record.</w:t>
      </w:r>
      <w:r w:rsidRPr="001A52FE">
        <w:rPr>
          <w:rFonts w:eastAsia="Times New Roman" w:cs="Arial"/>
          <w:color w:val="000000"/>
          <w:szCs w:val="22"/>
          <w:vertAlign w:val="superscript"/>
        </w:rPr>
        <w:footnoteReference w:id="92"/>
      </w:r>
      <w:r w:rsidRPr="00E076BF">
        <w:rPr>
          <w:rFonts w:eastAsia="Times New Roman" w:cs="Times New Roman"/>
        </w:rPr>
        <w:t xml:space="preserve"> The log detailed the timeline of a 911 call and the law enforcement response to it.</w:t>
      </w:r>
      <w:r w:rsidRPr="001A52FE">
        <w:rPr>
          <w:rFonts w:eastAsia="Times New Roman" w:cs="Arial"/>
          <w:color w:val="000000"/>
          <w:szCs w:val="22"/>
          <w:vertAlign w:val="superscript"/>
        </w:rPr>
        <w:footnoteReference w:id="93"/>
      </w:r>
      <w:r w:rsidRPr="00E076BF">
        <w:rPr>
          <w:rFonts w:eastAsia="Times New Roman" w:cs="Times New Roman"/>
        </w:rPr>
        <w:t xml:space="preserve"> To the extent that such a log is kept for administrative purposes and not to establish guilt at trial, the logs may be nontestimonial even after </w:t>
      </w:r>
      <w:r w:rsidRPr="00E076BF">
        <w:rPr>
          <w:rFonts w:eastAsia="Times New Roman" w:cs="Arial"/>
          <w:i/>
          <w:iCs/>
          <w:szCs w:val="22"/>
        </w:rPr>
        <w:t>Melendez-Diaz</w:t>
      </w:r>
      <w:r w:rsidRPr="00E076BF">
        <w:rPr>
          <w:rFonts w:eastAsia="Times New Roman" w:cs="Arial"/>
          <w:iCs/>
          <w:szCs w:val="22"/>
        </w:rPr>
        <w:t xml:space="preserve">. </w:t>
      </w:r>
      <w:r w:rsidRPr="00E076BF">
        <w:rPr>
          <w:rFonts w:eastAsia="Times New Roman" w:cs="Times New Roman"/>
        </w:rPr>
        <w:t>However, if such logs are determined to be like police reports, they probably will be held to be testimonial.</w:t>
      </w:r>
      <w:r w:rsidRPr="001A52FE">
        <w:rPr>
          <w:rFonts w:eastAsia="Times New Roman" w:cs="Arial"/>
          <w:color w:val="000000"/>
          <w:szCs w:val="22"/>
          <w:vertAlign w:val="superscript"/>
        </w:rPr>
        <w:footnoteReference w:id="94"/>
      </w:r>
    </w:p>
    <w:p w14:paraId="56CC2363" w14:textId="02D0BED2" w:rsidR="00593126" w:rsidRDefault="00593126" w:rsidP="00296C8F">
      <w:pPr>
        <w:pStyle w:val="Heading3"/>
        <w:numPr>
          <w:ilvl w:val="0"/>
          <w:numId w:val="111"/>
        </w:numPr>
        <w:ind w:left="2160" w:hanging="720"/>
        <w:rPr>
          <w:rFonts w:eastAsia="Times New Roman"/>
        </w:rPr>
      </w:pPr>
      <w:r w:rsidRPr="001A52FE">
        <w:rPr>
          <w:rFonts w:eastAsia="Times New Roman"/>
        </w:rPr>
        <w:t>Private Security Firm Records.</w:t>
      </w:r>
    </w:p>
    <w:p w14:paraId="54C5F9CE" w14:textId="44CF1101" w:rsidR="00593126" w:rsidRPr="00E076BF" w:rsidRDefault="00593126" w:rsidP="00593126">
      <w:pPr>
        <w:ind w:left="2160"/>
        <w:outlineLvl w:val="2"/>
        <w:rPr>
          <w:rFonts w:eastAsia="Times New Roman" w:cs="Times New Roman"/>
          <w:b/>
          <w:bCs/>
        </w:rPr>
      </w:pPr>
      <w:r w:rsidRPr="00E076BF">
        <w:rPr>
          <w:rFonts w:eastAsia="Times New Roman" w:cs="Times New Roman"/>
        </w:rPr>
        <w:t xml:space="preserve">In </w:t>
      </w:r>
      <w:r w:rsidRPr="00E076BF">
        <w:rPr>
          <w:rFonts w:eastAsia="Times New Roman" w:cs="Arial"/>
          <w:i/>
          <w:iCs/>
          <w:szCs w:val="22"/>
        </w:rPr>
        <w:t>State</w:t>
      </w:r>
      <w:r w:rsidRPr="00E076BF">
        <w:rPr>
          <w:rFonts w:eastAsia="Times New Roman" w:cs="Times New Roman"/>
        </w:rPr>
        <w:t xml:space="preserve"> </w:t>
      </w:r>
      <w:r w:rsidRPr="00E076BF">
        <w:rPr>
          <w:rFonts w:eastAsia="Times New Roman" w:cs="Arial"/>
          <w:i/>
          <w:iCs/>
          <w:szCs w:val="22"/>
        </w:rPr>
        <w:t>v.</w:t>
      </w:r>
      <w:r w:rsidRPr="00E076BF">
        <w:rPr>
          <w:rFonts w:eastAsia="Times New Roman" w:cs="Times New Roman"/>
        </w:rPr>
        <w:t xml:space="preserve"> </w:t>
      </w:r>
      <w:r w:rsidRPr="00E076BF">
        <w:rPr>
          <w:rFonts w:eastAsia="Times New Roman" w:cs="Arial"/>
          <w:i/>
          <w:iCs/>
          <w:szCs w:val="22"/>
        </w:rPr>
        <w:t>Hewson</w:t>
      </w:r>
      <w:r w:rsidRPr="00E076BF">
        <w:rPr>
          <w:rFonts w:eastAsia="Times New Roman" w:cs="Times New Roman"/>
        </w:rPr>
        <w:t>,</w:t>
      </w:r>
      <w:r w:rsidRPr="001A52FE">
        <w:rPr>
          <w:rFonts w:eastAsia="Times New Roman" w:cs="Arial"/>
          <w:color w:val="000000"/>
          <w:szCs w:val="22"/>
          <w:vertAlign w:val="superscript"/>
        </w:rPr>
        <w:footnoteReference w:id="95"/>
      </w:r>
      <w:r w:rsidRPr="00E076BF">
        <w:rPr>
          <w:rFonts w:eastAsia="Times New Roman" w:cs="Times New Roman"/>
        </w:rPr>
        <w:t xml:space="preserve"> relying again on the same discredited North Carolina Supreme Court case, the North Carolina Court of Appeals held that a “pass on information </w:t>
      </w:r>
      <w:proofErr w:type="spellStart"/>
      <w:r w:rsidRPr="00E076BF">
        <w:rPr>
          <w:rFonts w:eastAsia="Times New Roman" w:cs="Times New Roman"/>
        </w:rPr>
        <w:t>form</w:t>
      </w:r>
      <w:proofErr w:type="spellEnd"/>
      <w:r w:rsidRPr="00E076BF">
        <w:rPr>
          <w:rFonts w:eastAsia="Times New Roman" w:cs="Times New Roman"/>
        </w:rPr>
        <w:t xml:space="preserve">” used by security guards in the victim’s neighborhood was a nontestimonial business record. The forms were used by the guards to stay informed about neighborhood events. Analysis of the testimonial nature of such records after </w:t>
      </w:r>
      <w:r w:rsidRPr="00E076BF">
        <w:rPr>
          <w:rFonts w:eastAsia="Times New Roman" w:cs="Arial"/>
          <w:i/>
          <w:iCs/>
          <w:szCs w:val="22"/>
        </w:rPr>
        <w:t>Melendez-Diaz</w:t>
      </w:r>
      <w:r w:rsidRPr="00E076BF">
        <w:rPr>
          <w:rFonts w:eastAsia="Times New Roman" w:cs="Times New Roman"/>
        </w:rPr>
        <w:t xml:space="preserve"> likely will proceed as with 911 event logs.</w:t>
      </w:r>
    </w:p>
    <w:p w14:paraId="09473F07" w14:textId="47F98414" w:rsidR="00593126" w:rsidRDefault="00593126" w:rsidP="00296C8F">
      <w:pPr>
        <w:pStyle w:val="Heading3"/>
        <w:numPr>
          <w:ilvl w:val="0"/>
          <w:numId w:val="111"/>
        </w:numPr>
        <w:ind w:left="2160" w:hanging="720"/>
        <w:rPr>
          <w:rFonts w:eastAsia="Times New Roman"/>
        </w:rPr>
      </w:pPr>
      <w:r w:rsidRPr="001A52FE">
        <w:rPr>
          <w:rFonts w:eastAsia="Times New Roman"/>
        </w:rPr>
        <w:t>Detention Center Incident Reports.</w:t>
      </w:r>
    </w:p>
    <w:p w14:paraId="4A0D450D" w14:textId="70766680" w:rsidR="00593126" w:rsidRPr="00E076BF" w:rsidRDefault="00593126" w:rsidP="00593126">
      <w:pPr>
        <w:ind w:left="2160"/>
        <w:outlineLvl w:val="2"/>
        <w:rPr>
          <w:rFonts w:eastAsia="Times New Roman" w:cs="Times New Roman"/>
          <w:b/>
          <w:bCs/>
        </w:rPr>
      </w:pPr>
      <w:r w:rsidRPr="00E076BF">
        <w:rPr>
          <w:rFonts w:eastAsia="Times New Roman" w:cs="Times New Roman"/>
        </w:rPr>
        <w:t>In a pre-</w:t>
      </w:r>
      <w:r w:rsidRPr="00E076BF">
        <w:rPr>
          <w:rFonts w:eastAsia="Times New Roman" w:cs="Arial"/>
          <w:i/>
          <w:iCs/>
          <w:szCs w:val="22"/>
        </w:rPr>
        <w:t>Melendez-Diaz</w:t>
      </w:r>
      <w:r w:rsidRPr="00E076BF">
        <w:rPr>
          <w:rFonts w:eastAsia="Times New Roman" w:cs="Arial"/>
          <w:iCs/>
          <w:szCs w:val="22"/>
        </w:rPr>
        <w:t xml:space="preserve"> </w:t>
      </w:r>
      <w:r w:rsidRPr="00E076BF">
        <w:rPr>
          <w:rFonts w:eastAsia="Times New Roman" w:cs="Times New Roman"/>
        </w:rPr>
        <w:t>case, the North Carolina Supreme Court held that detention center incident reports were nontestimonial.</w:t>
      </w:r>
      <w:r w:rsidRPr="001A52FE">
        <w:rPr>
          <w:rFonts w:eastAsia="Times New Roman" w:cs="Arial"/>
          <w:color w:val="000000"/>
          <w:szCs w:val="22"/>
          <w:vertAlign w:val="superscript"/>
        </w:rPr>
        <w:footnoteReference w:id="96"/>
      </w:r>
      <w:r w:rsidRPr="00E076BF">
        <w:rPr>
          <w:rFonts w:eastAsia="Times New Roman" w:cs="Times New Roman"/>
        </w:rPr>
        <w:t xml:space="preserve"> The court reasoned that the reports were created as internal documents concerning administration of the detention center, not for use in later legal proceedings. This analysis appears consistent with classifying business records “created for the administration of an entity’s affairs” as nontestimonial and those created for the purpose of establishing or proving a fact at trial as testimonial</w:t>
      </w:r>
      <w:r w:rsidRPr="00E076BF">
        <w:rPr>
          <w:rFonts w:eastAsia="Times New Roman" w:cs="Arial"/>
          <w:iCs/>
          <w:szCs w:val="22"/>
        </w:rPr>
        <w:t>.</w:t>
      </w:r>
      <w:r w:rsidRPr="001A52FE">
        <w:rPr>
          <w:rFonts w:eastAsia="Times New Roman" w:cs="Arial"/>
          <w:color w:val="000000"/>
          <w:szCs w:val="22"/>
          <w:vertAlign w:val="superscript"/>
        </w:rPr>
        <w:footnoteReference w:id="97"/>
      </w:r>
      <w:r>
        <w:rPr>
          <w:rFonts w:eastAsia="Times New Roman" w:cs="Arial"/>
          <w:iCs/>
          <w:szCs w:val="22"/>
        </w:rPr>
        <w:t>T</w:t>
      </w:r>
    </w:p>
    <w:p w14:paraId="5F66ECD0" w14:textId="51148B84" w:rsidR="00593126" w:rsidRDefault="00593126" w:rsidP="00296C8F">
      <w:pPr>
        <w:pStyle w:val="Heading3"/>
        <w:numPr>
          <w:ilvl w:val="0"/>
          <w:numId w:val="111"/>
        </w:numPr>
        <w:ind w:left="2160" w:hanging="720"/>
        <w:rPr>
          <w:rFonts w:eastAsia="Times New Roman"/>
        </w:rPr>
      </w:pPr>
      <w:r w:rsidRPr="001A52FE">
        <w:rPr>
          <w:rFonts w:eastAsia="Times New Roman"/>
        </w:rPr>
        <w:lastRenderedPageBreak/>
        <w:t>Certificates of Nonexistence of Records.</w:t>
      </w:r>
    </w:p>
    <w:p w14:paraId="7A1EEF2B" w14:textId="0D49B30F" w:rsidR="00593126" w:rsidRPr="00E076BF" w:rsidRDefault="00593126" w:rsidP="00593126">
      <w:pPr>
        <w:ind w:left="2160"/>
        <w:outlineLvl w:val="2"/>
        <w:rPr>
          <w:rFonts w:eastAsia="Times New Roman" w:cs="Times New Roman"/>
          <w:b/>
          <w:bCs/>
        </w:rPr>
      </w:pPr>
      <w:r w:rsidRPr="00E076BF">
        <w:rPr>
          <w:rFonts w:eastAsia="Times New Roman" w:cs="Arial"/>
          <w:i/>
          <w:iCs/>
          <w:szCs w:val="22"/>
        </w:rPr>
        <w:t>Melendez-Diaz</w:t>
      </w:r>
      <w:r w:rsidRPr="00E076BF">
        <w:rPr>
          <w:rFonts w:eastAsia="Times New Roman" w:cs="Arial"/>
          <w:iCs/>
          <w:szCs w:val="22"/>
        </w:rPr>
        <w:t xml:space="preserve"> </w:t>
      </w:r>
      <w:r w:rsidRPr="00E076BF">
        <w:rPr>
          <w:rFonts w:eastAsia="Times New Roman" w:cs="Times New Roman"/>
        </w:rPr>
        <w:t>indicates that certificates of nonexistence of records are testimonial.</w:t>
      </w:r>
      <w:r w:rsidRPr="001A52FE">
        <w:rPr>
          <w:rFonts w:eastAsia="Times New Roman" w:cs="Arial"/>
          <w:color w:val="000000"/>
          <w:szCs w:val="22"/>
          <w:vertAlign w:val="superscript"/>
        </w:rPr>
        <w:footnoteReference w:id="98"/>
      </w:r>
      <w:r w:rsidRPr="00E076BF">
        <w:rPr>
          <w:rFonts w:eastAsia="Times New Roman" w:cs="Times New Roman"/>
        </w:rPr>
        <w:t xml:space="preserve"> An example of a certificate of nonexistence of record (from an identity fraud case involving an allegedly fraudulent driver’s license) is a certificate from a DMV employee stating that there is no record of the defendant ever having been issued a North Carolina driver’s license.</w:t>
      </w:r>
    </w:p>
    <w:p w14:paraId="7AE35E16" w14:textId="5CD61571" w:rsidR="00593126" w:rsidRDefault="00593126" w:rsidP="00296C8F">
      <w:pPr>
        <w:pStyle w:val="Heading3"/>
        <w:numPr>
          <w:ilvl w:val="0"/>
          <w:numId w:val="111"/>
        </w:numPr>
        <w:ind w:left="2160" w:hanging="720"/>
        <w:rPr>
          <w:rFonts w:eastAsia="Times New Roman"/>
        </w:rPr>
      </w:pPr>
      <w:r w:rsidRPr="001A52FE">
        <w:rPr>
          <w:rFonts w:eastAsia="Times New Roman"/>
        </w:rPr>
        <w:t>Department of Motor Vehicle (DMV) Records.</w:t>
      </w:r>
    </w:p>
    <w:p w14:paraId="0FCA3099" w14:textId="0A97C168" w:rsidR="00593126" w:rsidRPr="00E076BF" w:rsidRDefault="00593126" w:rsidP="00593126">
      <w:pPr>
        <w:ind w:left="2160"/>
        <w:outlineLvl w:val="2"/>
        <w:rPr>
          <w:rFonts w:eastAsia="Times New Roman" w:cs="Times New Roman"/>
          <w:b/>
          <w:bCs/>
        </w:rPr>
      </w:pPr>
      <w:r w:rsidRPr="00E076BF">
        <w:rPr>
          <w:rFonts w:eastAsia="Times New Roman" w:cs="Times New Roman"/>
        </w:rPr>
        <w:t>The North Carolina Court of Appeals has held, in a driving while license revoked case, that certain DMV records were nontestimonial.</w:t>
      </w:r>
      <w:r w:rsidRPr="001A52FE">
        <w:rPr>
          <w:rFonts w:eastAsia="Times New Roman" w:cs="Times New Roman"/>
          <w:vertAlign w:val="superscript"/>
        </w:rPr>
        <w:footnoteReference w:id="99"/>
      </w:r>
      <w:r w:rsidRPr="00E076BF">
        <w:rPr>
          <w:rFonts w:eastAsia="Times New Roman" w:cs="Times New Roman"/>
        </w:rPr>
        <w:t xml:space="preserve"> In that case, the documents at issue included a copy of the defendant’s driving record, certified by the DMV Commissioner; two orders indefinitely suspending his drivers’ license; and a document attached to the suspension orders and signed by a DMV employee and the DMV Commissioner. In the last document, the DMV employee certified that the suspension orders were mailed to the defendant on the dates as stated in the orders, and the DMV Commissioner certified that the orders were accurate copies of the records on file with DMV. The court held that the records, which were created by the DMV during the routine administration of its affairs and in compliance with its statutory obligations to maintain records of drivers’ license revocations and to provide notice to motorists whose driving privileges have been revoked, were nontestimonial. </w:t>
      </w:r>
    </w:p>
    <w:p w14:paraId="56217AB0" w14:textId="0B5EBA80" w:rsidR="00593126" w:rsidRDefault="00593126" w:rsidP="00296C8F">
      <w:pPr>
        <w:pStyle w:val="Heading3"/>
        <w:numPr>
          <w:ilvl w:val="0"/>
          <w:numId w:val="111"/>
        </w:numPr>
        <w:ind w:left="2160" w:hanging="720"/>
        <w:rPr>
          <w:rFonts w:eastAsia="Times New Roman"/>
        </w:rPr>
      </w:pPr>
      <w:r w:rsidRPr="001A52FE">
        <w:rPr>
          <w:rFonts w:eastAsia="Times New Roman"/>
        </w:rPr>
        <w:t>GPS Tracking Records of Supervised Defendants.</w:t>
      </w:r>
    </w:p>
    <w:p w14:paraId="5AB70751" w14:textId="7F9D71BE" w:rsidR="00593126" w:rsidRPr="00E076BF" w:rsidRDefault="00593126" w:rsidP="00593126">
      <w:pPr>
        <w:ind w:left="2160"/>
        <w:outlineLvl w:val="2"/>
        <w:rPr>
          <w:rFonts w:eastAsia="Times New Roman" w:cs="Times New Roman"/>
          <w:b/>
          <w:bCs/>
        </w:rPr>
      </w:pPr>
      <w:r w:rsidRPr="00E076BF">
        <w:rPr>
          <w:rFonts w:eastAsia="Times New Roman" w:cs="Times New Roman"/>
        </w:rPr>
        <w:t>In a sex offender residential restriction case, the North Carolina Court of Appeals held that GPS tracking reports generated in connection with electronic monitoring of a defendant, who was on post-release supervision for a prior conviction, were nontestimonial business records.</w:t>
      </w:r>
      <w:r w:rsidRPr="001A52FE">
        <w:rPr>
          <w:rFonts w:eastAsia="Times New Roman" w:cs="Times New Roman"/>
          <w:vertAlign w:val="superscript"/>
        </w:rPr>
        <w:footnoteReference w:id="100"/>
      </w:r>
      <w:r w:rsidRPr="00E076BF">
        <w:rPr>
          <w:rFonts w:eastAsia="Times New Roman" w:cs="Times New Roman"/>
        </w:rPr>
        <w:t xml:space="preserve"> The court reasoned: “[T]he GPS evidence … was not generated purely for the purpose of establishing some fact at trial. Instead, it was generated to monitor defendant’s compliance with his post-release supervision conditions.”</w:t>
      </w:r>
      <w:r w:rsidRPr="001A52FE">
        <w:rPr>
          <w:rFonts w:eastAsia="Times New Roman" w:cs="Times New Roman"/>
          <w:vertAlign w:val="superscript"/>
        </w:rPr>
        <w:footnoteReference w:id="101"/>
      </w:r>
    </w:p>
    <w:p w14:paraId="272CEF20" w14:textId="372819DA" w:rsidR="00593126" w:rsidRDefault="00593126" w:rsidP="00296C8F">
      <w:pPr>
        <w:pStyle w:val="Heading3"/>
        <w:numPr>
          <w:ilvl w:val="0"/>
          <w:numId w:val="111"/>
        </w:numPr>
        <w:ind w:left="2160" w:hanging="720"/>
        <w:rPr>
          <w:rFonts w:eastAsia="Times New Roman"/>
        </w:rPr>
      </w:pPr>
      <w:r w:rsidRPr="001A52FE">
        <w:rPr>
          <w:rFonts w:eastAsia="Times New Roman"/>
        </w:rPr>
        <w:t>Court Records.</w:t>
      </w:r>
    </w:p>
    <w:p w14:paraId="3AA08EEF" w14:textId="5D6C84BB" w:rsidR="00593126" w:rsidRPr="00E076BF" w:rsidRDefault="00593126" w:rsidP="00593126">
      <w:pPr>
        <w:ind w:left="2160"/>
        <w:outlineLvl w:val="2"/>
        <w:rPr>
          <w:rFonts w:eastAsia="Times New Roman" w:cs="Times New Roman"/>
          <w:b/>
          <w:bCs/>
        </w:rPr>
      </w:pPr>
      <w:r w:rsidRPr="00E076BF">
        <w:rPr>
          <w:rFonts w:eastAsia="Times New Roman" w:cs="Times New Roman"/>
        </w:rPr>
        <w:t>The United States Supreme Court has suggested that statements regarding a prior trial that do not relate to the defendant’s guilt or innocence are nontestimonial.</w:t>
      </w:r>
      <w:r w:rsidRPr="001A52FE">
        <w:rPr>
          <w:rFonts w:eastAsia="Times New Roman" w:cs="Arial"/>
          <w:color w:val="000000"/>
          <w:szCs w:val="22"/>
          <w:vertAlign w:val="superscript"/>
        </w:rPr>
        <w:footnoteReference w:id="102"/>
      </w:r>
    </w:p>
    <w:p w14:paraId="3C983EDE" w14:textId="77777777" w:rsidR="00593126" w:rsidRPr="001A52FE" w:rsidRDefault="00593126" w:rsidP="00296C8F">
      <w:pPr>
        <w:widowControl w:val="0"/>
        <w:suppressAutoHyphens/>
        <w:autoSpaceDE w:val="0"/>
        <w:autoSpaceDN w:val="0"/>
        <w:adjustRightInd w:val="0"/>
        <w:ind w:left="2160" w:hanging="720"/>
        <w:textAlignment w:val="center"/>
        <w:rPr>
          <w:rFonts w:eastAsia="Times New Roman" w:cs="Arial"/>
          <w:iCs/>
          <w:color w:val="000000"/>
          <w:szCs w:val="22"/>
        </w:rPr>
      </w:pPr>
    </w:p>
    <w:p w14:paraId="38651997" w14:textId="1A543392" w:rsidR="00593126" w:rsidRPr="00296C8F" w:rsidRDefault="00593126" w:rsidP="00296C8F">
      <w:pPr>
        <w:pStyle w:val="ListParagraph"/>
        <w:widowControl w:val="0"/>
        <w:numPr>
          <w:ilvl w:val="0"/>
          <w:numId w:val="87"/>
        </w:numPr>
        <w:suppressAutoHyphens/>
        <w:autoSpaceDE w:val="0"/>
        <w:autoSpaceDN w:val="0"/>
        <w:adjustRightInd w:val="0"/>
        <w:spacing w:after="0" w:line="240" w:lineRule="auto"/>
        <w:textAlignment w:val="center"/>
        <w:outlineLvl w:val="1"/>
        <w:rPr>
          <w:rFonts w:eastAsia="Times New Roman" w:cs="Arial"/>
          <w:i/>
          <w:iCs/>
          <w:color w:val="000000"/>
        </w:rPr>
      </w:pPr>
      <w:bookmarkStart w:id="238" w:name="_Toc223718256"/>
      <w:bookmarkStart w:id="239" w:name="_Toc223718512"/>
      <w:bookmarkStart w:id="240" w:name="_Toc223731901"/>
      <w:r w:rsidRPr="00D9302F">
        <w:rPr>
          <w:rStyle w:val="Heading2Char"/>
        </w:rPr>
        <w:t>Chain of Custody Evidence</w:t>
      </w:r>
      <w:r w:rsidRPr="00296C8F">
        <w:rPr>
          <w:rFonts w:eastAsia="Times New Roman" w:cs="Arial"/>
          <w:b/>
          <w:color w:val="000000"/>
        </w:rPr>
        <w:t>.</w:t>
      </w:r>
      <w:bookmarkEnd w:id="238"/>
      <w:bookmarkEnd w:id="239"/>
      <w:bookmarkEnd w:id="240"/>
      <w:r w:rsidRPr="00296C8F">
        <w:rPr>
          <w:rFonts w:eastAsia="Times New Roman" w:cs="Arial"/>
          <w:i/>
          <w:iCs/>
          <w:color w:val="000000"/>
        </w:rPr>
        <w:t xml:space="preserve"> </w:t>
      </w:r>
    </w:p>
    <w:p w14:paraId="37B08E89" w14:textId="64D41CE3" w:rsidR="00593126" w:rsidRPr="007C47CC" w:rsidRDefault="00593126" w:rsidP="00AB225B">
      <w:pPr>
        <w:ind w:left="1440"/>
        <w:rPr>
          <w:rFonts w:eastAsia="Times New Roman" w:cs="Arial"/>
          <w:i/>
          <w:iCs/>
          <w:color w:val="000000"/>
        </w:rPr>
      </w:pPr>
      <w:r w:rsidRPr="007C47CC">
        <w:rPr>
          <w:rFonts w:eastAsia="Times New Roman" w:cs="Arial"/>
          <w:i/>
          <w:iCs/>
        </w:rPr>
        <w:t xml:space="preserve">Melendez-Diaz </w:t>
      </w:r>
      <w:r w:rsidRPr="007C47CC">
        <w:rPr>
          <w:rFonts w:eastAsia="Times New Roman"/>
        </w:rPr>
        <w:t>indicates that chain of custody information is testimonial.</w:t>
      </w:r>
      <w:r w:rsidRPr="001A52FE">
        <w:rPr>
          <w:rFonts w:cs="Arial"/>
          <w:color w:val="000000"/>
          <w:vertAlign w:val="superscript"/>
        </w:rPr>
        <w:footnoteReference w:id="103"/>
      </w:r>
      <w:r w:rsidRPr="007C47CC">
        <w:rPr>
          <w:rFonts w:eastAsia="Times New Roman"/>
        </w:rPr>
        <w:t xml:space="preserve"> However, the majority took issue with the dissent’s assertion that “anyone whose testimony may be relevant in establishing the chain of custody … must appear in person as part of the prosecution’s case.”</w:t>
      </w:r>
      <w:r w:rsidRPr="001A52FE">
        <w:rPr>
          <w:rFonts w:cs="Arial"/>
          <w:color w:val="000000"/>
          <w:vertAlign w:val="superscript"/>
        </w:rPr>
        <w:footnoteReference w:id="104"/>
      </w:r>
      <w:r w:rsidRPr="007C47CC">
        <w:rPr>
          <w:rFonts w:eastAsia="Times New Roman" w:cs="Arial"/>
          <w:color w:val="000000"/>
          <w:vertAlign w:val="superscript"/>
        </w:rPr>
        <w:t xml:space="preserve"> </w:t>
      </w:r>
      <w:r w:rsidRPr="007C47CC">
        <w:rPr>
          <w:rFonts w:eastAsia="Times New Roman"/>
        </w:rPr>
        <w:t>It noted that while the state has to establish a chain of custody, gaps go to the weight of the evidence, not its admissibility.</w:t>
      </w:r>
      <w:r w:rsidRPr="001A52FE">
        <w:rPr>
          <w:rFonts w:cs="Arial"/>
          <w:color w:val="000000"/>
          <w:vertAlign w:val="superscript"/>
        </w:rPr>
        <w:footnoteReference w:id="105"/>
      </w:r>
      <w:r w:rsidRPr="007C47CC">
        <w:rPr>
          <w:rFonts w:eastAsia="Times New Roman"/>
        </w:rPr>
        <w:t xml:space="preserve"> It concluded: “It is up to the prosecution to decide what steps in </w:t>
      </w:r>
      <w:r w:rsidRPr="007C47CC">
        <w:rPr>
          <w:rFonts w:eastAsia="Times New Roman"/>
        </w:rPr>
        <w:lastRenderedPageBreak/>
        <w:t xml:space="preserve">the chain of custody are so crucial as to require evidence; but what testimony </w:t>
      </w:r>
      <w:r w:rsidRPr="007C47CC">
        <w:rPr>
          <w:rFonts w:eastAsia="Times New Roman" w:cs="Arial"/>
          <w:i/>
          <w:iCs/>
        </w:rPr>
        <w:t xml:space="preserve">is </w:t>
      </w:r>
      <w:r w:rsidRPr="007C47CC">
        <w:rPr>
          <w:rFonts w:eastAsia="Times New Roman"/>
        </w:rPr>
        <w:t>introduced must (if the defendant objects) be introduced live.”</w:t>
      </w:r>
      <w:r w:rsidRPr="001A52FE">
        <w:rPr>
          <w:rFonts w:cs="Arial"/>
          <w:color w:val="000000"/>
          <w:vertAlign w:val="superscript"/>
        </w:rPr>
        <w:footnoteReference w:id="106"/>
      </w:r>
      <w:r w:rsidRPr="007C47CC">
        <w:rPr>
          <w:rFonts w:eastAsia="Times New Roman"/>
        </w:rPr>
        <w:t xml:space="preserve"> This language calls into question earlier North Carolina cases suggesting that chain of custody information is nontestimonial.</w:t>
      </w:r>
      <w:r w:rsidRPr="001A52FE">
        <w:rPr>
          <w:rFonts w:cs="Arial"/>
          <w:color w:val="000000"/>
          <w:vertAlign w:val="superscript"/>
        </w:rPr>
        <w:footnoteReference w:id="107"/>
      </w:r>
    </w:p>
    <w:p w14:paraId="108DEB18" w14:textId="77777777" w:rsidR="00235E16" w:rsidRPr="00CB502D" w:rsidRDefault="00235E16" w:rsidP="00EA6585"/>
    <w:p w14:paraId="6714EB0A" w14:textId="46747416" w:rsidR="00EA6585" w:rsidRDefault="00EA6585" w:rsidP="00EA6585">
      <w:pPr>
        <w:pStyle w:val="Heading1"/>
      </w:pPr>
      <w:bookmarkStart w:id="241" w:name="_Toc427840937"/>
      <w:bookmarkStart w:id="242" w:name="_Toc223718257"/>
      <w:bookmarkStart w:id="243" w:name="_Toc223718513"/>
      <w:bookmarkStart w:id="244" w:name="_Toc223731902"/>
      <w:bookmarkStart w:id="245" w:name="Exceptions"/>
      <w:bookmarkStart w:id="246" w:name="_Toc398033829"/>
      <w:bookmarkEnd w:id="241"/>
      <w:r w:rsidRPr="003D3377">
        <w:t>Forensic Reports</w:t>
      </w:r>
      <w:r>
        <w:t>.</w:t>
      </w:r>
      <w:bookmarkEnd w:id="242"/>
      <w:bookmarkEnd w:id="243"/>
      <w:bookmarkEnd w:id="244"/>
    </w:p>
    <w:p w14:paraId="347FAE94" w14:textId="2360CB31" w:rsidR="00EA6585" w:rsidRPr="00EA6585" w:rsidRDefault="00EA6585" w:rsidP="00AB225B">
      <w:pPr>
        <w:ind w:left="720"/>
        <w:rPr>
          <w:rFonts w:eastAsia="Calibri" w:cs="Arial"/>
          <w:b/>
          <w:szCs w:val="22"/>
        </w:rPr>
      </w:pPr>
      <w:r w:rsidRPr="00EA6585">
        <w:rPr>
          <w:rFonts w:eastAsia="Times New Roman"/>
        </w:rPr>
        <w:t>Because of the ubiquitous nature of forensic evidence in criminal cases, a lot of post-</w:t>
      </w:r>
      <w:r w:rsidRPr="00EA6585">
        <w:rPr>
          <w:rFonts w:eastAsia="Times New Roman"/>
          <w:i/>
        </w:rPr>
        <w:t>Crawford</w:t>
      </w:r>
      <w:r w:rsidRPr="00EA6585">
        <w:rPr>
          <w:rFonts w:eastAsia="Times New Roman"/>
        </w:rPr>
        <w:t xml:space="preserve"> litigation has focused on the admissibility of forensic reports, such as chemical analysts’ affidavits, drug test reports, autopsy reports, DNA reports and the like. As noted above, </w:t>
      </w:r>
      <w:r w:rsidRPr="00EA6585">
        <w:rPr>
          <w:rFonts w:eastAsia="Calibri" w:cs="Arial"/>
          <w:bCs/>
          <w:i/>
          <w:iCs/>
          <w:color w:val="000000"/>
          <w:szCs w:val="22"/>
        </w:rPr>
        <w:t>Melendez-Diaz</w:t>
      </w:r>
      <w:r w:rsidRPr="00EA6585">
        <w:rPr>
          <w:rFonts w:eastAsia="Calibri" w:cs="Arial"/>
          <w:bCs/>
          <w:color w:val="000000"/>
          <w:szCs w:val="22"/>
        </w:rPr>
        <w:t xml:space="preserve"> was the United States Supreme Court’s first application of the </w:t>
      </w:r>
      <w:r w:rsidRPr="00EA6585">
        <w:rPr>
          <w:rFonts w:eastAsia="Calibri" w:cs="Arial"/>
          <w:bCs/>
          <w:i/>
          <w:iCs/>
          <w:color w:val="000000"/>
          <w:szCs w:val="22"/>
        </w:rPr>
        <w:t>Crawford</w:t>
      </w:r>
      <w:r w:rsidRPr="00EA6585">
        <w:rPr>
          <w:rFonts w:eastAsia="Calibri" w:cs="Arial"/>
          <w:bCs/>
          <w:color w:val="000000"/>
          <w:szCs w:val="22"/>
        </w:rPr>
        <w:t xml:space="preserve"> rule to forensic reports. </w:t>
      </w:r>
      <w:r w:rsidRPr="00EA6585">
        <w:rPr>
          <w:rFonts w:eastAsia="Times New Roman"/>
        </w:rPr>
        <w:t xml:space="preserve">The sections that follow explore how </w:t>
      </w:r>
      <w:r w:rsidRPr="00EA6585">
        <w:rPr>
          <w:rFonts w:eastAsia="Times New Roman"/>
          <w:i/>
        </w:rPr>
        <w:t>Crawford</w:t>
      </w:r>
      <w:r w:rsidRPr="00EA6585">
        <w:rPr>
          <w:rFonts w:eastAsia="Times New Roman"/>
        </w:rPr>
        <w:t xml:space="preserve"> applies to this type of evidence.</w:t>
      </w:r>
    </w:p>
    <w:p w14:paraId="215933DE" w14:textId="77777777" w:rsidR="00EA6585" w:rsidRPr="00F80310" w:rsidRDefault="00EA6585" w:rsidP="00EA6585">
      <w:pPr>
        <w:ind w:left="720"/>
        <w:rPr>
          <w:rFonts w:eastAsia="Times New Roman" w:cs="Times New Roman"/>
        </w:rPr>
      </w:pPr>
    </w:p>
    <w:p w14:paraId="06325344" w14:textId="54EAE986" w:rsidR="00EA6585" w:rsidRPr="00EA6585" w:rsidRDefault="00EA6585" w:rsidP="00EA6585">
      <w:pPr>
        <w:pStyle w:val="ListParagraph"/>
        <w:numPr>
          <w:ilvl w:val="0"/>
          <w:numId w:val="105"/>
        </w:numPr>
        <w:spacing w:after="0" w:line="240" w:lineRule="auto"/>
        <w:ind w:hanging="720"/>
        <w:outlineLvl w:val="2"/>
        <w:rPr>
          <w:rFonts w:ascii="Arial" w:eastAsiaTheme="minorHAnsi" w:hAnsi="Arial" w:cs="Arial"/>
          <w:b/>
          <w:color w:val="000000"/>
        </w:rPr>
      </w:pPr>
      <w:bookmarkStart w:id="247" w:name="_Toc223718258"/>
      <w:bookmarkStart w:id="248" w:name="_Toc223718514"/>
      <w:bookmarkStart w:id="249" w:name="_Toc223731903"/>
      <w:r w:rsidRPr="00EA6585">
        <w:rPr>
          <w:rStyle w:val="Heading2Char"/>
          <w:rFonts w:eastAsiaTheme="minorHAnsi"/>
        </w:rPr>
        <w:t>Whether a Forensic Report is Offered for its Truth</w:t>
      </w:r>
      <w:bookmarkEnd w:id="247"/>
      <w:bookmarkEnd w:id="248"/>
      <w:bookmarkEnd w:id="249"/>
      <w:r w:rsidRPr="00EA6585">
        <w:rPr>
          <w:rFonts w:ascii="Arial" w:eastAsia="Times New Roman" w:hAnsi="Arial"/>
          <w:b/>
          <w:bCs/>
        </w:rPr>
        <w:t xml:space="preserve">. </w:t>
      </w:r>
    </w:p>
    <w:p w14:paraId="762785CA" w14:textId="21DF14EC" w:rsidR="00EA6585" w:rsidRDefault="00EA6585" w:rsidP="00EA6585">
      <w:pPr>
        <w:ind w:left="1440"/>
        <w:rPr>
          <w:rFonts w:eastAsia="Times New Roman"/>
        </w:rPr>
      </w:pPr>
      <w:r w:rsidRPr="00017BC3">
        <w:rPr>
          <w:rFonts w:eastAsia="Times New Roman"/>
        </w:rPr>
        <w:t>As with other evidence, a forensic report implicates the Confrontation Clause only if it is offered for its truth against the defendant. In practice, this prerequisite is often satisfied because the evidentiary value of a forensic report usually depends directly upon its contents being true and incriminating.</w:t>
      </w:r>
      <w:r w:rsidRPr="00F80310">
        <w:rPr>
          <w:rFonts w:cs="Arial"/>
          <w:vertAlign w:val="superscript"/>
        </w:rPr>
        <w:footnoteReference w:id="108"/>
      </w:r>
      <w:r w:rsidRPr="00017BC3">
        <w:rPr>
          <w:rFonts w:eastAsia="Times New Roman"/>
        </w:rPr>
        <w:t xml:space="preserve"> Additionally, in </w:t>
      </w:r>
      <w:r w:rsidRPr="00017BC3">
        <w:rPr>
          <w:rFonts w:eastAsia="Times New Roman"/>
          <w:i/>
          <w:iCs/>
        </w:rPr>
        <w:t>Smith v. Arizona</w:t>
      </w:r>
      <w:r w:rsidRPr="00F80310">
        <w:rPr>
          <w:rFonts w:cs="Arial"/>
          <w:vertAlign w:val="superscript"/>
        </w:rPr>
        <w:footnoteReference w:id="109"/>
      </w:r>
      <w:r w:rsidRPr="00017BC3">
        <w:rPr>
          <w:rFonts w:eastAsia="Times New Roman"/>
          <w:i/>
          <w:iCs/>
        </w:rPr>
        <w:t xml:space="preserve"> </w:t>
      </w:r>
      <w:r w:rsidRPr="00017BC3">
        <w:rPr>
          <w:rFonts w:eastAsia="Times New Roman"/>
        </w:rPr>
        <w:t>the United States Supreme Court rejected the not-for-the-truth rationale that for many years was most frequently used to support the introduction of a forensic report without an opportunity to confront the author: the report serving as the basis for an independent expert opinion from a substitute analyst.</w:t>
      </w:r>
      <w:r w:rsidRPr="00F80310">
        <w:rPr>
          <w:rFonts w:cs="Arial"/>
          <w:vertAlign w:val="superscript"/>
        </w:rPr>
        <w:footnoteReference w:id="110"/>
      </w:r>
      <w:r w:rsidRPr="00017BC3">
        <w:rPr>
          <w:rFonts w:eastAsia="Times New Roman"/>
        </w:rPr>
        <w:t xml:space="preserve"> Nevertheless, it is conceivable that a forensic report could be offered for a purpose other than its truth, such as to explain </w:t>
      </w:r>
      <w:r>
        <w:rPr>
          <w:rFonts w:eastAsia="Times New Roman"/>
        </w:rPr>
        <w:t>a</w:t>
      </w:r>
      <w:r w:rsidRPr="00017BC3">
        <w:rPr>
          <w:rFonts w:eastAsia="Times New Roman"/>
        </w:rPr>
        <w:t xml:space="preserve"> course of </w:t>
      </w:r>
      <w:r>
        <w:rPr>
          <w:rFonts w:eastAsia="Times New Roman"/>
        </w:rPr>
        <w:t>conduct</w:t>
      </w:r>
      <w:r w:rsidRPr="00017BC3">
        <w:rPr>
          <w:rFonts w:eastAsia="Times New Roman"/>
        </w:rPr>
        <w:t>.</w:t>
      </w:r>
    </w:p>
    <w:p w14:paraId="18C40B58" w14:textId="77777777" w:rsidR="00EA6585" w:rsidRPr="00EA6585" w:rsidRDefault="00EA6585" w:rsidP="00EA6585">
      <w:pPr>
        <w:pStyle w:val="ListParagraph"/>
        <w:numPr>
          <w:ilvl w:val="0"/>
          <w:numId w:val="105"/>
        </w:numPr>
        <w:spacing w:after="0" w:line="240" w:lineRule="auto"/>
        <w:ind w:hanging="720"/>
        <w:outlineLvl w:val="2"/>
        <w:rPr>
          <w:rFonts w:ascii="Arial" w:eastAsia="Times New Roman" w:hAnsi="Arial"/>
          <w:b/>
          <w:bCs/>
        </w:rPr>
      </w:pPr>
      <w:bookmarkStart w:id="250" w:name="_Toc223718259"/>
      <w:bookmarkStart w:id="251" w:name="_Toc223718515"/>
      <w:bookmarkStart w:id="252" w:name="_Toc223731904"/>
      <w:r w:rsidRPr="00EA6585">
        <w:rPr>
          <w:rStyle w:val="Heading2Char"/>
          <w:rFonts w:eastAsiaTheme="minorHAnsi"/>
        </w:rPr>
        <w:t>Whether a Forensic Report is Testimonial</w:t>
      </w:r>
      <w:bookmarkEnd w:id="250"/>
      <w:bookmarkEnd w:id="251"/>
      <w:bookmarkEnd w:id="252"/>
      <w:r w:rsidRPr="00EA6585">
        <w:rPr>
          <w:rFonts w:eastAsia="Times New Roman"/>
          <w:b/>
          <w:bCs/>
        </w:rPr>
        <w:t xml:space="preserve">. </w:t>
      </w:r>
    </w:p>
    <w:p w14:paraId="130CCD59" w14:textId="734E2A92" w:rsidR="00EA6585" w:rsidRPr="00EA6585" w:rsidRDefault="00EA6585" w:rsidP="00EA6585">
      <w:pPr>
        <w:ind w:left="1440"/>
        <w:rPr>
          <w:rFonts w:eastAsia="Times New Roman"/>
          <w:b/>
          <w:bCs/>
        </w:rPr>
      </w:pPr>
      <w:r w:rsidRPr="00EA6585">
        <w:rPr>
          <w:rFonts w:eastAsia="Times New Roman"/>
        </w:rPr>
        <w:t>Because forensic reports tend to be offered for their truth against the defendant, their admissibility under the Confrontation Clause usually turns on whether they are testimonial under the primary purpose test.</w:t>
      </w:r>
      <w:r w:rsidRPr="00EA6585">
        <w:rPr>
          <w:rFonts w:cs="Arial"/>
          <w:vertAlign w:val="superscript"/>
        </w:rPr>
        <w:footnoteReference w:id="111"/>
      </w:r>
      <w:r w:rsidRPr="00EA6585">
        <w:rPr>
          <w:rFonts w:eastAsia="Times New Roman"/>
        </w:rPr>
        <w:t xml:space="preserve"> By their nature,</w:t>
      </w:r>
      <w:r w:rsidRPr="00EA6585">
        <w:rPr>
          <w:rFonts w:cs="Arial"/>
          <w:vertAlign w:val="superscript"/>
        </w:rPr>
        <w:footnoteReference w:id="112"/>
      </w:r>
      <w:r w:rsidRPr="00EA6585">
        <w:rPr>
          <w:rFonts w:eastAsia="Times New Roman"/>
        </w:rPr>
        <w:t xml:space="preserve"> most forensic reports are</w:t>
      </w:r>
      <w:r w:rsidRPr="00EA6585">
        <w:rPr>
          <w:rFonts w:eastAsia="Times New Roman"/>
          <w:b/>
          <w:bCs/>
        </w:rPr>
        <w:t xml:space="preserve"> </w:t>
      </w:r>
      <w:r w:rsidRPr="00EA6585">
        <w:rPr>
          <w:rStyle w:val="Heading3Char"/>
          <w:b w:val="0"/>
          <w:bCs w:val="0"/>
        </w:rPr>
        <w:t>created specifically for the purpose of establishing or proving a fact in a criminal proceeding and thus are testimonial.</w:t>
      </w:r>
      <w:r w:rsidRPr="00BC23F7">
        <w:rPr>
          <w:rFonts w:cs="Arial"/>
          <w:vertAlign w:val="superscript"/>
        </w:rPr>
        <w:footnoteReference w:id="113"/>
      </w:r>
      <w:r w:rsidRPr="00EA6585">
        <w:rPr>
          <w:rStyle w:val="Heading3Char"/>
          <w:b w:val="0"/>
          <w:bCs w:val="0"/>
        </w:rPr>
        <w:t xml:space="preserve"> In some limited situations, however, courts have found that forensic reports were prepared for a nontestimonial purpose.</w:t>
      </w:r>
      <w:r w:rsidRPr="00A84A78">
        <w:rPr>
          <w:rFonts w:cs="Arial"/>
          <w:vertAlign w:val="superscript"/>
        </w:rPr>
        <w:footnoteReference w:id="114"/>
      </w:r>
    </w:p>
    <w:p w14:paraId="6D2E7924" w14:textId="34A248B2" w:rsidR="00EA6585" w:rsidRDefault="00EA6585" w:rsidP="00EA6585">
      <w:pPr>
        <w:ind w:left="1440" w:firstLine="720"/>
        <w:rPr>
          <w:rFonts w:eastAsia="Times New Roman" w:cs="Times New Roman"/>
        </w:rPr>
      </w:pPr>
      <w:r>
        <w:rPr>
          <w:rFonts w:eastAsia="Times New Roman" w:cs="Times New Roman"/>
        </w:rPr>
        <w:lastRenderedPageBreak/>
        <w:t xml:space="preserve">In </w:t>
      </w:r>
      <w:r>
        <w:rPr>
          <w:rFonts w:eastAsia="Times New Roman" w:cs="Times New Roman"/>
          <w:i/>
          <w:iCs/>
        </w:rPr>
        <w:t>Smith</w:t>
      </w:r>
      <w:r>
        <w:rPr>
          <w:rFonts w:eastAsia="Times New Roman" w:cs="Times New Roman"/>
        </w:rPr>
        <w:t xml:space="preserve"> the Court indicated that applying the primary purpose test to forensic reports requires that a court carefully consider “exactly which . . . statements are at issue,” as some statements may be contained in records associated with a forensic report that do not necessarily constitute testimonial hearsay even if the report itself does.</w:t>
      </w:r>
      <w:r w:rsidRPr="00F80310">
        <w:rPr>
          <w:rFonts w:eastAsia="Times New Roman" w:cs="Arial"/>
          <w:vertAlign w:val="superscript"/>
        </w:rPr>
        <w:footnoteReference w:id="115"/>
      </w:r>
      <w:r>
        <w:rPr>
          <w:rFonts w:eastAsia="Times New Roman" w:cs="Times New Roman"/>
        </w:rPr>
        <w:t xml:space="preserve"> </w:t>
      </w:r>
      <w:r>
        <w:rPr>
          <w:rFonts w:eastAsia="Times New Roman" w:cs="Times New Roman"/>
          <w:i/>
          <w:iCs/>
        </w:rPr>
        <w:t xml:space="preserve">Smith </w:t>
      </w:r>
      <w:r>
        <w:rPr>
          <w:rFonts w:eastAsia="Times New Roman" w:cs="Times New Roman"/>
        </w:rPr>
        <w:t>involved state crime lab drug testing and the Court noted</w:t>
      </w:r>
      <w:r w:rsidRPr="001723CD">
        <w:rPr>
          <w:rFonts w:eastAsia="Times New Roman" w:cs="Times New Roman"/>
        </w:rPr>
        <w:t xml:space="preserve"> that it was </w:t>
      </w:r>
      <w:r>
        <w:rPr>
          <w:rFonts w:eastAsia="Times New Roman" w:cs="Times New Roman"/>
        </w:rPr>
        <w:t xml:space="preserve">disputed </w:t>
      </w:r>
      <w:r w:rsidRPr="001723CD">
        <w:rPr>
          <w:rFonts w:eastAsia="Times New Roman" w:cs="Times New Roman"/>
        </w:rPr>
        <w:t>whether the statements at issue were from the analyst’s notes</w:t>
      </w:r>
      <w:r>
        <w:rPr>
          <w:rFonts w:eastAsia="Times New Roman" w:cs="Times New Roman"/>
        </w:rPr>
        <w:t xml:space="preserve"> documenting her lab work </w:t>
      </w:r>
      <w:r w:rsidRPr="001723CD">
        <w:rPr>
          <w:rFonts w:eastAsia="Times New Roman" w:cs="Times New Roman"/>
        </w:rPr>
        <w:t xml:space="preserve">or from her </w:t>
      </w:r>
      <w:r>
        <w:rPr>
          <w:rFonts w:eastAsia="Times New Roman" w:cs="Times New Roman"/>
        </w:rPr>
        <w:t xml:space="preserve">signed </w:t>
      </w:r>
      <w:r w:rsidRPr="001723CD">
        <w:rPr>
          <w:rFonts w:eastAsia="Times New Roman" w:cs="Times New Roman"/>
        </w:rPr>
        <w:t xml:space="preserve">report </w:t>
      </w:r>
      <w:r>
        <w:rPr>
          <w:rFonts w:eastAsia="Times New Roman" w:cs="Times New Roman"/>
        </w:rPr>
        <w:t>of</w:t>
      </w:r>
      <w:r w:rsidRPr="001723CD">
        <w:rPr>
          <w:rFonts w:eastAsia="Times New Roman" w:cs="Times New Roman"/>
        </w:rPr>
        <w:t xml:space="preserve"> ultimate findings</w:t>
      </w:r>
      <w:r>
        <w:rPr>
          <w:rFonts w:eastAsia="Times New Roman" w:cs="Times New Roman"/>
        </w:rPr>
        <w:t>; it also was disputed</w:t>
      </w:r>
      <w:r w:rsidRPr="001723CD">
        <w:rPr>
          <w:rFonts w:eastAsia="Times New Roman" w:cs="Times New Roman"/>
        </w:rPr>
        <w:t xml:space="preserve"> whether the</w:t>
      </w:r>
      <w:r>
        <w:rPr>
          <w:rFonts w:eastAsia="Times New Roman" w:cs="Times New Roman"/>
        </w:rPr>
        <w:t xml:space="preserve"> notes and report</w:t>
      </w:r>
      <w:r w:rsidRPr="001723CD">
        <w:rPr>
          <w:rFonts w:eastAsia="Times New Roman" w:cs="Times New Roman"/>
        </w:rPr>
        <w:t xml:space="preserve"> were treated as a </w:t>
      </w:r>
      <w:r>
        <w:rPr>
          <w:rFonts w:eastAsia="Times New Roman" w:cs="Times New Roman"/>
        </w:rPr>
        <w:t>unified single record by the witness who relayed the statements at trial.</w:t>
      </w:r>
      <w:r w:rsidRPr="00F80310">
        <w:rPr>
          <w:rFonts w:eastAsia="Times New Roman" w:cs="Arial"/>
          <w:vertAlign w:val="superscript"/>
        </w:rPr>
        <w:footnoteReference w:id="116"/>
      </w:r>
      <w:r>
        <w:rPr>
          <w:rFonts w:eastAsia="Times New Roman" w:cs="Times New Roman"/>
        </w:rPr>
        <w:t xml:space="preserve"> A primary purpose assessment should be made “as to each record” whose substance is conveyed at trial.”</w:t>
      </w:r>
      <w:r w:rsidRPr="00F80310">
        <w:rPr>
          <w:rFonts w:eastAsia="Times New Roman" w:cs="Arial"/>
          <w:vertAlign w:val="superscript"/>
        </w:rPr>
        <w:footnoteReference w:id="117"/>
      </w:r>
    </w:p>
    <w:p w14:paraId="2AEA418E" w14:textId="77777777" w:rsidR="00EA6585" w:rsidRPr="00F80310" w:rsidRDefault="00EA6585" w:rsidP="00EA6585">
      <w:pPr>
        <w:ind w:left="1440"/>
        <w:rPr>
          <w:rFonts w:eastAsia="Times New Roman" w:cs="Times New Roman"/>
        </w:rPr>
      </w:pPr>
    </w:p>
    <w:p w14:paraId="7C194C90" w14:textId="61891358" w:rsidR="00EA6585" w:rsidRDefault="00EA6585" w:rsidP="00EA6585">
      <w:pPr>
        <w:pStyle w:val="ListParagraph"/>
        <w:numPr>
          <w:ilvl w:val="0"/>
          <w:numId w:val="105"/>
        </w:numPr>
        <w:spacing w:after="0" w:line="240" w:lineRule="auto"/>
        <w:ind w:hanging="720"/>
        <w:outlineLvl w:val="2"/>
        <w:rPr>
          <w:rFonts w:ascii="Arial" w:eastAsia="Times New Roman" w:hAnsi="Arial" w:cs="Arial"/>
          <w:bCs/>
        </w:rPr>
      </w:pPr>
      <w:bookmarkStart w:id="253" w:name="_Toc398285833"/>
      <w:bookmarkStart w:id="254" w:name="_Toc398288402"/>
      <w:bookmarkStart w:id="255" w:name="_Toc223718260"/>
      <w:bookmarkStart w:id="256" w:name="_Toc223718516"/>
      <w:bookmarkStart w:id="257" w:name="_Toc223731905"/>
      <w:r w:rsidRPr="001E3D69">
        <w:rPr>
          <w:rStyle w:val="Heading2Char"/>
          <w:rFonts w:eastAsiaTheme="minorHAnsi"/>
        </w:rPr>
        <w:t>Surrogate Testimony</w:t>
      </w:r>
      <w:bookmarkEnd w:id="253"/>
      <w:bookmarkEnd w:id="254"/>
      <w:bookmarkEnd w:id="255"/>
      <w:bookmarkEnd w:id="256"/>
      <w:bookmarkEnd w:id="257"/>
      <w:r w:rsidRPr="0007357D">
        <w:rPr>
          <w:rFonts w:ascii="Arial" w:eastAsia="Times New Roman" w:hAnsi="Arial" w:cs="Arial"/>
          <w:b/>
          <w:bCs/>
        </w:rPr>
        <w:t>.</w:t>
      </w:r>
      <w:r w:rsidRPr="0007357D">
        <w:rPr>
          <w:rFonts w:ascii="Arial" w:eastAsia="Times New Roman" w:hAnsi="Arial" w:cs="Arial"/>
          <w:bCs/>
        </w:rPr>
        <w:t xml:space="preserve"> </w:t>
      </w:r>
    </w:p>
    <w:p w14:paraId="2972F75C" w14:textId="36DF7820" w:rsidR="00EA6585" w:rsidRPr="00EA6585" w:rsidRDefault="00EA6585" w:rsidP="00EA6585">
      <w:pPr>
        <w:ind w:left="1440"/>
        <w:rPr>
          <w:rFonts w:eastAsia="Times New Roman"/>
          <w:bCs/>
        </w:rPr>
      </w:pPr>
      <w:proofErr w:type="spellStart"/>
      <w:r w:rsidRPr="00017BC3">
        <w:rPr>
          <w:rFonts w:eastAsia="Calibri"/>
          <w:i/>
        </w:rPr>
        <w:t>Bullcoming</w:t>
      </w:r>
      <w:proofErr w:type="spellEnd"/>
      <w:r w:rsidRPr="00017BC3">
        <w:rPr>
          <w:rFonts w:eastAsia="Times New Roman" w:cs="Times New Roman"/>
          <w:i/>
        </w:rPr>
        <w:t xml:space="preserve"> v. New Mexico,</w:t>
      </w:r>
      <w:r w:rsidRPr="00F80310">
        <w:rPr>
          <w:rFonts w:eastAsia="Times New Roman"/>
          <w:vertAlign w:val="superscript"/>
        </w:rPr>
        <w:footnoteReference w:id="118"/>
      </w:r>
      <w:r w:rsidRPr="00017BC3">
        <w:rPr>
          <w:rFonts w:eastAsia="Calibri"/>
          <w:i/>
        </w:rPr>
        <w:t xml:space="preserve"> </w:t>
      </w:r>
      <w:r w:rsidRPr="00017BC3">
        <w:rPr>
          <w:rFonts w:eastAsia="Calibri"/>
        </w:rPr>
        <w:t xml:space="preserve">makes clear that “surrogate testimony”—when the testifying analyst simply reads into evidence testimonial statements by a non-testifying analyst—is impermissible. North Carolina case law is in accord with </w:t>
      </w:r>
      <w:proofErr w:type="spellStart"/>
      <w:r w:rsidRPr="00017BC3">
        <w:rPr>
          <w:rFonts w:eastAsia="Calibri"/>
          <w:i/>
        </w:rPr>
        <w:t>Bullcoming</w:t>
      </w:r>
      <w:proofErr w:type="spellEnd"/>
      <w:r w:rsidRPr="00017BC3">
        <w:rPr>
          <w:rFonts w:eastAsia="Calibri"/>
          <w:i/>
        </w:rPr>
        <w:t>.</w:t>
      </w:r>
      <w:r w:rsidRPr="00F80310">
        <w:rPr>
          <w:vertAlign w:val="superscript"/>
        </w:rPr>
        <w:footnoteReference w:id="119"/>
      </w:r>
      <w:r w:rsidRPr="00017BC3">
        <w:rPr>
          <w:rFonts w:eastAsia="Calibri"/>
          <w:i/>
        </w:rPr>
        <w:t xml:space="preserve"> </w:t>
      </w:r>
      <w:r w:rsidRPr="00017BC3">
        <w:rPr>
          <w:rFonts w:eastAsia="Calibri"/>
        </w:rPr>
        <w:t>At least one North Carolina case has held that the person who directly supervised the report’s preparation may testify in lieu of the testing analyst,</w:t>
      </w:r>
      <w:r w:rsidRPr="00F80310">
        <w:rPr>
          <w:vertAlign w:val="superscript"/>
        </w:rPr>
        <w:footnoteReference w:id="120"/>
      </w:r>
      <w:r w:rsidRPr="00017BC3">
        <w:rPr>
          <w:rFonts w:eastAsia="Calibri"/>
        </w:rPr>
        <w:t xml:space="preserve"> and the United States Supreme Court has left open the possibility that such a procedure may be acceptable.</w:t>
      </w:r>
      <w:r w:rsidRPr="00F80310">
        <w:rPr>
          <w:vertAlign w:val="superscript"/>
        </w:rPr>
        <w:footnoteReference w:id="121"/>
      </w:r>
    </w:p>
    <w:p w14:paraId="107045C6" w14:textId="6FF20149" w:rsidR="00EA6585" w:rsidRPr="00F80310" w:rsidRDefault="00EA6585" w:rsidP="00EA6585">
      <w:pPr>
        <w:contextualSpacing/>
        <w:rPr>
          <w:rFonts w:eastAsia="Calibri" w:cs="Arial"/>
          <w:szCs w:val="22"/>
        </w:rPr>
      </w:pPr>
    </w:p>
    <w:p w14:paraId="4FCD28D2" w14:textId="6355AF72" w:rsidR="00EA6585" w:rsidRDefault="00EA6585" w:rsidP="00EA6585">
      <w:pPr>
        <w:pStyle w:val="ListParagraph"/>
        <w:numPr>
          <w:ilvl w:val="0"/>
          <w:numId w:val="105"/>
        </w:numPr>
        <w:spacing w:after="0" w:line="240" w:lineRule="auto"/>
        <w:ind w:hanging="720"/>
        <w:outlineLvl w:val="2"/>
        <w:rPr>
          <w:rFonts w:ascii="Arial" w:eastAsia="Times New Roman" w:hAnsi="Arial"/>
          <w:b/>
          <w:bCs/>
        </w:rPr>
      </w:pPr>
      <w:bookmarkStart w:id="258" w:name="_Toc223718261"/>
      <w:bookmarkStart w:id="259" w:name="_Toc223718517"/>
      <w:bookmarkStart w:id="260" w:name="_Toc223731906"/>
      <w:r w:rsidRPr="001E3D69">
        <w:rPr>
          <w:rStyle w:val="Heading2Char"/>
          <w:rFonts w:eastAsiaTheme="minorHAnsi"/>
        </w:rPr>
        <w:t>Substitute Analysts</w:t>
      </w:r>
      <w:bookmarkEnd w:id="258"/>
      <w:bookmarkEnd w:id="259"/>
      <w:bookmarkEnd w:id="260"/>
      <w:r w:rsidRPr="0007357D">
        <w:rPr>
          <w:rFonts w:ascii="Arial" w:eastAsia="Times New Roman" w:hAnsi="Arial"/>
          <w:b/>
          <w:bCs/>
        </w:rPr>
        <w:t xml:space="preserve">. </w:t>
      </w:r>
    </w:p>
    <w:p w14:paraId="3A8845FC" w14:textId="1406A831" w:rsidR="00EA6585" w:rsidRPr="00017BC3" w:rsidRDefault="00EA6585" w:rsidP="00AB225B">
      <w:pPr>
        <w:ind w:left="1440"/>
        <w:rPr>
          <w:rFonts w:eastAsia="Times New Roman"/>
          <w:b/>
        </w:rPr>
      </w:pPr>
      <w:r w:rsidRPr="00017BC3">
        <w:rPr>
          <w:rFonts w:eastAsia="Times New Roman"/>
        </w:rPr>
        <w:t xml:space="preserve">Substitute analyst testimony arises when an expert witness who did not create a forensic report offers an independent opinion based on a non-testifying analyst’s work. The practice has some support from Rule 703 of the North Carolina and Federal Rules of Evidence which permits an expert to rely on facts or data in support of their opinion when the information is of a type reasonably relied upon by other experts in the field, even if the information is inadmissible under the </w:t>
      </w:r>
      <w:r>
        <w:rPr>
          <w:rFonts w:eastAsia="Times New Roman"/>
        </w:rPr>
        <w:t>E</w:t>
      </w:r>
      <w:r w:rsidRPr="00017BC3">
        <w:rPr>
          <w:rFonts w:eastAsia="Times New Roman"/>
        </w:rPr>
        <w:t xml:space="preserve">vidence </w:t>
      </w:r>
      <w:r>
        <w:rPr>
          <w:rFonts w:eastAsia="Times New Roman"/>
        </w:rPr>
        <w:t>R</w:t>
      </w:r>
      <w:r w:rsidRPr="00017BC3">
        <w:rPr>
          <w:rFonts w:eastAsia="Times New Roman"/>
        </w:rPr>
        <w:t>ules.</w:t>
      </w:r>
      <w:r w:rsidRPr="00F80310">
        <w:rPr>
          <w:rFonts w:cs="Arial"/>
          <w:vertAlign w:val="superscript"/>
        </w:rPr>
        <w:footnoteReference w:id="122"/>
      </w:r>
      <w:r w:rsidRPr="00017BC3">
        <w:rPr>
          <w:rFonts w:eastAsia="Times New Roman"/>
        </w:rPr>
        <w:t xml:space="preserve"> The U.S. Supreme Court first addressed whether substitute analyst testimony comports with the </w:t>
      </w:r>
      <w:r w:rsidR="00AE664A">
        <w:rPr>
          <w:rFonts w:eastAsia="Times New Roman"/>
        </w:rPr>
        <w:t>Confrontation Clause</w:t>
      </w:r>
      <w:r w:rsidRPr="00017BC3">
        <w:rPr>
          <w:rFonts w:eastAsia="Times New Roman"/>
        </w:rPr>
        <w:t xml:space="preserve"> in </w:t>
      </w:r>
      <w:r w:rsidRPr="00017BC3">
        <w:rPr>
          <w:rFonts w:eastAsia="Times New Roman"/>
          <w:i/>
          <w:iCs/>
        </w:rPr>
        <w:t>Williams v. Illinois</w:t>
      </w:r>
      <w:r w:rsidRPr="00017BC3">
        <w:rPr>
          <w:rFonts w:eastAsia="Times New Roman"/>
        </w:rPr>
        <w:t>.</w:t>
      </w:r>
      <w:r w:rsidRPr="00F80310">
        <w:rPr>
          <w:rFonts w:cs="Arial"/>
          <w:vertAlign w:val="superscript"/>
        </w:rPr>
        <w:footnoteReference w:id="123"/>
      </w:r>
      <w:r w:rsidRPr="00017BC3">
        <w:rPr>
          <w:rFonts w:eastAsia="Times New Roman"/>
        </w:rPr>
        <w:t xml:space="preserve"> There, a private laboratory conducted testing on the sexual assault victim’s vaginal swabs for the presence of male DNA at the request of law enforcement. Police later matched the DNA profile found by the private lab to the defendant in a state-maintained DNA database, leading to his prosecution. A state forensic analyst, who was not involved in the testing by the private lab, was permitted to testify at the defendant’s trial that the DNA profile created by the private lab matched the defendant’s DNA in the state database. In a fractured plurality decision, the Court affirmed the trial court’s admission of the testimony. </w:t>
      </w:r>
      <w:r w:rsidRPr="00017BC3">
        <w:rPr>
          <w:rFonts w:eastAsia="Times New Roman"/>
        </w:rPr>
        <w:lastRenderedPageBreak/>
        <w:t xml:space="preserve">Four justices agreed that the report was not offered for its truth and did not offend the </w:t>
      </w:r>
      <w:r w:rsidR="00AE664A">
        <w:rPr>
          <w:rFonts w:eastAsia="Times New Roman"/>
        </w:rPr>
        <w:t>Confrontation Clause</w:t>
      </w:r>
      <w:r w:rsidRPr="00017BC3">
        <w:rPr>
          <w:rFonts w:eastAsia="Times New Roman"/>
        </w:rPr>
        <w:t>, noting that the underlying DNA report by the private lab was not admitted into evidence; it was merely used as the basis of the testifying analyst’s opinion. A fifth justice concurred in result only and would have ruled that the DNA report, while hearsay, was nontestimonial because it lacked sufficient formality. The same plurality of four justices alternatively held that the DNA report was not testimonial, although for different reasons than the concurring justice. They ruled that the report was nontestimonial because it was not primarily created to be used as evidence at a later criminal trial, but rather to help locate an unknown rape suspect—the test results were created with an eye towards locating an at-large rapist and not to create evidence for use at any specific defendant’s later trial.</w:t>
      </w:r>
    </w:p>
    <w:p w14:paraId="18F1ABEA" w14:textId="77777777" w:rsidR="00EA6585" w:rsidRPr="00F80310" w:rsidRDefault="00EA6585" w:rsidP="00AB225B">
      <w:pPr>
        <w:ind w:left="1440" w:firstLine="720"/>
        <w:rPr>
          <w:rFonts w:eastAsia="Times New Roman" w:cs="Times New Roman"/>
        </w:rPr>
      </w:pPr>
      <w:r w:rsidRPr="00F80310">
        <w:rPr>
          <w:rFonts w:eastAsia="Times New Roman" w:cs="Times New Roman"/>
        </w:rPr>
        <w:t xml:space="preserve">The </w:t>
      </w:r>
      <w:r w:rsidRPr="00F80310">
        <w:rPr>
          <w:rFonts w:eastAsia="Times New Roman" w:cs="Times New Roman"/>
          <w:i/>
          <w:iCs/>
        </w:rPr>
        <w:t>Williams</w:t>
      </w:r>
      <w:r w:rsidRPr="00F80310">
        <w:rPr>
          <w:rFonts w:eastAsia="Times New Roman" w:cs="Times New Roman"/>
        </w:rPr>
        <w:t xml:space="preserve"> decision resulted in years of confusion and uncertainty about substitute analyst testimony. Before and after </w:t>
      </w:r>
      <w:r w:rsidRPr="00F80310">
        <w:rPr>
          <w:rFonts w:eastAsia="Times New Roman" w:cs="Times New Roman"/>
          <w:i/>
          <w:iCs/>
        </w:rPr>
        <w:t>Williams</w:t>
      </w:r>
      <w:r w:rsidRPr="00F80310">
        <w:rPr>
          <w:rFonts w:eastAsia="Times New Roman" w:cs="Times New Roman"/>
        </w:rPr>
        <w:t xml:space="preserve">, North Carolina courts and others endorsed the practice of substitute analyst testimony by distinguishing </w:t>
      </w:r>
      <w:r w:rsidRPr="00F80310">
        <w:rPr>
          <w:rFonts w:eastAsia="Times New Roman" w:cs="Times New Roman"/>
          <w:i/>
          <w:iCs/>
        </w:rPr>
        <w:t>Melendez-Diaz</w:t>
      </w:r>
      <w:r w:rsidRPr="00F80310">
        <w:rPr>
          <w:rFonts w:eastAsia="Times New Roman" w:cs="Times New Roman"/>
        </w:rPr>
        <w:t xml:space="preserve"> and </w:t>
      </w:r>
      <w:proofErr w:type="spellStart"/>
      <w:r w:rsidRPr="00F80310">
        <w:rPr>
          <w:rFonts w:eastAsia="Times New Roman" w:cs="Times New Roman"/>
          <w:i/>
          <w:iCs/>
        </w:rPr>
        <w:t>Bullcoming</w:t>
      </w:r>
      <w:proofErr w:type="spellEnd"/>
      <w:r w:rsidRPr="00F80310">
        <w:rPr>
          <w:rFonts w:eastAsia="Times New Roman" w:cs="Times New Roman"/>
        </w:rPr>
        <w:t xml:space="preserve">, adopting the reasoning of the </w:t>
      </w:r>
      <w:r w:rsidRPr="00F80310">
        <w:rPr>
          <w:rFonts w:eastAsia="Times New Roman" w:cs="Times New Roman"/>
          <w:i/>
          <w:iCs/>
        </w:rPr>
        <w:t>Williams</w:t>
      </w:r>
      <w:r w:rsidRPr="00F80310">
        <w:rPr>
          <w:rFonts w:eastAsia="Times New Roman" w:cs="Times New Roman"/>
        </w:rPr>
        <w:t xml:space="preserve"> plurality that the underlying forensic report was not hearsay as basis of the testifying expert’s opinion. So long as an adequate foundation was laid in which the testifying analyst confirmed (at a minimum) that the underlying report was one of a type reasonably relied upon by other experts in the field and that the testifying expert had formed an independent opinion about the results, such substitute analyst testimony was liberally admitted.</w:t>
      </w:r>
    </w:p>
    <w:p w14:paraId="0A5D01E8" w14:textId="77777777" w:rsidR="00EA6585" w:rsidRPr="00F80310" w:rsidRDefault="00EA6585" w:rsidP="00AB225B">
      <w:pPr>
        <w:ind w:left="1440" w:firstLine="720"/>
        <w:rPr>
          <w:rFonts w:eastAsia="Times New Roman" w:cs="Times New Roman"/>
        </w:rPr>
      </w:pPr>
      <w:r w:rsidRPr="00F80310">
        <w:rPr>
          <w:rFonts w:eastAsia="Times New Roman" w:cs="Times New Roman"/>
        </w:rPr>
        <w:t xml:space="preserve">In 2024, the U.S. Supreme Court decided </w:t>
      </w:r>
      <w:r w:rsidRPr="00F80310">
        <w:rPr>
          <w:rFonts w:eastAsia="Times New Roman" w:cs="Times New Roman"/>
          <w:i/>
          <w:iCs/>
        </w:rPr>
        <w:t>Smith v. Arizona</w:t>
      </w:r>
      <w:r w:rsidRPr="00F80310">
        <w:rPr>
          <w:rFonts w:eastAsia="Times New Roman" w:cs="Times New Roman"/>
        </w:rPr>
        <w:t>,</w:t>
      </w:r>
      <w:r w:rsidRPr="00F80310">
        <w:rPr>
          <w:rFonts w:eastAsia="Times New Roman" w:cs="Arial"/>
          <w:vertAlign w:val="superscript"/>
        </w:rPr>
        <w:footnoteReference w:id="124"/>
      </w:r>
      <w:r w:rsidRPr="00F80310">
        <w:rPr>
          <w:rFonts w:eastAsia="Times New Roman" w:cs="Times New Roman"/>
        </w:rPr>
        <w:t xml:space="preserve"> which squarely rejected this “basis of opinion” logic and found that the underlying report in such situations is in fact offered for its truth. “When an expert conveys an absent analyst’s statements in support of his opinion, and the statements provide that support only if true, then the statements come into evidence for their truth.”</w:t>
      </w:r>
      <w:r w:rsidRPr="00F80310">
        <w:rPr>
          <w:rFonts w:eastAsia="Times New Roman" w:cs="Arial"/>
          <w:vertAlign w:val="superscript"/>
        </w:rPr>
        <w:footnoteReference w:id="125"/>
      </w:r>
      <w:r w:rsidRPr="00F80310">
        <w:rPr>
          <w:rFonts w:eastAsia="Times New Roman" w:cs="Times New Roman"/>
        </w:rPr>
        <w:t xml:space="preserve"> While a substitute analyst with personal knowledge may properly testify about nontestimonial generalities, such as best practices, the significance of lab accreditation, lab standards and procedures, or hypothetical questions, </w:t>
      </w:r>
      <w:r w:rsidRPr="00F80310">
        <w:rPr>
          <w:rFonts w:eastAsia="Times New Roman" w:cs="Times New Roman"/>
          <w:i/>
          <w:iCs/>
        </w:rPr>
        <w:t>Smith</w:t>
      </w:r>
      <w:r w:rsidRPr="00F80310">
        <w:rPr>
          <w:rFonts w:eastAsia="Times New Roman" w:cs="Times New Roman"/>
        </w:rPr>
        <w:t xml:space="preserve"> makes clear that a substitute analyst may not rely on the testimonial portions of the forensic report of another as a </w:t>
      </w:r>
      <w:proofErr w:type="spellStart"/>
      <w:r w:rsidRPr="00F80310">
        <w:rPr>
          <w:rFonts w:eastAsia="Times New Roman" w:cs="Times New Roman"/>
        </w:rPr>
        <w:t>nonhearsay</w:t>
      </w:r>
      <w:proofErr w:type="spellEnd"/>
      <w:r w:rsidRPr="00F80310">
        <w:rPr>
          <w:rFonts w:eastAsia="Times New Roman" w:cs="Times New Roman"/>
        </w:rPr>
        <w:t xml:space="preserve"> basis of opinion. While </w:t>
      </w:r>
      <w:r w:rsidRPr="00F80310">
        <w:rPr>
          <w:rFonts w:eastAsia="Times New Roman" w:cs="Times New Roman"/>
          <w:i/>
          <w:iCs/>
        </w:rPr>
        <w:t>Smith</w:t>
      </w:r>
      <w:r w:rsidRPr="00F80310">
        <w:rPr>
          <w:rFonts w:eastAsia="Times New Roman" w:cs="Times New Roman"/>
        </w:rPr>
        <w:t xml:space="preserve"> declined to address which portions of the substitute analyst testimony in the case were testimonial (an issue not presented in the case), earlier cases like </w:t>
      </w:r>
      <w:r w:rsidRPr="00F80310">
        <w:rPr>
          <w:rFonts w:eastAsia="Times New Roman" w:cs="Times New Roman"/>
          <w:i/>
          <w:iCs/>
        </w:rPr>
        <w:t>Melendez-Diaz</w:t>
      </w:r>
      <w:r w:rsidRPr="00F80310">
        <w:rPr>
          <w:rFonts w:eastAsia="Times New Roman" w:cs="Times New Roman"/>
        </w:rPr>
        <w:t xml:space="preserve"> and </w:t>
      </w:r>
      <w:proofErr w:type="spellStart"/>
      <w:r w:rsidRPr="00F80310">
        <w:rPr>
          <w:rFonts w:eastAsia="Times New Roman" w:cs="Times New Roman"/>
          <w:i/>
          <w:iCs/>
        </w:rPr>
        <w:t>Bullcoming</w:t>
      </w:r>
      <w:proofErr w:type="spellEnd"/>
      <w:r w:rsidRPr="00F80310">
        <w:rPr>
          <w:rFonts w:eastAsia="Times New Roman" w:cs="Times New Roman"/>
        </w:rPr>
        <w:t xml:space="preserve"> hold that the ultimate conclusion of a forensic report prepared for use at trial will be testimonial and that the defendant must have an opportunity to cross examine the person who performed the testing. </w:t>
      </w:r>
      <w:r w:rsidRPr="00F80310">
        <w:rPr>
          <w:rFonts w:eastAsia="Times New Roman" w:cs="Times New Roman"/>
          <w:i/>
          <w:iCs/>
        </w:rPr>
        <w:t>Smith’s</w:t>
      </w:r>
      <w:r w:rsidRPr="00F80310">
        <w:rPr>
          <w:rFonts w:eastAsia="Times New Roman" w:cs="Times New Roman"/>
        </w:rPr>
        <w:t xml:space="preserve"> holding overrules North Carolina cases permitting substitute analyst testimony under the “basis of expert opinion” logic.</w:t>
      </w:r>
      <w:r w:rsidRPr="00F80310">
        <w:rPr>
          <w:rFonts w:eastAsia="Times New Roman" w:cs="Arial"/>
          <w:vertAlign w:val="superscript"/>
        </w:rPr>
        <w:footnoteReference w:id="126"/>
      </w:r>
      <w:r w:rsidRPr="00F80310">
        <w:rPr>
          <w:rFonts w:eastAsia="Times New Roman" w:cs="Times New Roman"/>
        </w:rPr>
        <w:t xml:space="preserve"> </w:t>
      </w:r>
    </w:p>
    <w:p w14:paraId="2D1EE937" w14:textId="69A77568" w:rsidR="00EA6585" w:rsidRDefault="00EA6585" w:rsidP="00AB225B">
      <w:pPr>
        <w:ind w:left="1440" w:firstLine="720"/>
        <w:rPr>
          <w:rFonts w:eastAsia="Times New Roman" w:cs="Times New Roman"/>
          <w:b/>
        </w:rPr>
      </w:pPr>
      <w:r w:rsidRPr="001C4101">
        <w:rPr>
          <w:rFonts w:eastAsia="Times New Roman" w:cs="Times New Roman"/>
        </w:rPr>
        <w:t xml:space="preserve">However, </w:t>
      </w:r>
      <w:r w:rsidRPr="001C4101">
        <w:rPr>
          <w:rFonts w:eastAsia="Times New Roman" w:cs="Times New Roman"/>
          <w:i/>
          <w:iCs/>
        </w:rPr>
        <w:t>Smith</w:t>
      </w:r>
      <w:r w:rsidRPr="001C4101">
        <w:rPr>
          <w:rFonts w:eastAsia="Times New Roman" w:cs="Times New Roman"/>
        </w:rPr>
        <w:t xml:space="preserve"> also endorsed the idea that a forensic lab report may contain statements not primarily created for use at trial and that those statements, while still hearsay, would not offend the </w:t>
      </w:r>
      <w:r w:rsidR="00AE664A">
        <w:rPr>
          <w:rFonts w:eastAsia="Times New Roman" w:cs="Times New Roman"/>
        </w:rPr>
        <w:t>Confrontation Clause</w:t>
      </w:r>
      <w:r w:rsidRPr="001C4101">
        <w:rPr>
          <w:rFonts w:eastAsia="Times New Roman" w:cs="Times New Roman"/>
        </w:rPr>
        <w:t xml:space="preserve"> as nontestimonial statements. For example, the Court noted that certain statements within a report may be created “primarily to comply with laboratory accreditation requirements or to facilitate internal review and control,” or “be written simply as reminders to self.”</w:t>
      </w:r>
      <w:r w:rsidRPr="00F80310">
        <w:rPr>
          <w:rFonts w:eastAsia="Times New Roman" w:cs="Arial"/>
          <w:vertAlign w:val="superscript"/>
        </w:rPr>
        <w:footnoteReference w:id="127"/>
      </w:r>
      <w:r w:rsidRPr="001C4101">
        <w:rPr>
          <w:rFonts w:eastAsia="Times New Roman" w:cs="Times New Roman"/>
        </w:rPr>
        <w:t xml:space="preserve"> For statements like these, the primary purpose of the </w:t>
      </w:r>
      <w:r w:rsidRPr="001C4101">
        <w:rPr>
          <w:rFonts w:eastAsia="Times New Roman" w:cs="Times New Roman"/>
        </w:rPr>
        <w:lastRenderedPageBreak/>
        <w:t>statements is not on use at a later prosecution and would therefore not be considered testimonial.</w:t>
      </w:r>
    </w:p>
    <w:p w14:paraId="27624EF6" w14:textId="77777777" w:rsidR="00AB225B" w:rsidRPr="00AB225B" w:rsidRDefault="00EA6585" w:rsidP="00296C8F">
      <w:pPr>
        <w:pStyle w:val="ListParagraph"/>
        <w:numPr>
          <w:ilvl w:val="3"/>
          <w:numId w:val="87"/>
        </w:numPr>
        <w:spacing w:after="0" w:line="240" w:lineRule="auto"/>
        <w:ind w:left="2160" w:hanging="720"/>
        <w:rPr>
          <w:rFonts w:ascii="Arial" w:eastAsia="Times New Roman" w:hAnsi="Arial"/>
          <w:b/>
        </w:rPr>
      </w:pPr>
      <w:r w:rsidRPr="001C4101">
        <w:rPr>
          <w:rFonts w:ascii="Arial" w:hAnsi="Arial" w:cs="Arial"/>
          <w:b/>
        </w:rPr>
        <w:t>North Carolina Cases After Smith v. Arizona.</w:t>
      </w:r>
      <w:r>
        <w:rPr>
          <w:rFonts w:ascii="Arial" w:hAnsi="Arial" w:cs="Arial"/>
          <w:b/>
        </w:rPr>
        <w:t xml:space="preserve"> </w:t>
      </w:r>
    </w:p>
    <w:p w14:paraId="15E5A4D8" w14:textId="31AF266F" w:rsidR="00EA6585" w:rsidRPr="001C4101" w:rsidRDefault="00EA6585" w:rsidP="00AB225B">
      <w:pPr>
        <w:ind w:left="2160"/>
        <w:rPr>
          <w:rFonts w:eastAsia="Times New Roman"/>
          <w:b/>
        </w:rPr>
      </w:pPr>
      <w:r w:rsidRPr="001C4101">
        <w:t xml:space="preserve">In the first state case to address the impact of </w:t>
      </w:r>
      <w:r w:rsidRPr="001C4101">
        <w:rPr>
          <w:i/>
          <w:iCs/>
        </w:rPr>
        <w:t>Smith</w:t>
      </w:r>
      <w:r w:rsidRPr="001C4101">
        <w:t xml:space="preserve">, the Court of Appeals found a </w:t>
      </w:r>
      <w:r w:rsidR="00AE664A">
        <w:t>Confrontation Clause</w:t>
      </w:r>
      <w:r w:rsidRPr="001C4101">
        <w:t xml:space="preserve"> violation and granted a new trial based on the prosecution’s reliance on substitute analyst testimony. In </w:t>
      </w:r>
      <w:r w:rsidRPr="001C4101">
        <w:rPr>
          <w:i/>
          <w:iCs/>
        </w:rPr>
        <w:t>State v. Clark</w:t>
      </w:r>
      <w:r w:rsidRPr="001C4101">
        <w:t>,</w:t>
      </w:r>
      <w:r w:rsidRPr="001C4101">
        <w:rPr>
          <w:vertAlign w:val="superscript"/>
        </w:rPr>
        <w:footnoteReference w:id="128"/>
      </w:r>
      <w:r w:rsidRPr="001C4101">
        <w:rPr>
          <w:rFonts w:eastAsia="Times New Roman"/>
          <w:bCs/>
        </w:rPr>
        <w:t xml:space="preserve"> a forensic analyst tested a suspected controlled substance and determined that the substance was methamphetamine. The testing analyst was not available at </w:t>
      </w:r>
      <w:proofErr w:type="gramStart"/>
      <w:r w:rsidRPr="001C4101">
        <w:rPr>
          <w:rFonts w:eastAsia="Times New Roman"/>
          <w:bCs/>
        </w:rPr>
        <w:t>trial</w:t>
      </w:r>
      <w:proofErr w:type="gramEnd"/>
      <w:r w:rsidRPr="001C4101">
        <w:rPr>
          <w:rFonts w:eastAsia="Times New Roman"/>
          <w:bCs/>
        </w:rPr>
        <w:t xml:space="preserve"> and the prosecution called a different analyst, one who </w:t>
      </w:r>
      <w:proofErr w:type="gramStart"/>
      <w:r w:rsidRPr="001C4101">
        <w:rPr>
          <w:rFonts w:eastAsia="Times New Roman"/>
          <w:bCs/>
        </w:rPr>
        <w:t>had no involvement</w:t>
      </w:r>
      <w:proofErr w:type="gramEnd"/>
      <w:r w:rsidRPr="001C4101">
        <w:rPr>
          <w:rFonts w:eastAsia="Times New Roman"/>
          <w:bCs/>
        </w:rPr>
        <w:t xml:space="preserve"> in the testing process. His opinion, like that of the substitute analyst in </w:t>
      </w:r>
      <w:r w:rsidRPr="001C4101">
        <w:rPr>
          <w:rFonts w:eastAsia="Times New Roman"/>
          <w:bCs/>
          <w:i/>
          <w:iCs/>
        </w:rPr>
        <w:t>Smith</w:t>
      </w:r>
      <w:r w:rsidRPr="001C4101">
        <w:rPr>
          <w:rFonts w:eastAsia="Times New Roman"/>
          <w:bCs/>
        </w:rPr>
        <w:t xml:space="preserve">, was entirely based on the statements within the absent analyst’s report. While the report itself was not admitted into evidence, the substitute analyst’s expert opinion identifying the substance as contraband was allowed over the defendant’s </w:t>
      </w:r>
      <w:r w:rsidR="00AE664A">
        <w:rPr>
          <w:rFonts w:eastAsia="Times New Roman"/>
          <w:bCs/>
        </w:rPr>
        <w:t>Confrontation Clause</w:t>
      </w:r>
      <w:r w:rsidRPr="001C4101">
        <w:rPr>
          <w:rFonts w:eastAsia="Times New Roman"/>
          <w:bCs/>
        </w:rPr>
        <w:t xml:space="preserve"> objection. In granting the defendant a new trial, the </w:t>
      </w:r>
      <w:r w:rsidRPr="001C4101">
        <w:rPr>
          <w:rFonts w:eastAsia="Times New Roman"/>
          <w:bCs/>
          <w:i/>
          <w:iCs/>
        </w:rPr>
        <w:t xml:space="preserve">Clark </w:t>
      </w:r>
      <w:r w:rsidRPr="001C4101">
        <w:rPr>
          <w:rFonts w:eastAsia="Times New Roman"/>
          <w:bCs/>
        </w:rPr>
        <w:t xml:space="preserve">court held that the situation was identical to that of the defendant in </w:t>
      </w:r>
      <w:r w:rsidRPr="001C4101">
        <w:rPr>
          <w:rFonts w:eastAsia="Times New Roman"/>
          <w:bCs/>
          <w:i/>
          <w:iCs/>
        </w:rPr>
        <w:t>Smith</w:t>
      </w:r>
      <w:r w:rsidRPr="001C4101">
        <w:rPr>
          <w:rFonts w:eastAsia="Times New Roman"/>
          <w:bCs/>
        </w:rPr>
        <w:t xml:space="preserve"> and that the trial court erred in permitting the substitute analyst testimony. Like the report in </w:t>
      </w:r>
      <w:r w:rsidRPr="001C4101">
        <w:rPr>
          <w:rFonts w:eastAsia="Times New Roman"/>
          <w:bCs/>
          <w:i/>
          <w:iCs/>
        </w:rPr>
        <w:t>Smith</w:t>
      </w:r>
      <w:r w:rsidRPr="001C4101">
        <w:rPr>
          <w:rFonts w:eastAsia="Times New Roman"/>
          <w:bCs/>
        </w:rPr>
        <w:t xml:space="preserve">, the statements in the forensic report only had evidentiary value insofar as they were true and were therefore hearsay. The statements were also testimonial under state and federal law, because they were only created for use against the defendant in a criminal prosecution. </w:t>
      </w:r>
    </w:p>
    <w:p w14:paraId="25F1BF59" w14:textId="77777777" w:rsidR="00EA6585" w:rsidRPr="00F80310" w:rsidRDefault="00EA6585" w:rsidP="00AB225B">
      <w:pPr>
        <w:ind w:left="2160" w:firstLine="720"/>
        <w:rPr>
          <w:rFonts w:eastAsia="Times New Roman" w:cs="Times New Roman"/>
          <w:bCs/>
        </w:rPr>
      </w:pPr>
      <w:r w:rsidRPr="00F80310">
        <w:rPr>
          <w:rFonts w:eastAsia="Times New Roman" w:cs="Times New Roman"/>
          <w:bCs/>
        </w:rPr>
        <w:t>One post-</w:t>
      </w:r>
      <w:r w:rsidRPr="00F80310">
        <w:rPr>
          <w:rFonts w:eastAsia="Times New Roman" w:cs="Times New Roman"/>
          <w:bCs/>
          <w:i/>
          <w:iCs/>
        </w:rPr>
        <w:t>Smith</w:t>
      </w:r>
      <w:r w:rsidRPr="00F80310">
        <w:rPr>
          <w:rFonts w:eastAsia="Times New Roman" w:cs="Times New Roman"/>
          <w:bCs/>
        </w:rPr>
        <w:t xml:space="preserve"> case relied on the alternative holding of </w:t>
      </w:r>
      <w:r w:rsidRPr="00F80310">
        <w:rPr>
          <w:rFonts w:eastAsia="Times New Roman" w:cs="Times New Roman"/>
          <w:bCs/>
          <w:i/>
          <w:iCs/>
        </w:rPr>
        <w:t>Williams</w:t>
      </w:r>
      <w:r w:rsidRPr="00F80310">
        <w:rPr>
          <w:rFonts w:eastAsia="Times New Roman" w:cs="Times New Roman"/>
          <w:bCs/>
        </w:rPr>
        <w:t xml:space="preserve"> to affirm the use of a DNA profile at trial to help match a suspect in an unsolved sexual assault case without the defendant having an opportunity to cross-examine the person who prepared the profile. While recognizing that </w:t>
      </w:r>
      <w:r w:rsidRPr="00F80310">
        <w:rPr>
          <w:rFonts w:eastAsia="Times New Roman" w:cs="Times New Roman"/>
          <w:bCs/>
          <w:i/>
          <w:iCs/>
        </w:rPr>
        <w:t>Smith</w:t>
      </w:r>
      <w:r w:rsidRPr="00F80310">
        <w:rPr>
          <w:rFonts w:eastAsia="Times New Roman" w:cs="Times New Roman"/>
          <w:bCs/>
        </w:rPr>
        <w:t xml:space="preserve"> abrogated the basis of opinion part of </w:t>
      </w:r>
      <w:r w:rsidRPr="00F80310">
        <w:rPr>
          <w:rFonts w:eastAsia="Times New Roman" w:cs="Times New Roman"/>
          <w:bCs/>
          <w:i/>
          <w:iCs/>
        </w:rPr>
        <w:t>Williams</w:t>
      </w:r>
      <w:r w:rsidRPr="00F80310">
        <w:rPr>
          <w:rFonts w:eastAsia="Times New Roman" w:cs="Times New Roman"/>
          <w:bCs/>
        </w:rPr>
        <w:t xml:space="preserve">, the Court of Appeals found that the part of </w:t>
      </w:r>
      <w:r w:rsidRPr="00F80310">
        <w:rPr>
          <w:rFonts w:eastAsia="Times New Roman" w:cs="Times New Roman"/>
          <w:bCs/>
          <w:i/>
          <w:iCs/>
        </w:rPr>
        <w:t>Williams</w:t>
      </w:r>
      <w:r w:rsidRPr="00F80310">
        <w:rPr>
          <w:rFonts w:eastAsia="Times New Roman" w:cs="Times New Roman"/>
          <w:bCs/>
        </w:rPr>
        <w:t xml:space="preserve"> finding the DNA report nontestimonial was unaffected by </w:t>
      </w:r>
      <w:r w:rsidRPr="00F80310">
        <w:rPr>
          <w:rFonts w:eastAsia="Times New Roman" w:cs="Times New Roman"/>
          <w:bCs/>
          <w:i/>
          <w:iCs/>
        </w:rPr>
        <w:t>Smith</w:t>
      </w:r>
      <w:r w:rsidRPr="00F80310">
        <w:rPr>
          <w:rFonts w:eastAsia="Times New Roman" w:cs="Times New Roman"/>
          <w:bCs/>
        </w:rPr>
        <w:t xml:space="preserve">. In </w:t>
      </w:r>
      <w:r w:rsidRPr="00F80310">
        <w:rPr>
          <w:rFonts w:eastAsia="Times New Roman" w:cs="Times New Roman"/>
          <w:bCs/>
          <w:i/>
          <w:iCs/>
        </w:rPr>
        <w:t>State v. Tate</w:t>
      </w:r>
      <w:r w:rsidRPr="00F80310">
        <w:rPr>
          <w:rFonts w:eastAsia="Times New Roman" w:cs="Times New Roman"/>
          <w:bCs/>
        </w:rPr>
        <w:t>,</w:t>
      </w:r>
      <w:r w:rsidRPr="00F80310">
        <w:rPr>
          <w:rFonts w:eastAsia="Times New Roman"/>
          <w:vertAlign w:val="superscript"/>
        </w:rPr>
        <w:footnoteReference w:id="129"/>
      </w:r>
      <w:r w:rsidRPr="00F80310">
        <w:rPr>
          <w:rFonts w:eastAsia="Times New Roman" w:cs="Times New Roman"/>
          <w:bCs/>
        </w:rPr>
        <w:t xml:space="preserve"> the Court of Appeals held that a DNA profile generated by a private lab and later matched to the defendant by a state crime lab analyst was nontestimonial, because the defendant was not a known suspect at the time the DNA profile was created and the profile was created for purposes of determining whether there was any DNA in the rape kit other than the victim’s, not primarily for use at a future prosecution. According to the </w:t>
      </w:r>
      <w:r w:rsidRPr="00F80310">
        <w:rPr>
          <w:rFonts w:eastAsia="Times New Roman" w:cs="Times New Roman"/>
          <w:bCs/>
          <w:i/>
          <w:iCs/>
        </w:rPr>
        <w:t>Tate</w:t>
      </w:r>
      <w:r w:rsidRPr="00F80310">
        <w:rPr>
          <w:rFonts w:eastAsia="Times New Roman" w:cs="Times New Roman"/>
          <w:bCs/>
        </w:rPr>
        <w:t xml:space="preserve"> court:</w:t>
      </w:r>
    </w:p>
    <w:p w14:paraId="46467ABF" w14:textId="77777777" w:rsidR="00EA6585" w:rsidRPr="00F80310" w:rsidRDefault="00EA6585" w:rsidP="00AB225B">
      <w:pPr>
        <w:ind w:left="2160"/>
        <w:rPr>
          <w:rFonts w:eastAsia="Times New Roman" w:cs="Times New Roman"/>
          <w:bCs/>
        </w:rPr>
      </w:pPr>
    </w:p>
    <w:p w14:paraId="18DFBAD2" w14:textId="77777777" w:rsidR="00EA6585" w:rsidRPr="00F80310" w:rsidRDefault="00EA6585" w:rsidP="00AB225B">
      <w:pPr>
        <w:ind w:left="2880" w:right="720"/>
        <w:rPr>
          <w:rFonts w:eastAsia="Times New Roman" w:cs="Times New Roman"/>
          <w:bCs/>
        </w:rPr>
      </w:pPr>
      <w:r w:rsidRPr="00F80310">
        <w:rPr>
          <w:rFonts w:eastAsia="Times New Roman" w:cs="Times New Roman"/>
          <w:bCs/>
        </w:rPr>
        <w:t>[The victim’s] test kit was delivered to [the private lab]</w:t>
      </w:r>
      <w:r w:rsidRPr="00F80310">
        <w:rPr>
          <w:rFonts w:eastAsia="Times New Roman" w:cs="Times New Roman"/>
          <w:bCs/>
        </w:rPr>
        <w:br/>
        <w:t>for the sole purpose of identifying the potential presence of any DNA other than her own, not to identify a potential suspect. [The private lab’s] DNA profile was not testimonial in nature since it was not generated ‘solely to aid in the police investigation’ of Defendant.</w:t>
      </w:r>
      <w:r w:rsidRPr="00F80310">
        <w:rPr>
          <w:rFonts w:eastAsia="Times New Roman"/>
          <w:vertAlign w:val="superscript"/>
        </w:rPr>
        <w:footnoteReference w:id="130"/>
      </w:r>
    </w:p>
    <w:p w14:paraId="5A0EBE10" w14:textId="77777777" w:rsidR="00EA6585" w:rsidRPr="00F80310" w:rsidRDefault="00EA6585" w:rsidP="00AB225B">
      <w:pPr>
        <w:ind w:left="2160"/>
        <w:rPr>
          <w:rFonts w:eastAsia="Times New Roman" w:cs="Times New Roman"/>
          <w:bCs/>
        </w:rPr>
      </w:pPr>
    </w:p>
    <w:p w14:paraId="029E595D" w14:textId="77777777" w:rsidR="00EA6585" w:rsidRPr="00F80310" w:rsidRDefault="00EA6585" w:rsidP="00AB225B">
      <w:pPr>
        <w:ind w:left="2160"/>
        <w:rPr>
          <w:rFonts w:eastAsia="Times New Roman" w:cs="Times New Roman"/>
          <w:bCs/>
        </w:rPr>
      </w:pPr>
      <w:r w:rsidRPr="00F80310">
        <w:rPr>
          <w:rFonts w:eastAsia="Times New Roman" w:cs="Times New Roman"/>
          <w:bCs/>
        </w:rPr>
        <w:t xml:space="preserve">The </w:t>
      </w:r>
      <w:r w:rsidRPr="00F80310">
        <w:rPr>
          <w:rFonts w:eastAsia="Times New Roman" w:cs="Times New Roman"/>
          <w:bCs/>
          <w:i/>
          <w:iCs/>
        </w:rPr>
        <w:t>Tate</w:t>
      </w:r>
      <w:r w:rsidRPr="00F80310">
        <w:rPr>
          <w:rFonts w:eastAsia="Times New Roman" w:cs="Times New Roman"/>
          <w:bCs/>
        </w:rPr>
        <w:t xml:space="preserve"> court distinguished this situation from the testing of controlled substances where the defendant’s identity is known, and the forensic report is generated with a clear eye towards use at the defendant’s </w:t>
      </w:r>
      <w:r w:rsidRPr="00F80310">
        <w:rPr>
          <w:rFonts w:eastAsia="Times New Roman" w:cs="Times New Roman"/>
          <w:bCs/>
        </w:rPr>
        <w:lastRenderedPageBreak/>
        <w:t>trial.</w:t>
      </w:r>
      <w:r w:rsidRPr="00F80310">
        <w:rPr>
          <w:rFonts w:eastAsia="Times New Roman"/>
          <w:vertAlign w:val="superscript"/>
        </w:rPr>
        <w:footnoteReference w:id="131"/>
      </w:r>
      <w:r w:rsidRPr="00F80310">
        <w:rPr>
          <w:rFonts w:eastAsia="Times New Roman" w:cs="Times New Roman"/>
          <w:bCs/>
        </w:rPr>
        <w:t xml:space="preserve"> </w:t>
      </w:r>
      <w:r w:rsidRPr="00F80310">
        <w:rPr>
          <w:rFonts w:eastAsia="Times New Roman" w:cs="Times New Roman"/>
          <w:bCs/>
          <w:i/>
          <w:iCs/>
        </w:rPr>
        <w:t>Tate</w:t>
      </w:r>
      <w:r w:rsidRPr="00F80310">
        <w:rPr>
          <w:rFonts w:eastAsia="Times New Roman" w:cs="Times New Roman"/>
          <w:bCs/>
        </w:rPr>
        <w:t xml:space="preserve"> also recognized the unsettled landscape of substitute analyst testimony in the wake of </w:t>
      </w:r>
      <w:r w:rsidRPr="00F80310">
        <w:rPr>
          <w:rFonts w:eastAsia="Times New Roman" w:cs="Times New Roman"/>
          <w:bCs/>
          <w:i/>
          <w:iCs/>
        </w:rPr>
        <w:t>Smith</w:t>
      </w:r>
      <w:r w:rsidRPr="00F80310">
        <w:rPr>
          <w:rFonts w:eastAsia="Times New Roman" w:cs="Times New Roman"/>
          <w:bCs/>
        </w:rPr>
        <w:t xml:space="preserve"> and held in the alternative that any confrontation error here was harmless on the facts of the case.</w:t>
      </w:r>
      <w:r w:rsidRPr="00F80310">
        <w:rPr>
          <w:rFonts w:eastAsia="Times New Roman"/>
          <w:vertAlign w:val="superscript"/>
        </w:rPr>
        <w:footnoteReference w:id="132"/>
      </w:r>
      <w:r w:rsidRPr="00F80310">
        <w:rPr>
          <w:rFonts w:eastAsia="Times New Roman" w:cs="Times New Roman"/>
          <w:bCs/>
        </w:rPr>
        <w:t xml:space="preserve"> </w:t>
      </w:r>
    </w:p>
    <w:p w14:paraId="0FD6E755" w14:textId="57930D05" w:rsidR="00EA6585" w:rsidRPr="00F80310" w:rsidRDefault="00EA6585" w:rsidP="00AB225B">
      <w:pPr>
        <w:ind w:left="2160" w:firstLine="720"/>
        <w:rPr>
          <w:rFonts w:eastAsia="Times New Roman" w:cs="Times New Roman"/>
          <w:bCs/>
        </w:rPr>
      </w:pPr>
      <w:r w:rsidRPr="00F80310">
        <w:rPr>
          <w:rFonts w:eastAsia="Times New Roman" w:cs="Times New Roman"/>
          <w:bCs/>
        </w:rPr>
        <w:t xml:space="preserve">If the </w:t>
      </w:r>
      <w:r w:rsidRPr="00F80310">
        <w:rPr>
          <w:rFonts w:eastAsia="Times New Roman" w:cs="Times New Roman"/>
          <w:bCs/>
          <w:i/>
          <w:iCs/>
        </w:rPr>
        <w:t xml:space="preserve">Tate </w:t>
      </w:r>
      <w:r w:rsidRPr="00F80310">
        <w:rPr>
          <w:rFonts w:eastAsia="Times New Roman" w:cs="Times New Roman"/>
          <w:bCs/>
        </w:rPr>
        <w:t xml:space="preserve">decision is correct that this much of </w:t>
      </w:r>
      <w:r w:rsidRPr="00F80310">
        <w:rPr>
          <w:rFonts w:eastAsia="Times New Roman" w:cs="Times New Roman"/>
          <w:bCs/>
          <w:i/>
          <w:iCs/>
        </w:rPr>
        <w:t>Williams</w:t>
      </w:r>
      <w:r w:rsidRPr="00F80310">
        <w:rPr>
          <w:rFonts w:eastAsia="Times New Roman" w:cs="Times New Roman"/>
          <w:bCs/>
        </w:rPr>
        <w:t xml:space="preserve"> survived the </w:t>
      </w:r>
      <w:r w:rsidRPr="00F80310">
        <w:rPr>
          <w:rFonts w:eastAsia="Times New Roman" w:cs="Times New Roman"/>
          <w:bCs/>
          <w:i/>
          <w:iCs/>
        </w:rPr>
        <w:t>Smith</w:t>
      </w:r>
      <w:r w:rsidRPr="00F80310">
        <w:rPr>
          <w:rFonts w:eastAsia="Times New Roman" w:cs="Times New Roman"/>
          <w:bCs/>
        </w:rPr>
        <w:t xml:space="preserve"> decision, it recognizes an exception to the general rule that forensic reports prepared for trial are testimonial: when the forensic report is created to determine if unknown DNA is present in a sample, before any suspect is identified, the report is nontestimonial. The same would be true for a forensic report created for some other purpose, such as medical treatment or the establishment of paternity, where the primary purpose behind the creation of the report is not for use at a later prosecution. In other situations where a DNA profile or other forensic report</w:t>
      </w:r>
      <w:r w:rsidRPr="00F80310">
        <w:rPr>
          <w:rFonts w:eastAsia="Times New Roman" w:cs="Times New Roman"/>
          <w:bCs/>
          <w:i/>
          <w:iCs/>
        </w:rPr>
        <w:t xml:space="preserve"> is </w:t>
      </w:r>
      <w:r w:rsidRPr="00F80310">
        <w:rPr>
          <w:rFonts w:eastAsia="Times New Roman" w:cs="Times New Roman"/>
          <w:bCs/>
        </w:rPr>
        <w:t xml:space="preserve">created primarily for use at a specific defendant’s trial, the report would presumably be testimonial under </w:t>
      </w:r>
      <w:r w:rsidRPr="00F80310">
        <w:rPr>
          <w:rFonts w:eastAsia="Times New Roman" w:cs="Times New Roman"/>
          <w:bCs/>
          <w:i/>
          <w:iCs/>
        </w:rPr>
        <w:t>Mele</w:t>
      </w:r>
      <w:r w:rsidR="003D3377">
        <w:rPr>
          <w:rFonts w:eastAsia="Times New Roman" w:cs="Times New Roman"/>
          <w:bCs/>
          <w:i/>
          <w:iCs/>
        </w:rPr>
        <w:t>n</w:t>
      </w:r>
      <w:r w:rsidRPr="00F80310">
        <w:rPr>
          <w:rFonts w:eastAsia="Times New Roman" w:cs="Times New Roman"/>
          <w:bCs/>
          <w:i/>
          <w:iCs/>
        </w:rPr>
        <w:t>dez-Diaz</w:t>
      </w:r>
      <w:r w:rsidRPr="00F80310">
        <w:rPr>
          <w:rFonts w:eastAsia="Times New Roman" w:cs="Times New Roman"/>
          <w:bCs/>
        </w:rPr>
        <w:t>.</w:t>
      </w:r>
    </w:p>
    <w:p w14:paraId="4275513E" w14:textId="77777777" w:rsidR="00EA6585" w:rsidRDefault="00EA6585" w:rsidP="00EA6585"/>
    <w:p w14:paraId="25A02C19" w14:textId="2E554693" w:rsidR="00EA6585" w:rsidRDefault="00EA6585" w:rsidP="00EA6585">
      <w:pPr>
        <w:pStyle w:val="ListParagraph"/>
        <w:numPr>
          <w:ilvl w:val="0"/>
          <w:numId w:val="105"/>
        </w:numPr>
        <w:spacing w:after="0" w:line="240" w:lineRule="auto"/>
        <w:ind w:hanging="720"/>
        <w:outlineLvl w:val="2"/>
        <w:rPr>
          <w:rFonts w:ascii="Arial" w:eastAsia="Times New Roman" w:hAnsi="Arial"/>
          <w:b/>
          <w:bCs/>
        </w:rPr>
      </w:pPr>
      <w:bookmarkStart w:id="261" w:name="_Toc223718262"/>
      <w:bookmarkStart w:id="262" w:name="_Toc223718518"/>
      <w:bookmarkStart w:id="263" w:name="_Toc223731907"/>
      <w:r>
        <w:rPr>
          <w:rStyle w:val="Heading2Char"/>
          <w:rFonts w:eastAsiaTheme="minorHAnsi"/>
        </w:rPr>
        <w:t>Machine Generated Data Associated with Forensic Reports</w:t>
      </w:r>
      <w:bookmarkEnd w:id="261"/>
      <w:bookmarkEnd w:id="262"/>
      <w:bookmarkEnd w:id="263"/>
      <w:r w:rsidRPr="00AB6656">
        <w:rPr>
          <w:rFonts w:ascii="Arial" w:eastAsia="Times New Roman" w:hAnsi="Arial"/>
          <w:b/>
          <w:bCs/>
        </w:rPr>
        <w:t>.</w:t>
      </w:r>
      <w:r>
        <w:rPr>
          <w:rFonts w:ascii="Arial" w:eastAsia="Times New Roman" w:hAnsi="Arial"/>
          <w:b/>
          <w:bCs/>
        </w:rPr>
        <w:t xml:space="preserve"> </w:t>
      </w:r>
    </w:p>
    <w:p w14:paraId="29BA8C32" w14:textId="36102D21" w:rsidR="00EA6585" w:rsidRPr="00AB6656" w:rsidRDefault="00EA6585" w:rsidP="00AB225B">
      <w:pPr>
        <w:ind w:left="1440"/>
        <w:rPr>
          <w:rFonts w:eastAsia="Times New Roman"/>
          <w:bCs/>
        </w:rPr>
      </w:pPr>
      <w:r w:rsidRPr="00AB6656">
        <w:t>One pre-</w:t>
      </w:r>
      <w:r w:rsidRPr="00AB6656">
        <w:rPr>
          <w:i/>
          <w:iCs/>
        </w:rPr>
        <w:t>Smith</w:t>
      </w:r>
      <w:r w:rsidRPr="00AB6656">
        <w:rPr>
          <w:i/>
        </w:rPr>
        <w:t xml:space="preserve"> </w:t>
      </w:r>
      <w:r w:rsidRPr="00AB6656">
        <w:t xml:space="preserve">North Carolina case suggests that “machine-generated” raw data </w:t>
      </w:r>
      <w:r>
        <w:t xml:space="preserve">associated with a forensic report </w:t>
      </w:r>
      <w:r w:rsidRPr="00AB6656">
        <w:t xml:space="preserve">is not testimonial. In </w:t>
      </w:r>
      <w:r w:rsidRPr="00AB6656">
        <w:rPr>
          <w:i/>
        </w:rPr>
        <w:t>State v. Ortiz-Zape</w:t>
      </w:r>
      <w:r w:rsidRPr="00AB6656">
        <w:t>,</w:t>
      </w:r>
      <w:r w:rsidRPr="00AB6656">
        <w:rPr>
          <w:vertAlign w:val="superscript"/>
        </w:rPr>
        <w:footnoteReference w:id="133"/>
      </w:r>
      <w:r w:rsidRPr="00AB6656">
        <w:t xml:space="preserve"> the court stated in dicta that “machine-generated raw data,” such as a printout from a gas chromatograph, is nontestimonial.</w:t>
      </w:r>
      <w:r w:rsidRPr="00AB6656">
        <w:rPr>
          <w:vertAlign w:val="superscript"/>
        </w:rPr>
        <w:footnoteReference w:id="134"/>
      </w:r>
      <w:r w:rsidRPr="00AB6656">
        <w:t xml:space="preserve"> While </w:t>
      </w:r>
      <w:r w:rsidRPr="00AB6656">
        <w:rPr>
          <w:i/>
          <w:iCs/>
        </w:rPr>
        <w:t>Smith v. Arizona</w:t>
      </w:r>
      <w:r w:rsidRPr="00AB6656">
        <w:t xml:space="preserve"> abrogated the </w:t>
      </w:r>
      <w:r>
        <w:t>primary holding</w:t>
      </w:r>
      <w:r w:rsidRPr="00AB6656">
        <w:t xml:space="preserve"> of </w:t>
      </w:r>
      <w:r w:rsidRPr="00AB6656">
        <w:rPr>
          <w:i/>
          <w:iCs/>
        </w:rPr>
        <w:t>Ortiz-Zape</w:t>
      </w:r>
      <w:r w:rsidRPr="00AB6656">
        <w:t xml:space="preserve"> permitting substitute analyst testimony as </w:t>
      </w:r>
      <w:proofErr w:type="spellStart"/>
      <w:r w:rsidRPr="00AB6656">
        <w:t>nonhearsay</w:t>
      </w:r>
      <w:proofErr w:type="spellEnd"/>
      <w:r w:rsidRPr="00AB6656">
        <w:t xml:space="preserve"> basis of expert opinion, North Carolina courts have continued to hold that purely machine generated data is nontestimonial post-</w:t>
      </w:r>
      <w:r w:rsidRPr="00AB6656">
        <w:rPr>
          <w:i/>
          <w:iCs/>
        </w:rPr>
        <w:t>Smith</w:t>
      </w:r>
      <w:r w:rsidRPr="00AB6656">
        <w:t>.</w:t>
      </w:r>
      <w:r w:rsidRPr="00AB6656">
        <w:rPr>
          <w:vertAlign w:val="superscript"/>
        </w:rPr>
        <w:footnoteReference w:id="135"/>
      </w:r>
      <w:r w:rsidRPr="00AB6656">
        <w:t xml:space="preserve"> Note, though, that an expert opinion interpreting such raw data is testimonial.</w:t>
      </w:r>
      <w:r w:rsidRPr="00AB6656">
        <w:rPr>
          <w:vertAlign w:val="superscript"/>
        </w:rPr>
        <w:footnoteReference w:id="136"/>
      </w:r>
      <w:r w:rsidRPr="00AB6656">
        <w:t xml:space="preserve"> Notwithstanding the language in </w:t>
      </w:r>
      <w:r w:rsidRPr="00AB6656">
        <w:rPr>
          <w:i/>
          <w:iCs/>
        </w:rPr>
        <w:t>Ortiz-Zape</w:t>
      </w:r>
      <w:r w:rsidRPr="00AB6656">
        <w:t xml:space="preserve"> and subsequent cases to the contrary, data generated by human-operated lab equipment like gas chromatography machines may be distinguishable from other types of data created without human involvement in light of </w:t>
      </w:r>
      <w:r w:rsidRPr="00AB6656">
        <w:rPr>
          <w:i/>
          <w:iCs/>
        </w:rPr>
        <w:t xml:space="preserve">Smith v. Arizona, </w:t>
      </w:r>
      <w:r w:rsidRPr="00AB6656">
        <w:t>where the Court suggested that the defendant should be permitted to cross-examine the person who performed the steps necessary to generate such data.</w:t>
      </w:r>
      <w:r w:rsidRPr="00AB6656">
        <w:rPr>
          <w:vertAlign w:val="superscript"/>
        </w:rPr>
        <w:footnoteReference w:id="137"/>
      </w:r>
    </w:p>
    <w:p w14:paraId="12BF01CA" w14:textId="77777777" w:rsidR="00EA6585" w:rsidRPr="00EA6585" w:rsidRDefault="00EA6585" w:rsidP="00EA6585"/>
    <w:p w14:paraId="2F80A7AD" w14:textId="697E2A31" w:rsidR="00A41AD9" w:rsidRPr="00CB502D" w:rsidRDefault="00721378" w:rsidP="00033BA1">
      <w:pPr>
        <w:pStyle w:val="Heading1"/>
      </w:pPr>
      <w:bookmarkStart w:id="264" w:name="_Toc223718263"/>
      <w:bookmarkStart w:id="265" w:name="_Toc223718519"/>
      <w:bookmarkStart w:id="266" w:name="_Toc223731908"/>
      <w:r w:rsidRPr="003D3377">
        <w:t>Exceptions to the Crawford Rule</w:t>
      </w:r>
      <w:r w:rsidR="0061577E" w:rsidRPr="00CB502D">
        <w:t>.</w:t>
      </w:r>
      <w:bookmarkEnd w:id="245"/>
      <w:bookmarkEnd w:id="246"/>
      <w:bookmarkEnd w:id="264"/>
      <w:bookmarkEnd w:id="265"/>
      <w:bookmarkEnd w:id="266"/>
      <w:r w:rsidR="00EE45AD" w:rsidRPr="00CB502D">
        <w:t xml:space="preserve"> </w:t>
      </w:r>
    </w:p>
    <w:p w14:paraId="75AD54E9" w14:textId="62CDD285" w:rsidR="00A41AD9" w:rsidRPr="00CB502D" w:rsidRDefault="00C75FD3" w:rsidP="00EA6585">
      <w:pPr>
        <w:pStyle w:val="Heading2"/>
        <w:numPr>
          <w:ilvl w:val="0"/>
          <w:numId w:val="106"/>
        </w:numPr>
        <w:ind w:left="1440" w:hanging="720"/>
      </w:pPr>
      <w:bookmarkStart w:id="267" w:name="_Toc398033830"/>
      <w:bookmarkStart w:id="268" w:name="_Toc223718264"/>
      <w:bookmarkStart w:id="269" w:name="_Toc223718520"/>
      <w:bookmarkStart w:id="270" w:name="_Toc223731909"/>
      <w:bookmarkStart w:id="271" w:name="Forfeiture"/>
      <w:r w:rsidRPr="00CB502D">
        <w:t>Forfeiture by Wrongdoing.</w:t>
      </w:r>
      <w:bookmarkEnd w:id="267"/>
      <w:bookmarkEnd w:id="268"/>
      <w:bookmarkEnd w:id="269"/>
      <w:bookmarkEnd w:id="270"/>
      <w:r w:rsidRPr="00CB502D">
        <w:t xml:space="preserve"> </w:t>
      </w:r>
      <w:bookmarkEnd w:id="271"/>
    </w:p>
    <w:p w14:paraId="159F7046" w14:textId="0A8E71ED" w:rsidR="00873F26" w:rsidRPr="00CB502D" w:rsidRDefault="00C75FD3" w:rsidP="003A44D7">
      <w:pPr>
        <w:ind w:left="1440"/>
      </w:pPr>
      <w:r w:rsidRPr="00CB502D">
        <w:t xml:space="preserve">The United States Supreme Court has recognized a forfeiture by wrongdoing exception to the </w:t>
      </w:r>
      <w:r w:rsidR="00AE664A">
        <w:t>Confrontation Clause</w:t>
      </w:r>
      <w:r w:rsidRPr="00CB502D">
        <w:t xml:space="preserve"> that extinguishes confrontation claims on the equitable grounds that a person should not be able to benefit from his or her </w:t>
      </w:r>
      <w:r w:rsidRPr="00CB502D">
        <w:lastRenderedPageBreak/>
        <w:t>wrongdoing.</w:t>
      </w:r>
      <w:r w:rsidRPr="00CB502D">
        <w:rPr>
          <w:rStyle w:val="00BTfootnotecallout"/>
          <w:rFonts w:ascii="Arial" w:hAnsi="Arial" w:cs="Arial"/>
          <w:color w:val="auto"/>
        </w:rPr>
        <w:footnoteReference w:id="138"/>
      </w:r>
      <w:r w:rsidRPr="00CB502D">
        <w:t xml:space="preserve"> Forfeiture by wrongdoing applies when a defendant engages in a wrongful act </w:t>
      </w:r>
      <w:r w:rsidR="00666F16" w:rsidRPr="00CB502D">
        <w:t>designed to</w:t>
      </w:r>
      <w:r w:rsidRPr="00CB502D">
        <w:t xml:space="preserve"> prevent the witness from testifying, such as threatening, killing, or bribing the witness.</w:t>
      </w:r>
      <w:r w:rsidRPr="00CB502D">
        <w:rPr>
          <w:rStyle w:val="00BTfootnotecallout"/>
          <w:rFonts w:ascii="Arial" w:hAnsi="Arial" w:cs="Arial"/>
          <w:color w:val="auto"/>
        </w:rPr>
        <w:footnoteReference w:id="139"/>
      </w:r>
      <w:r w:rsidRPr="00CB502D">
        <w:t xml:space="preserve"> When the doctrine applies, the defendant is deemed to have forfeited his or her </w:t>
      </w:r>
      <w:r w:rsidR="00AE664A">
        <w:t>Confrontation Clause</w:t>
      </w:r>
      <w:r w:rsidRPr="00CB502D">
        <w:t xml:space="preserve"> rights. Put another way, if the defendant</w:t>
      </w:r>
      <w:r w:rsidR="00666F16" w:rsidRPr="00CB502D">
        <w:t xml:space="preserve"> intends to cause</w:t>
      </w:r>
      <w:r w:rsidRPr="00CB502D">
        <w:t xml:space="preserve"> the witness’s absence at trial, he or she cannot complain of that absence. At least </w:t>
      </w:r>
      <w:r w:rsidR="00606693">
        <w:t>two</w:t>
      </w:r>
      <w:r w:rsidR="00606693" w:rsidRPr="00CB502D">
        <w:t xml:space="preserve"> </w:t>
      </w:r>
      <w:r w:rsidRPr="00CB502D">
        <w:t>published North Carolina case ha</w:t>
      </w:r>
      <w:r w:rsidR="00AE6C2A">
        <w:t>ve</w:t>
      </w:r>
      <w:r w:rsidRPr="00CB502D">
        <w:t xml:space="preserve"> applied the doctrine.</w:t>
      </w:r>
      <w:r w:rsidRPr="00CB502D">
        <w:rPr>
          <w:rStyle w:val="FootnoteReference"/>
          <w:rFonts w:cs="Arial"/>
          <w:szCs w:val="22"/>
        </w:rPr>
        <w:footnoteReference w:id="140"/>
      </w:r>
      <w:r w:rsidRPr="00CB502D">
        <w:t xml:space="preserve"> </w:t>
      </w:r>
    </w:p>
    <w:p w14:paraId="20A2EA33" w14:textId="77777777" w:rsidR="00A41AD9" w:rsidRPr="00CB502D" w:rsidRDefault="0061577E" w:rsidP="00CE5F9F">
      <w:pPr>
        <w:pStyle w:val="Heading3"/>
      </w:pPr>
      <w:r w:rsidRPr="00CB502D">
        <w:t>1.</w:t>
      </w:r>
      <w:r w:rsidRPr="00CB502D">
        <w:tab/>
      </w:r>
      <w:r w:rsidR="00721378" w:rsidRPr="00CB502D">
        <w:t>Intent to Silence Required</w:t>
      </w:r>
      <w:r w:rsidRPr="00CB502D">
        <w:t xml:space="preserve">. </w:t>
      </w:r>
    </w:p>
    <w:p w14:paraId="24FF65EB" w14:textId="77777777" w:rsidR="00721378" w:rsidRPr="00CB502D" w:rsidRDefault="00721378" w:rsidP="003A44D7">
      <w:pPr>
        <w:ind w:left="2160"/>
        <w:rPr>
          <w:i/>
        </w:rPr>
      </w:pPr>
      <w:r w:rsidRPr="00CB502D">
        <w:t xml:space="preserve">In </w:t>
      </w:r>
      <w:r w:rsidRPr="00CB502D">
        <w:rPr>
          <w:rStyle w:val="00BTitalic"/>
          <w:rFonts w:ascii="Arial" w:hAnsi="Arial" w:cs="Arial"/>
          <w:szCs w:val="22"/>
        </w:rPr>
        <w:t>Giles v. California</w:t>
      </w:r>
      <w:r w:rsidRPr="00CB502D">
        <w:t>,</w:t>
      </w:r>
      <w:r w:rsidRPr="00CB502D">
        <w:rPr>
          <w:rStyle w:val="00BTfootnotecallout"/>
          <w:rFonts w:ascii="Arial" w:hAnsi="Arial" w:cs="Arial"/>
        </w:rPr>
        <w:footnoteReference w:id="141"/>
      </w:r>
      <w:r w:rsidRPr="00CB502D">
        <w:t xml:space="preserve"> the United States Supreme Court held that for forfeiture by wrongdoing to apply, the prosecution must establish that the defendant engaged in the wrongdoing with an intent to </w:t>
      </w:r>
      <w:r w:rsidR="004A4279" w:rsidRPr="00CB502D">
        <w:t>make the witness unavailable</w:t>
      </w:r>
      <w:r w:rsidRPr="00CB502D">
        <w:t>.</w:t>
      </w:r>
      <w:r w:rsidR="007101BA" w:rsidRPr="00CB502D">
        <w:rPr>
          <w:rStyle w:val="FootnoteReference"/>
          <w:rFonts w:cs="Arial"/>
          <w:szCs w:val="22"/>
        </w:rPr>
        <w:footnoteReference w:id="142"/>
      </w:r>
      <w:r w:rsidRPr="00CB502D">
        <w:t xml:space="preserve"> It is not enough that the defendant engaged in a wrongful act, for example, killing the witness; the act must have been undertaken with an intent to make the witness unavailable for trial.</w:t>
      </w:r>
    </w:p>
    <w:p w14:paraId="74F5B578" w14:textId="77777777" w:rsidR="00A41AD9" w:rsidRPr="00CB502D" w:rsidRDefault="0061577E" w:rsidP="00CE5F9F">
      <w:pPr>
        <w:pStyle w:val="Heading3"/>
      </w:pPr>
      <w:r w:rsidRPr="00CB502D">
        <w:t>2.</w:t>
      </w:r>
      <w:r w:rsidRPr="00CB502D">
        <w:tab/>
      </w:r>
      <w:r w:rsidR="00721378" w:rsidRPr="00CB502D">
        <w:t>Conduct Triggering Forfeiture</w:t>
      </w:r>
      <w:r w:rsidRPr="00CB502D">
        <w:t xml:space="preserve">. </w:t>
      </w:r>
    </w:p>
    <w:p w14:paraId="113FB947" w14:textId="77777777" w:rsidR="00721378" w:rsidRPr="00CB502D" w:rsidRDefault="00721378" w:rsidP="003A44D7">
      <w:pPr>
        <w:ind w:left="2160"/>
      </w:pPr>
      <w:r w:rsidRPr="00CB502D">
        <w:t>Examples of conduct that likely will result in a finding of forfeiture include threatening, killing, or bribing a witness.</w:t>
      </w:r>
      <w:r w:rsidRPr="00CB502D">
        <w:rPr>
          <w:rStyle w:val="00BTfootnotecallout"/>
          <w:rFonts w:ascii="Arial" w:hAnsi="Arial" w:cs="Arial"/>
        </w:rPr>
        <w:footnoteReference w:id="143"/>
      </w:r>
      <w:r w:rsidRPr="00CB502D">
        <w:t xml:space="preserve"> However, </w:t>
      </w:r>
      <w:r w:rsidRPr="00CB502D">
        <w:rPr>
          <w:rStyle w:val="00BTitalic"/>
          <w:rFonts w:ascii="Arial" w:hAnsi="Arial" w:cs="Arial"/>
          <w:szCs w:val="22"/>
        </w:rPr>
        <w:t>Giles</w:t>
      </w:r>
      <w:r w:rsidRPr="00CB502D">
        <w:t xml:space="preserve"> suggests that the doctrine has broader reach. Addressing domestic violence, the Court stated:</w:t>
      </w:r>
    </w:p>
    <w:p w14:paraId="54B395DC" w14:textId="77777777" w:rsidR="007D50E7" w:rsidRPr="00CB502D" w:rsidRDefault="007D50E7" w:rsidP="003A44D7">
      <w:pPr>
        <w:ind w:left="2160"/>
      </w:pPr>
    </w:p>
    <w:p w14:paraId="0888F430" w14:textId="145491D8" w:rsidR="007D50E7" w:rsidRPr="00CB502D" w:rsidRDefault="00721378" w:rsidP="00020B2A">
      <w:pPr>
        <w:pStyle w:val="01BTextractnoindent01BTstyles"/>
        <w:spacing w:line="240" w:lineRule="auto"/>
        <w:ind w:left="2880"/>
        <w:rPr>
          <w:rFonts w:ascii="Arial" w:hAnsi="Arial" w:cs="Arial"/>
        </w:rPr>
      </w:pPr>
      <w:r w:rsidRPr="00CB502D">
        <w:rPr>
          <w:rFonts w:ascii="Arial" w:hAnsi="Arial" w:cs="Arial"/>
        </w:rPr>
        <w:t>Acts of domestic violence often are intended to dissuade a victim from resorting to outside help, and include conduct designed to prevent testimony to police officers or cooperation in criminal prosecutions. Where such an abusive relationship culminates in murder, the evidence may support a finding that the crime expressed the intent to isolate the victim and to stop her from reporting abuse to the authorities or cooperating with a criminal prosecution—rendering her prior statements admissible under the</w:t>
      </w:r>
      <w:r w:rsidR="00632576" w:rsidRPr="00CB502D">
        <w:rPr>
          <w:rFonts w:ascii="Arial" w:hAnsi="Arial" w:cs="Arial"/>
        </w:rPr>
        <w:t xml:space="preserve"> </w:t>
      </w:r>
      <w:r w:rsidRPr="00CB502D">
        <w:rPr>
          <w:rFonts w:ascii="Arial" w:hAnsi="Arial" w:cs="Arial"/>
        </w:rPr>
        <w:t>f</w:t>
      </w:r>
      <w:r w:rsidR="007101BA" w:rsidRPr="00CB502D">
        <w:rPr>
          <w:rFonts w:ascii="Arial" w:hAnsi="Arial" w:cs="Arial"/>
        </w:rPr>
        <w:t>orf</w:t>
      </w:r>
      <w:r w:rsidRPr="00CB502D">
        <w:rPr>
          <w:rFonts w:ascii="Arial" w:hAnsi="Arial" w:cs="Arial"/>
        </w:rPr>
        <w:t>eiture doctrine. Earlier abuse, or threats of abuse, intended to dissuade the victim from resorting to outside help would be</w:t>
      </w:r>
      <w:r w:rsidR="00632576" w:rsidRPr="00CB502D">
        <w:rPr>
          <w:rFonts w:ascii="Arial" w:hAnsi="Arial" w:cs="Arial"/>
        </w:rPr>
        <w:t xml:space="preserve"> </w:t>
      </w:r>
      <w:r w:rsidRPr="00CB502D">
        <w:rPr>
          <w:rFonts w:ascii="Arial" w:hAnsi="Arial" w:cs="Arial"/>
        </w:rPr>
        <w:t>highly relevant to this inquiry, as would evidence of ongoing</w:t>
      </w:r>
      <w:r w:rsidR="00632576" w:rsidRPr="00CB502D">
        <w:rPr>
          <w:rFonts w:ascii="Arial" w:hAnsi="Arial" w:cs="Arial"/>
        </w:rPr>
        <w:t xml:space="preserve"> </w:t>
      </w:r>
      <w:r w:rsidRPr="00CB502D">
        <w:rPr>
          <w:rFonts w:ascii="Arial" w:hAnsi="Arial" w:cs="Arial"/>
        </w:rPr>
        <w:t>criminal proceedings at which the victim would have been expected to testify.</w:t>
      </w:r>
      <w:r w:rsidRPr="00CB502D">
        <w:rPr>
          <w:rStyle w:val="00BTfootnotecallout"/>
          <w:rFonts w:ascii="Arial" w:hAnsi="Arial" w:cs="Arial"/>
        </w:rPr>
        <w:footnoteReference w:id="144"/>
      </w:r>
      <w:r w:rsidR="00632576" w:rsidRPr="00CB502D">
        <w:rPr>
          <w:rFonts w:ascii="Arial" w:hAnsi="Arial" w:cs="Arial"/>
        </w:rPr>
        <w:t xml:space="preserve"> </w:t>
      </w:r>
    </w:p>
    <w:p w14:paraId="090C920F" w14:textId="77777777" w:rsidR="00632576" w:rsidRPr="00CB502D" w:rsidRDefault="00632576" w:rsidP="00020B2A">
      <w:pPr>
        <w:pStyle w:val="01BTextractnoindent01BTstyles"/>
        <w:spacing w:line="240" w:lineRule="auto"/>
        <w:ind w:left="2880"/>
        <w:rPr>
          <w:rFonts w:ascii="Arial" w:hAnsi="Arial" w:cs="Arial"/>
        </w:rPr>
      </w:pPr>
      <w:r w:rsidRPr="00CB502D">
        <w:rPr>
          <w:rFonts w:ascii="Arial" w:hAnsi="Arial" w:cs="Arial"/>
        </w:rPr>
        <w:t xml:space="preserve"> </w:t>
      </w:r>
    </w:p>
    <w:p w14:paraId="424BFAE7" w14:textId="77777777" w:rsidR="00A41AD9" w:rsidRPr="00CB502D" w:rsidRDefault="0061577E" w:rsidP="00CE5F9F">
      <w:pPr>
        <w:pStyle w:val="Heading3"/>
      </w:pPr>
      <w:r w:rsidRPr="00CB502D">
        <w:t>3.</w:t>
      </w:r>
      <w:r w:rsidRPr="00CB502D">
        <w:tab/>
      </w:r>
      <w:r w:rsidR="00721378" w:rsidRPr="00CB502D">
        <w:t>Wrongdoing by Intermediaries</w:t>
      </w:r>
      <w:r w:rsidRPr="00CB502D">
        <w:t xml:space="preserve">. </w:t>
      </w:r>
    </w:p>
    <w:p w14:paraId="77E54542" w14:textId="77777777" w:rsidR="0087698D" w:rsidRPr="00CB502D" w:rsidRDefault="00721378" w:rsidP="003A44D7">
      <w:pPr>
        <w:ind w:left="2160"/>
      </w:pPr>
      <w:r w:rsidRPr="00CB502D">
        <w:t xml:space="preserve">The </w:t>
      </w:r>
      <w:r w:rsidRPr="00CB502D">
        <w:rPr>
          <w:rStyle w:val="00BTitalic"/>
          <w:rFonts w:ascii="Arial" w:hAnsi="Arial" w:cs="Arial"/>
        </w:rPr>
        <w:t>Giles</w:t>
      </w:r>
      <w:r w:rsidRPr="00CB502D">
        <w:t xml:space="preserve"> Court suggested that forfeiture applies not only when the defendant personally engages in the wrongdoing that brings about the witness’s absence but also when the defendant “uses an intermediary for the purpose of making a witness absent.”</w:t>
      </w:r>
      <w:r w:rsidRPr="00CB502D">
        <w:rPr>
          <w:rStyle w:val="00BTfootnotecallout"/>
          <w:rFonts w:ascii="Arial" w:hAnsi="Arial" w:cs="Arial"/>
        </w:rPr>
        <w:footnoteReference w:id="145"/>
      </w:r>
    </w:p>
    <w:p w14:paraId="319EF0E9" w14:textId="77777777" w:rsidR="00A41AD9" w:rsidRPr="00CB502D" w:rsidRDefault="00A41AD9" w:rsidP="00CE5F9F">
      <w:pPr>
        <w:pStyle w:val="Heading3"/>
      </w:pPr>
      <w:r w:rsidRPr="00CB502D">
        <w:lastRenderedPageBreak/>
        <w:t>4.</w:t>
      </w:r>
      <w:r w:rsidRPr="00CB502D">
        <w:tab/>
      </w:r>
      <w:r w:rsidR="0087698D" w:rsidRPr="00CB502D">
        <w:t xml:space="preserve">Conspiracy Theory. </w:t>
      </w:r>
    </w:p>
    <w:p w14:paraId="398CDEE8" w14:textId="1C491422" w:rsidR="00632576" w:rsidRPr="00CB502D" w:rsidRDefault="0087698D" w:rsidP="003A44D7">
      <w:pPr>
        <w:ind w:left="2160"/>
        <w:rPr>
          <w:b/>
          <w:i/>
        </w:rPr>
      </w:pPr>
      <w:r w:rsidRPr="00CB502D">
        <w:t xml:space="preserve">A Fourth Circuit case applied traditional principles of conspiracy liability to the forfeiture by wrongdoing analysis, concluding that the exception may apply when the defendant’s co-conspirators engage in the wrongdoing that renders the </w:t>
      </w:r>
      <w:r w:rsidR="00EA6315">
        <w:t>declarant</w:t>
      </w:r>
      <w:r w:rsidRPr="00CB502D">
        <w:t xml:space="preserve"> unavailable.</w:t>
      </w:r>
      <w:r w:rsidRPr="00CB502D">
        <w:rPr>
          <w:rStyle w:val="FootnoteReference"/>
          <w:rFonts w:cs="Arial"/>
        </w:rPr>
        <w:footnoteReference w:id="146"/>
      </w:r>
      <w:r w:rsidRPr="00CB502D">
        <w:t xml:space="preserve"> The court noted that mere participation in the conspiracy is </w:t>
      </w:r>
      <w:r w:rsidR="00D95F9A" w:rsidRPr="00CB502D">
        <w:t>not enough to trigger liability</w:t>
      </w:r>
      <w:r w:rsidR="00E50229" w:rsidRPr="00CB502D">
        <w:t>; r</w:t>
      </w:r>
      <w:r w:rsidRPr="00CB502D">
        <w:t>ather</w:t>
      </w:r>
      <w:r w:rsidR="005A5788" w:rsidRPr="00CB502D">
        <w:t xml:space="preserve"> the defendant must have (1) participated directly in planning or procuring th</w:t>
      </w:r>
      <w:r w:rsidR="00205A64" w:rsidRPr="00CB502D">
        <w:t>e</w:t>
      </w:r>
      <w:r w:rsidR="005A5788" w:rsidRPr="00CB502D">
        <w:t xml:space="preserve"> declarant’s unavailability through wrongdoing; or (2) the wrongful procurement was in furtherance, within the scope, and reasonably </w:t>
      </w:r>
      <w:r w:rsidR="0002632E" w:rsidRPr="00CB502D">
        <w:t>foreseeable</w:t>
      </w:r>
      <w:r w:rsidR="005A5788" w:rsidRPr="00CB502D">
        <w:t xml:space="preserve"> as a necessary or natural consequence of an ongoing conspiracy.</w:t>
      </w:r>
      <w:r w:rsidR="00632576" w:rsidRPr="00CB502D">
        <w:rPr>
          <w:rStyle w:val="FootnoteReference"/>
          <w:rFonts w:cs="Arial"/>
        </w:rPr>
        <w:footnoteReference w:id="147"/>
      </w:r>
    </w:p>
    <w:p w14:paraId="6C502FF6" w14:textId="77777777" w:rsidR="0002632E" w:rsidRPr="00CB502D" w:rsidRDefault="00A44BF6" w:rsidP="00CE5F9F">
      <w:pPr>
        <w:pStyle w:val="Heading3"/>
        <w:rPr>
          <w:rFonts w:cs="Arial"/>
        </w:rPr>
      </w:pPr>
      <w:r w:rsidRPr="00CB502D">
        <w:t>5</w:t>
      </w:r>
      <w:r w:rsidR="0061577E" w:rsidRPr="00CB502D">
        <w:t>.</w:t>
      </w:r>
      <w:r w:rsidR="0061577E" w:rsidRPr="00CB502D">
        <w:tab/>
      </w:r>
      <w:r w:rsidR="00721378" w:rsidRPr="00CB502D">
        <w:t>Procedural Issues</w:t>
      </w:r>
      <w:r w:rsidR="0061577E" w:rsidRPr="00CB502D">
        <w:t xml:space="preserve">. </w:t>
      </w:r>
    </w:p>
    <w:p w14:paraId="5B4CEDB9" w14:textId="42481159" w:rsidR="007161F5" w:rsidRPr="00CB502D" w:rsidRDefault="005B47CB" w:rsidP="008755E3">
      <w:pPr>
        <w:pStyle w:val="01BTextractnoindent01BTstyles"/>
        <w:spacing w:line="240" w:lineRule="auto"/>
        <w:ind w:left="2880" w:hanging="720"/>
        <w:rPr>
          <w:rFonts w:ascii="Arial" w:hAnsi="Arial" w:cs="Arial"/>
        </w:rPr>
      </w:pPr>
      <w:r w:rsidRPr="00CB502D">
        <w:rPr>
          <w:rFonts w:ascii="Arial" w:hAnsi="Arial" w:cs="Arial"/>
          <w:b/>
        </w:rPr>
        <w:t>a</w:t>
      </w:r>
      <w:r w:rsidR="0061577E" w:rsidRPr="00CB502D">
        <w:rPr>
          <w:rFonts w:ascii="Arial" w:hAnsi="Arial" w:cs="Arial"/>
          <w:b/>
        </w:rPr>
        <w:t>.</w:t>
      </w:r>
      <w:r w:rsidR="0061577E" w:rsidRPr="00CB502D">
        <w:rPr>
          <w:rFonts w:ascii="Arial" w:hAnsi="Arial" w:cs="Arial"/>
          <w:b/>
        </w:rPr>
        <w:tab/>
      </w:r>
      <w:r w:rsidR="00721378" w:rsidRPr="00CB502D">
        <w:rPr>
          <w:rStyle w:val="00BTitalic"/>
          <w:rFonts w:ascii="Arial" w:hAnsi="Arial" w:cs="Arial"/>
          <w:b/>
          <w:i w:val="0"/>
        </w:rPr>
        <w:t>Hearing</w:t>
      </w:r>
      <w:r w:rsidR="00721378" w:rsidRPr="00CB502D">
        <w:rPr>
          <w:rFonts w:ascii="Arial" w:hAnsi="Arial" w:cs="Arial"/>
          <w:b/>
        </w:rPr>
        <w:t>.</w:t>
      </w:r>
      <w:r w:rsidR="004A7E3F" w:rsidRPr="00CB502D">
        <w:rPr>
          <w:rFonts w:ascii="Arial" w:hAnsi="Arial" w:cs="Arial"/>
          <w:i/>
        </w:rPr>
        <w:t xml:space="preserve"> </w:t>
      </w:r>
      <w:r w:rsidR="004A7E3F" w:rsidRPr="00CB502D">
        <w:rPr>
          <w:rFonts w:ascii="Arial" w:hAnsi="Arial" w:cs="Arial"/>
        </w:rPr>
        <w:t>When the S</w:t>
      </w:r>
      <w:r w:rsidR="00721378" w:rsidRPr="00CB502D">
        <w:rPr>
          <w:rFonts w:ascii="Arial" w:hAnsi="Arial" w:cs="Arial"/>
        </w:rPr>
        <w:t xml:space="preserve">tate argues for application of forfeiture by wrongdoing, a hearing may be required. </w:t>
      </w:r>
      <w:r w:rsidR="00070041" w:rsidRPr="00CB502D">
        <w:rPr>
          <w:rFonts w:ascii="Arial" w:hAnsi="Arial" w:cs="Arial"/>
        </w:rPr>
        <w:t>One North Carolina case held that f</w:t>
      </w:r>
      <w:r w:rsidR="004A7E3F" w:rsidRPr="00CB502D">
        <w:rPr>
          <w:rFonts w:ascii="Arial" w:hAnsi="Arial" w:cs="Arial"/>
        </w:rPr>
        <w:t>orfeiture can be found even if the threatened witness fails to testify at the forfeiture hearing.</w:t>
      </w:r>
      <w:r w:rsidR="00070041" w:rsidRPr="00CB502D">
        <w:rPr>
          <w:rStyle w:val="FootnoteReference"/>
          <w:rFonts w:ascii="Arial" w:hAnsi="Arial" w:cs="Arial"/>
        </w:rPr>
        <w:footnoteReference w:id="148"/>
      </w:r>
      <w:r w:rsidR="004A7E3F" w:rsidRPr="00CB502D">
        <w:rPr>
          <w:rFonts w:ascii="Arial" w:hAnsi="Arial" w:cs="Arial"/>
        </w:rPr>
        <w:t xml:space="preserve"> </w:t>
      </w:r>
    </w:p>
    <w:p w14:paraId="3148A7B4" w14:textId="14230FD6" w:rsidR="000930C4" w:rsidRPr="00CB502D" w:rsidRDefault="005B47CB" w:rsidP="008755E3">
      <w:pPr>
        <w:pStyle w:val="01BTextractnoindent01BTstyles"/>
        <w:spacing w:line="240" w:lineRule="auto"/>
        <w:ind w:left="2880" w:hanging="720"/>
      </w:pPr>
      <w:r w:rsidRPr="00CB502D">
        <w:rPr>
          <w:rFonts w:ascii="Arial" w:hAnsi="Arial" w:cs="Arial"/>
          <w:b/>
        </w:rPr>
        <w:t>b</w:t>
      </w:r>
      <w:r w:rsidR="0061577E" w:rsidRPr="00CB502D">
        <w:rPr>
          <w:rFonts w:ascii="Arial" w:hAnsi="Arial" w:cs="Arial"/>
          <w:b/>
        </w:rPr>
        <w:t>.</w:t>
      </w:r>
      <w:r w:rsidR="0061577E" w:rsidRPr="00CB502D">
        <w:tab/>
      </w:r>
      <w:r w:rsidR="00721378" w:rsidRPr="00CB502D">
        <w:rPr>
          <w:rStyle w:val="00BTitalic"/>
          <w:rFonts w:ascii="Arial" w:hAnsi="Arial" w:cs="Arial"/>
          <w:b/>
          <w:i w:val="0"/>
        </w:rPr>
        <w:t>Standard</w:t>
      </w:r>
      <w:r w:rsidR="00721378" w:rsidRPr="00CB502D">
        <w:rPr>
          <w:rFonts w:ascii="Arial" w:hAnsi="Arial" w:cs="Arial"/>
        </w:rPr>
        <w:t xml:space="preserve">. Although the United States Supreme Court has not ruled on the issue, </w:t>
      </w:r>
      <w:r w:rsidR="00112D19">
        <w:rPr>
          <w:rFonts w:ascii="Arial" w:hAnsi="Arial" w:cs="Arial"/>
        </w:rPr>
        <w:t>North Carolina and other courts</w:t>
      </w:r>
      <w:r w:rsidR="00721378" w:rsidRPr="00CB502D">
        <w:rPr>
          <w:rFonts w:ascii="Arial" w:hAnsi="Arial" w:cs="Arial"/>
        </w:rPr>
        <w:t xml:space="preserve"> apply a preponderance of the evidence standard to the forfeiture by wrongdoing inquiry.</w:t>
      </w:r>
      <w:r w:rsidR="00721378" w:rsidRPr="00CB502D">
        <w:rPr>
          <w:rStyle w:val="00BTfootnotecallout"/>
          <w:rFonts w:ascii="Arial" w:hAnsi="Arial" w:cs="Arial"/>
        </w:rPr>
        <w:footnoteReference w:id="149"/>
      </w:r>
    </w:p>
    <w:p w14:paraId="4BEA6DBB" w14:textId="77777777" w:rsidR="00EA6585" w:rsidRDefault="00EA6585" w:rsidP="00EA6585">
      <w:pPr>
        <w:pStyle w:val="00Bhead00Heads"/>
        <w:spacing w:before="0" w:line="240" w:lineRule="auto"/>
        <w:outlineLvl w:val="1"/>
        <w:rPr>
          <w:rStyle w:val="Heading2Char"/>
        </w:rPr>
      </w:pPr>
      <w:bookmarkStart w:id="272" w:name="Declarations"/>
      <w:bookmarkStart w:id="273" w:name="_Toc398033831"/>
    </w:p>
    <w:p w14:paraId="4BE880A3" w14:textId="4895009C" w:rsidR="00A41AD9" w:rsidRPr="00CB502D" w:rsidRDefault="00721378" w:rsidP="00EA6585">
      <w:pPr>
        <w:pStyle w:val="00Bhead00Heads"/>
        <w:numPr>
          <w:ilvl w:val="0"/>
          <w:numId w:val="106"/>
        </w:numPr>
        <w:spacing w:before="0" w:line="240" w:lineRule="auto"/>
        <w:ind w:left="1440" w:hanging="720"/>
        <w:outlineLvl w:val="1"/>
        <w:rPr>
          <w:rFonts w:ascii="Arial" w:hAnsi="Arial" w:cs="Arial"/>
        </w:rPr>
      </w:pPr>
      <w:bookmarkStart w:id="274" w:name="_Toc223718265"/>
      <w:bookmarkStart w:id="275" w:name="_Toc223718521"/>
      <w:bookmarkStart w:id="276" w:name="_Toc223731910"/>
      <w:r w:rsidRPr="00CB502D">
        <w:rPr>
          <w:rStyle w:val="Heading2Char"/>
        </w:rPr>
        <w:t>Dying Declarations</w:t>
      </w:r>
      <w:bookmarkEnd w:id="272"/>
      <w:r w:rsidR="0061577E" w:rsidRPr="00CB502D">
        <w:rPr>
          <w:rFonts w:ascii="Arial" w:hAnsi="Arial" w:cs="Arial"/>
          <w:b/>
        </w:rPr>
        <w:t>.</w:t>
      </w:r>
      <w:bookmarkEnd w:id="273"/>
      <w:bookmarkEnd w:id="274"/>
      <w:bookmarkEnd w:id="275"/>
      <w:bookmarkEnd w:id="276"/>
      <w:r w:rsidR="0061577E" w:rsidRPr="00CB502D">
        <w:rPr>
          <w:rFonts w:ascii="Arial" w:hAnsi="Arial" w:cs="Arial"/>
        </w:rPr>
        <w:t xml:space="preserve"> </w:t>
      </w:r>
    </w:p>
    <w:p w14:paraId="319BCC13" w14:textId="66930762" w:rsidR="00721378" w:rsidRPr="00CB502D" w:rsidRDefault="00721378" w:rsidP="003A44D7">
      <w:pPr>
        <w:ind w:left="1440"/>
      </w:pPr>
      <w:r w:rsidRPr="00CB502D">
        <w:t xml:space="preserve">Although </w:t>
      </w:r>
      <w:r w:rsidRPr="00CB502D">
        <w:rPr>
          <w:rStyle w:val="00BTitalic"/>
          <w:rFonts w:ascii="Arial" w:hAnsi="Arial" w:cs="Arial"/>
        </w:rPr>
        <w:t>Crawford</w:t>
      </w:r>
      <w:r w:rsidRPr="00CB502D">
        <w:rPr>
          <w:rStyle w:val="00BTitalic"/>
          <w:rFonts w:ascii="Arial" w:hAnsi="Arial" w:cs="Arial"/>
          <w:i w:val="0"/>
        </w:rPr>
        <w:t xml:space="preserve"> </w:t>
      </w:r>
      <w:r w:rsidRPr="00CB502D">
        <w:t xml:space="preserve">acknowledged cases supporting a dying declaration exception to the </w:t>
      </w:r>
      <w:r w:rsidR="00AE664A">
        <w:t>Confrontation Clause</w:t>
      </w:r>
      <w:r w:rsidRPr="00CB502D">
        <w:t>, it declined to rule on the issue.</w:t>
      </w:r>
      <w:r w:rsidRPr="00CB502D">
        <w:rPr>
          <w:rStyle w:val="00BTfootnotecallout"/>
          <w:rFonts w:ascii="Arial" w:hAnsi="Arial" w:cs="Arial"/>
        </w:rPr>
        <w:footnoteReference w:id="150"/>
      </w:r>
      <w:r w:rsidRPr="00CB502D">
        <w:t xml:space="preserve"> However, the North Carolina Court of Appeals has recognized such an exception to the </w:t>
      </w:r>
      <w:r w:rsidRPr="00CB502D">
        <w:rPr>
          <w:rStyle w:val="00BTitalic"/>
          <w:rFonts w:ascii="Arial" w:hAnsi="Arial" w:cs="Arial"/>
        </w:rPr>
        <w:t>Crawford</w:t>
      </w:r>
      <w:r w:rsidRPr="00CB502D">
        <w:t xml:space="preserve"> rule.</w:t>
      </w:r>
      <w:r w:rsidRPr="00CB502D">
        <w:rPr>
          <w:rStyle w:val="00BTfootnotecallout"/>
          <w:rFonts w:ascii="Arial" w:hAnsi="Arial" w:cs="Arial"/>
        </w:rPr>
        <w:footnoteReference w:id="151"/>
      </w:r>
    </w:p>
    <w:p w14:paraId="316A35E9" w14:textId="77777777" w:rsidR="00336DFA" w:rsidRDefault="00336DFA" w:rsidP="00FE4E2C">
      <w:pPr>
        <w:ind w:right="720"/>
        <w:rPr>
          <w:i/>
        </w:rPr>
      </w:pPr>
    </w:p>
    <w:p w14:paraId="05907974" w14:textId="7295C310" w:rsidR="00FE4E2C" w:rsidRDefault="00FE4E2C" w:rsidP="00633156">
      <w:pPr>
        <w:pStyle w:val="Heading2"/>
        <w:numPr>
          <w:ilvl w:val="0"/>
          <w:numId w:val="106"/>
        </w:numPr>
        <w:ind w:left="1440" w:hanging="720"/>
      </w:pPr>
      <w:bookmarkStart w:id="277" w:name="_Toc223718266"/>
      <w:bookmarkStart w:id="278" w:name="_Toc223718522"/>
      <w:bookmarkStart w:id="279" w:name="_Toc223731911"/>
      <w:r w:rsidRPr="00EA6585">
        <w:t>Opening the Door</w:t>
      </w:r>
      <w:r w:rsidR="008A2F15" w:rsidRPr="00EA6585">
        <w:t>.</w:t>
      </w:r>
      <w:bookmarkEnd w:id="277"/>
      <w:bookmarkEnd w:id="278"/>
      <w:bookmarkEnd w:id="279"/>
      <w:r w:rsidR="00240DC1" w:rsidRPr="00EA6585">
        <w:t xml:space="preserve"> </w:t>
      </w:r>
    </w:p>
    <w:p w14:paraId="3F6FFEA9" w14:textId="5A913364" w:rsidR="00A01864" w:rsidRDefault="00A01864" w:rsidP="00A01864">
      <w:pPr>
        <w:pStyle w:val="ListParagraph"/>
        <w:spacing w:after="0" w:line="240" w:lineRule="auto"/>
        <w:ind w:left="1440"/>
        <w:rPr>
          <w:rFonts w:ascii="Arial" w:hAnsi="Arial" w:cs="Arial"/>
          <w:iCs/>
        </w:rPr>
      </w:pPr>
      <w:r>
        <w:rPr>
          <w:rFonts w:ascii="Arial" w:hAnsi="Arial" w:cs="Arial"/>
          <w:iCs/>
        </w:rPr>
        <w:t xml:space="preserve">In </w:t>
      </w:r>
      <w:r w:rsidRPr="002A33CE">
        <w:rPr>
          <w:rFonts w:ascii="Arial" w:hAnsi="Arial" w:cs="Arial"/>
          <w:i/>
        </w:rPr>
        <w:t>Hemphill v. New York</w:t>
      </w:r>
      <w:r>
        <w:rPr>
          <w:rFonts w:ascii="Arial" w:hAnsi="Arial" w:cs="Arial"/>
          <w:iCs/>
        </w:rPr>
        <w:t xml:space="preserve">, the Court considered whether an exception to the </w:t>
      </w:r>
      <w:r w:rsidR="00AE664A">
        <w:rPr>
          <w:rFonts w:ascii="Arial" w:hAnsi="Arial" w:cs="Arial"/>
          <w:iCs/>
        </w:rPr>
        <w:t>Confrontation Clause</w:t>
      </w:r>
      <w:r>
        <w:rPr>
          <w:rFonts w:ascii="Arial" w:hAnsi="Arial" w:cs="Arial"/>
          <w:iCs/>
        </w:rPr>
        <w:t xml:space="preserve"> exists where the defendant has opened the door to rebuttal evidence by presenting incomplete or misleading arguments.</w:t>
      </w:r>
      <w:r w:rsidRPr="00CB502D">
        <w:rPr>
          <w:rStyle w:val="00BTfootnotecallout"/>
          <w:rFonts w:ascii="Arial" w:hAnsi="Arial" w:cs="Arial"/>
        </w:rPr>
        <w:footnoteReference w:id="152"/>
      </w:r>
      <w:r>
        <w:rPr>
          <w:rFonts w:ascii="Arial" w:hAnsi="Arial" w:cs="Arial"/>
          <w:iCs/>
        </w:rPr>
        <w:t xml:space="preserve"> In </w:t>
      </w:r>
      <w:r w:rsidRPr="00657300">
        <w:rPr>
          <w:rFonts w:ascii="Arial" w:hAnsi="Arial" w:cs="Arial"/>
          <w:i/>
        </w:rPr>
        <w:t>Hemphill</w:t>
      </w:r>
      <w:r>
        <w:rPr>
          <w:rFonts w:ascii="Arial" w:hAnsi="Arial" w:cs="Arial"/>
          <w:i/>
        </w:rPr>
        <w:t xml:space="preserve">, </w:t>
      </w:r>
      <w:r>
        <w:rPr>
          <w:rFonts w:ascii="Arial" w:hAnsi="Arial" w:cs="Arial"/>
          <w:iCs/>
        </w:rPr>
        <w:t xml:space="preserve">police initially suspected Morris of murder after finding both 9-millmeter and .357-caliber bullet casings in his apartment. The victim had been killed with a 9-millimeter bullet. Morris ultimately pleaded guilty to possession of a .357 revolver in exchange for dismissal of the murder charge. DNA evidence later led police to </w:t>
      </w:r>
      <w:r>
        <w:rPr>
          <w:rFonts w:ascii="Arial" w:hAnsi="Arial" w:cs="Arial"/>
          <w:iCs/>
        </w:rPr>
        <w:lastRenderedPageBreak/>
        <w:t>charge Hemphill with the murder. At trial, the defendant elicited testimony from a prosecution witness that 9-millimeter ammunition had been found in Morris’s apartment, implicating Morris as the shooter. Morris was not available to testify, and the prosecution sought to introduce his plea transcript to rebut the implication that Morris had been involved in the killing. The trial court allowed the plea transcript to be entered into evidence over the defendant’s confrontation objection, reasoning that the defendant had opened the door to that evidence by presenting misleading evidence of Morris’s guilt. The U.S. Supreme Court reversed, finding that the admission of Morris’s plea transcript without an opportunity for the defendant to cross-examine Morris violated the Confrontation Clause. According to the Court:</w:t>
      </w:r>
    </w:p>
    <w:p w14:paraId="46896BD1" w14:textId="77777777" w:rsidR="00A01864" w:rsidRDefault="00A01864" w:rsidP="00A01864">
      <w:pPr>
        <w:pStyle w:val="ListParagraph"/>
        <w:spacing w:after="0" w:line="240" w:lineRule="auto"/>
        <w:ind w:left="1350" w:right="720"/>
        <w:rPr>
          <w:rFonts w:ascii="Arial" w:hAnsi="Arial" w:cs="Arial"/>
          <w:iCs/>
        </w:rPr>
      </w:pPr>
    </w:p>
    <w:p w14:paraId="20FA0346" w14:textId="77777777" w:rsidR="00A01864" w:rsidRDefault="00A01864" w:rsidP="00A01864">
      <w:pPr>
        <w:pStyle w:val="ListParagraph"/>
        <w:spacing w:after="0" w:line="240" w:lineRule="auto"/>
        <w:ind w:left="2160" w:right="720"/>
        <w:rPr>
          <w:rFonts w:ascii="Arial" w:hAnsi="Arial" w:cs="Arial"/>
          <w:iCs/>
        </w:rPr>
      </w:pPr>
      <w:r>
        <w:rPr>
          <w:rFonts w:ascii="Arial" w:hAnsi="Arial" w:cs="Arial"/>
          <w:iCs/>
        </w:rPr>
        <w:t xml:space="preserve">For Confrontation Clause purposes, it was not for the judge to determine whether Hemphill’s theory that Morris was the shooter was unreliable, incredible, or otherwise misleading </w:t>
      </w:r>
      <w:proofErr w:type="gramStart"/>
      <w:r>
        <w:rPr>
          <w:rFonts w:ascii="Arial" w:hAnsi="Arial" w:cs="Arial"/>
          <w:iCs/>
        </w:rPr>
        <w:t>in light of</w:t>
      </w:r>
      <w:proofErr w:type="gramEnd"/>
      <w:r>
        <w:rPr>
          <w:rFonts w:ascii="Arial" w:hAnsi="Arial" w:cs="Arial"/>
          <w:iCs/>
        </w:rPr>
        <w:t xml:space="preserve"> the State’s proffered, unconfronted plea evidence. Nor, under the Clause, was it the judge’s role to decide that this evidence was reasonably necessary to correct that misleading impression. Such inquiries are antithetical to the Confrontation Clause.</w:t>
      </w:r>
      <w:r w:rsidRPr="00CB502D">
        <w:rPr>
          <w:rStyle w:val="00BTfootnotecallout"/>
          <w:rFonts w:ascii="Arial" w:hAnsi="Arial" w:cs="Arial"/>
        </w:rPr>
        <w:footnoteReference w:id="153"/>
      </w:r>
    </w:p>
    <w:p w14:paraId="325C5FCF" w14:textId="77777777" w:rsidR="00A01864" w:rsidRDefault="00A01864" w:rsidP="00A01864">
      <w:pPr>
        <w:pStyle w:val="ListParagraph"/>
        <w:spacing w:after="0" w:line="240" w:lineRule="auto"/>
        <w:ind w:left="2160" w:right="720"/>
        <w:rPr>
          <w:rFonts w:ascii="Arial" w:hAnsi="Arial" w:cs="Arial"/>
          <w:iCs/>
        </w:rPr>
      </w:pPr>
    </w:p>
    <w:p w14:paraId="1CD457B3" w14:textId="77777777" w:rsidR="00A01864" w:rsidRDefault="00A01864" w:rsidP="00A01864">
      <w:pPr>
        <w:ind w:left="1440"/>
        <w:rPr>
          <w:rFonts w:cs="Arial"/>
          <w:iCs/>
        </w:rPr>
      </w:pPr>
      <w:r>
        <w:rPr>
          <w:rFonts w:cs="Arial"/>
          <w:iCs/>
        </w:rPr>
        <w:t xml:space="preserve">The </w:t>
      </w:r>
      <w:r w:rsidRPr="00192DBF">
        <w:rPr>
          <w:rFonts w:cs="Arial"/>
          <w:i/>
        </w:rPr>
        <w:t>Hemphill</w:t>
      </w:r>
      <w:r>
        <w:rPr>
          <w:rFonts w:cs="Arial"/>
          <w:iCs/>
        </w:rPr>
        <w:t xml:space="preserve"> Court also rejected the notion that the defendant could open the door to evidence that would otherwise violate the Confrontation Clause. “[T]he Court has not held that defendants can ‘open the door’ to violations of constitutional requirements merely by making evidence relevant to contradict their defense.”</w:t>
      </w:r>
      <w:r w:rsidRPr="00CB502D">
        <w:rPr>
          <w:rStyle w:val="00BTfootnotecallout"/>
          <w:rFonts w:ascii="Arial" w:hAnsi="Arial" w:cs="Arial"/>
        </w:rPr>
        <w:footnoteReference w:id="154"/>
      </w:r>
      <w:r>
        <w:rPr>
          <w:rFonts w:cs="Arial"/>
          <w:iCs/>
        </w:rPr>
        <w:t xml:space="preserve"> </w:t>
      </w:r>
    </w:p>
    <w:p w14:paraId="7DF69831" w14:textId="77777777" w:rsidR="00A01864" w:rsidRPr="00A01864" w:rsidRDefault="00A01864" w:rsidP="00A01864"/>
    <w:p w14:paraId="5620AD23" w14:textId="26E1A305" w:rsidR="00A01864" w:rsidRPr="00A01864" w:rsidRDefault="00A01864" w:rsidP="00633156">
      <w:pPr>
        <w:pStyle w:val="Heading2"/>
        <w:numPr>
          <w:ilvl w:val="0"/>
          <w:numId w:val="106"/>
        </w:numPr>
        <w:ind w:left="1440" w:hanging="720"/>
      </w:pPr>
      <w:bookmarkStart w:id="280" w:name="_Toc223718267"/>
      <w:bookmarkStart w:id="281" w:name="_Toc223718523"/>
      <w:bookmarkStart w:id="282" w:name="_Toc223731912"/>
      <w:r>
        <w:t>Rule of Completeness.</w:t>
      </w:r>
      <w:bookmarkEnd w:id="280"/>
      <w:bookmarkEnd w:id="281"/>
      <w:bookmarkEnd w:id="282"/>
    </w:p>
    <w:p w14:paraId="02942FB7" w14:textId="770BEA88" w:rsidR="00031578" w:rsidRPr="00A01864" w:rsidRDefault="008F49C7" w:rsidP="00A01864">
      <w:pPr>
        <w:ind w:left="1440"/>
        <w:rPr>
          <w:rFonts w:cs="Arial"/>
          <w:iCs/>
        </w:rPr>
      </w:pPr>
      <w:r w:rsidRPr="00A01864">
        <w:rPr>
          <w:rFonts w:cs="Arial"/>
          <w:i/>
        </w:rPr>
        <w:t>Hemphill</w:t>
      </w:r>
      <w:r w:rsidRPr="00A01864">
        <w:rPr>
          <w:rFonts w:cs="Arial"/>
          <w:iCs/>
        </w:rPr>
        <w:t xml:space="preserve"> </w:t>
      </w:r>
      <w:r w:rsidR="00970601" w:rsidRPr="00A01864">
        <w:rPr>
          <w:rFonts w:cs="Arial"/>
          <w:iCs/>
        </w:rPr>
        <w:t xml:space="preserve">noted </w:t>
      </w:r>
      <w:r w:rsidR="0053786C" w:rsidRPr="00A01864">
        <w:rPr>
          <w:rFonts w:cs="Arial"/>
          <w:iCs/>
        </w:rPr>
        <w:t>t</w:t>
      </w:r>
      <w:r w:rsidR="00970601" w:rsidRPr="00A01864">
        <w:rPr>
          <w:rFonts w:cs="Arial"/>
          <w:iCs/>
        </w:rPr>
        <w:t xml:space="preserve">hat </w:t>
      </w:r>
      <w:r w:rsidRPr="00A01864">
        <w:rPr>
          <w:rFonts w:cs="Arial"/>
          <w:iCs/>
        </w:rPr>
        <w:t>the Court’s</w:t>
      </w:r>
      <w:r w:rsidR="00970601" w:rsidRPr="00A01864">
        <w:rPr>
          <w:rFonts w:cs="Arial"/>
          <w:iCs/>
        </w:rPr>
        <w:t xml:space="preserve"> decision did not affect the common-law rule of completeness</w:t>
      </w:r>
      <w:r w:rsidR="00514EB8" w:rsidRPr="00A01864">
        <w:rPr>
          <w:rFonts w:cs="Arial"/>
          <w:iCs/>
        </w:rPr>
        <w:t>,</w:t>
      </w:r>
      <w:r w:rsidR="008A2F15" w:rsidRPr="00CB502D">
        <w:rPr>
          <w:rStyle w:val="00BTfootnotecallout"/>
          <w:rFonts w:ascii="Arial" w:hAnsi="Arial" w:cs="Arial"/>
        </w:rPr>
        <w:footnoteReference w:id="155"/>
      </w:r>
      <w:r w:rsidR="00514EB8" w:rsidRPr="00A01864">
        <w:rPr>
          <w:rFonts w:cs="Arial"/>
          <w:iCs/>
        </w:rPr>
        <w:t xml:space="preserve"> where the party against whom a</w:t>
      </w:r>
      <w:r w:rsidR="00521A03" w:rsidRPr="00A01864">
        <w:rPr>
          <w:rFonts w:cs="Arial"/>
          <w:iCs/>
        </w:rPr>
        <w:t xml:space="preserve"> written or recorded statement </w:t>
      </w:r>
      <w:r w:rsidR="00514EB8" w:rsidRPr="00A01864">
        <w:rPr>
          <w:rFonts w:cs="Arial"/>
          <w:iCs/>
        </w:rPr>
        <w:t>is offered may</w:t>
      </w:r>
      <w:r w:rsidR="001A517F" w:rsidRPr="00A01864">
        <w:rPr>
          <w:rFonts w:cs="Arial"/>
          <w:iCs/>
        </w:rPr>
        <w:t xml:space="preserve"> be permitted to offer the </w:t>
      </w:r>
      <w:r w:rsidR="00020A6C" w:rsidRPr="00A01864">
        <w:rPr>
          <w:rFonts w:cs="Arial"/>
          <w:iCs/>
        </w:rPr>
        <w:t>entire</w:t>
      </w:r>
      <w:r w:rsidR="001A517F" w:rsidRPr="00A01864">
        <w:rPr>
          <w:rFonts w:cs="Arial"/>
          <w:iCs/>
        </w:rPr>
        <w:t xml:space="preserve"> statemen</w:t>
      </w:r>
      <w:r w:rsidR="00020A6C" w:rsidRPr="00A01864">
        <w:rPr>
          <w:rFonts w:cs="Arial"/>
          <w:iCs/>
        </w:rPr>
        <w:t xml:space="preserve">t in the interest of </w:t>
      </w:r>
      <w:r w:rsidRPr="00A01864">
        <w:rPr>
          <w:rFonts w:cs="Arial"/>
          <w:iCs/>
        </w:rPr>
        <w:t xml:space="preserve">fairness and to </w:t>
      </w:r>
      <w:r w:rsidR="001D0107" w:rsidRPr="00A01864">
        <w:rPr>
          <w:rFonts w:cs="Arial"/>
          <w:iCs/>
        </w:rPr>
        <w:t>pro</w:t>
      </w:r>
      <w:r w:rsidRPr="00A01864">
        <w:rPr>
          <w:rFonts w:cs="Arial"/>
          <w:iCs/>
        </w:rPr>
        <w:t>vide the</w:t>
      </w:r>
      <w:r w:rsidR="001D0107" w:rsidRPr="00A01864">
        <w:rPr>
          <w:rFonts w:cs="Arial"/>
          <w:iCs/>
        </w:rPr>
        <w:t xml:space="preserve"> full context of the remarks to the factfinder.</w:t>
      </w:r>
      <w:r w:rsidR="001A517F" w:rsidRPr="00A01864">
        <w:rPr>
          <w:rFonts w:cs="Arial"/>
          <w:iCs/>
        </w:rPr>
        <w:t xml:space="preserve"> Because </w:t>
      </w:r>
      <w:r w:rsidRPr="00A01864">
        <w:rPr>
          <w:rFonts w:cs="Arial"/>
          <w:iCs/>
        </w:rPr>
        <w:t xml:space="preserve">here, </w:t>
      </w:r>
      <w:r w:rsidR="001A517F" w:rsidRPr="00A01864">
        <w:rPr>
          <w:rFonts w:cs="Arial"/>
          <w:iCs/>
        </w:rPr>
        <w:t xml:space="preserve">the </w:t>
      </w:r>
      <w:r w:rsidR="00A9321C" w:rsidRPr="00A01864">
        <w:rPr>
          <w:rFonts w:cs="Arial"/>
          <w:iCs/>
        </w:rPr>
        <w:t>prosecution offered the statements in</w:t>
      </w:r>
      <w:r w:rsidR="00DE4B32" w:rsidRPr="00A01864">
        <w:rPr>
          <w:rFonts w:cs="Arial"/>
          <w:iCs/>
        </w:rPr>
        <w:t xml:space="preserve"> </w:t>
      </w:r>
      <w:r w:rsidR="00FD308F" w:rsidRPr="00A01864">
        <w:rPr>
          <w:rFonts w:cs="Arial"/>
          <w:iCs/>
        </w:rPr>
        <w:t>the plea transcript</w:t>
      </w:r>
      <w:r w:rsidR="0039415C" w:rsidRPr="00A01864">
        <w:rPr>
          <w:rFonts w:cs="Arial"/>
          <w:iCs/>
        </w:rPr>
        <w:t xml:space="preserve"> </w:t>
      </w:r>
      <w:r w:rsidR="003B4164" w:rsidRPr="00A01864">
        <w:rPr>
          <w:rFonts w:cs="Arial"/>
          <w:iCs/>
        </w:rPr>
        <w:t>against the defendant</w:t>
      </w:r>
      <w:r w:rsidR="00246B73" w:rsidRPr="00A01864">
        <w:rPr>
          <w:rFonts w:cs="Arial"/>
          <w:iCs/>
        </w:rPr>
        <w:t xml:space="preserve">, </w:t>
      </w:r>
      <w:r w:rsidR="006C2072" w:rsidRPr="00A01864">
        <w:rPr>
          <w:rFonts w:cs="Arial"/>
          <w:iCs/>
        </w:rPr>
        <w:t>the rule of completeness was inapplicable</w:t>
      </w:r>
      <w:r w:rsidR="00240DC1" w:rsidRPr="00A01864">
        <w:rPr>
          <w:rFonts w:cs="Arial"/>
          <w:iCs/>
        </w:rPr>
        <w:t>.</w:t>
      </w:r>
      <w:r w:rsidR="006C2072" w:rsidRPr="00A01864">
        <w:rPr>
          <w:rFonts w:cs="Arial"/>
          <w:iCs/>
        </w:rPr>
        <w:t xml:space="preserve"> </w:t>
      </w:r>
      <w:r w:rsidR="00240DC1" w:rsidRPr="00A01864">
        <w:rPr>
          <w:rFonts w:cs="Arial"/>
          <w:iCs/>
        </w:rPr>
        <w:t>The</w:t>
      </w:r>
      <w:r w:rsidR="006C2072" w:rsidRPr="00A01864">
        <w:rPr>
          <w:rFonts w:cs="Arial"/>
          <w:iCs/>
        </w:rPr>
        <w:t xml:space="preserve"> Court declined to opine whether or when a testimonial hearsay statement could be offered against a defendant </w:t>
      </w:r>
      <w:r w:rsidR="00240DC1" w:rsidRPr="00A01864">
        <w:rPr>
          <w:rFonts w:cs="Arial"/>
          <w:iCs/>
        </w:rPr>
        <w:t>under the rule of completeness</w:t>
      </w:r>
      <w:r w:rsidR="00827036" w:rsidRPr="00A01864">
        <w:rPr>
          <w:rFonts w:cs="Arial"/>
          <w:iCs/>
        </w:rPr>
        <w:t xml:space="preserve"> but did not rule out that possibility. </w:t>
      </w:r>
      <w:r w:rsidR="009F5E7E" w:rsidRPr="00A01864">
        <w:rPr>
          <w:rFonts w:cs="Arial"/>
          <w:iCs/>
        </w:rPr>
        <w:t>Justice Alito, joined by Justice Kavanaugh</w:t>
      </w:r>
      <w:r w:rsidR="00B4658E" w:rsidRPr="00A01864">
        <w:rPr>
          <w:rFonts w:cs="Arial"/>
          <w:iCs/>
        </w:rPr>
        <w:t xml:space="preserve">, </w:t>
      </w:r>
      <w:r w:rsidR="00934F6C" w:rsidRPr="00A01864">
        <w:rPr>
          <w:rFonts w:cs="Arial"/>
          <w:iCs/>
        </w:rPr>
        <w:t>believed that the rule of completeness</w:t>
      </w:r>
      <w:r w:rsidR="00DA376E" w:rsidRPr="00A01864">
        <w:rPr>
          <w:rFonts w:cs="Arial"/>
          <w:iCs/>
        </w:rPr>
        <w:t>, when applicable</w:t>
      </w:r>
      <w:r w:rsidR="004D35F9" w:rsidRPr="00A01864">
        <w:rPr>
          <w:rFonts w:cs="Arial"/>
          <w:iCs/>
        </w:rPr>
        <w:t xml:space="preserve"> to the defendant, </w:t>
      </w:r>
      <w:r w:rsidR="00246B73" w:rsidRPr="00A01864">
        <w:rPr>
          <w:rFonts w:cs="Arial"/>
          <w:iCs/>
        </w:rPr>
        <w:t>would act</w:t>
      </w:r>
      <w:r w:rsidR="0081020F" w:rsidRPr="00A01864">
        <w:rPr>
          <w:rFonts w:cs="Arial"/>
          <w:iCs/>
        </w:rPr>
        <w:t xml:space="preserve"> as an implied waiver of confrontation rights. </w:t>
      </w:r>
      <w:r w:rsidR="00031578" w:rsidRPr="00A01864">
        <w:rPr>
          <w:rFonts w:cs="Arial"/>
          <w:iCs/>
        </w:rPr>
        <w:t xml:space="preserve">In Justice Alito’s </w:t>
      </w:r>
      <w:r w:rsidR="00E9731E" w:rsidRPr="00A01864">
        <w:rPr>
          <w:rFonts w:cs="Arial"/>
          <w:iCs/>
        </w:rPr>
        <w:t>words</w:t>
      </w:r>
      <w:r w:rsidR="00031578" w:rsidRPr="00A01864">
        <w:rPr>
          <w:rFonts w:cs="Arial"/>
          <w:iCs/>
        </w:rPr>
        <w:t>:</w:t>
      </w:r>
    </w:p>
    <w:p w14:paraId="4B84D1A6" w14:textId="77777777" w:rsidR="00BB4919" w:rsidRDefault="00BB4919" w:rsidP="008A2F15">
      <w:pPr>
        <w:ind w:left="1440" w:right="720"/>
        <w:rPr>
          <w:rFonts w:cs="Arial"/>
          <w:iCs/>
        </w:rPr>
      </w:pPr>
    </w:p>
    <w:p w14:paraId="32DFACDC" w14:textId="01D5A166" w:rsidR="000D1236" w:rsidRDefault="0005453E" w:rsidP="008A2F15">
      <w:pPr>
        <w:ind w:left="2160" w:right="720"/>
        <w:rPr>
          <w:rFonts w:cs="Arial"/>
          <w:iCs/>
        </w:rPr>
      </w:pPr>
      <w:r>
        <w:rPr>
          <w:rFonts w:cs="Arial"/>
          <w:iCs/>
        </w:rPr>
        <w:t xml:space="preserve">By introducing part or </w:t>
      </w:r>
      <w:proofErr w:type="gramStart"/>
      <w:r>
        <w:rPr>
          <w:rFonts w:cs="Arial"/>
          <w:iCs/>
        </w:rPr>
        <w:t>all of</w:t>
      </w:r>
      <w:proofErr w:type="gramEnd"/>
      <w:r>
        <w:rPr>
          <w:rFonts w:cs="Arial"/>
          <w:iCs/>
        </w:rPr>
        <w:t xml:space="preserve"> a statement by an unavailable declarant, a defendant has made a knowing and voluntary decision to permit that declarant to appear as an unconfronted witness.</w:t>
      </w:r>
      <w:r w:rsidR="007C40DB">
        <w:rPr>
          <w:rFonts w:cs="Arial"/>
          <w:iCs/>
        </w:rPr>
        <w:t xml:space="preserve"> </w:t>
      </w:r>
      <w:r w:rsidR="00031578">
        <w:rPr>
          <w:rFonts w:cs="Arial"/>
          <w:iCs/>
        </w:rPr>
        <w:t>As a result, the defendant cannot consistently maintain</w:t>
      </w:r>
      <w:r w:rsidR="00F82600">
        <w:rPr>
          <w:rFonts w:cs="Arial"/>
          <w:iCs/>
        </w:rPr>
        <w:t xml:space="preserve"> that the remainder of the declarant’s statement or the declarant’s other statements on the same subject should not be admitted due to the impossibility of </w:t>
      </w:r>
      <w:r w:rsidR="005D409A">
        <w:rPr>
          <w:rFonts w:cs="Arial"/>
          <w:iCs/>
        </w:rPr>
        <w:t xml:space="preserve">cross-examining the declarant. The </w:t>
      </w:r>
      <w:r w:rsidR="005D409A">
        <w:rPr>
          <w:rFonts w:cs="Arial"/>
          <w:iCs/>
        </w:rPr>
        <w:lastRenderedPageBreak/>
        <w:t xml:space="preserve">defendant’s decision to </w:t>
      </w:r>
      <w:r w:rsidR="0066106A">
        <w:rPr>
          <w:rFonts w:cs="Arial"/>
          <w:iCs/>
        </w:rPr>
        <w:t xml:space="preserve">present the statement of an unavailable declarant is inconsistent with the simultaneous </w:t>
      </w:r>
      <w:r w:rsidR="005D409A">
        <w:rPr>
          <w:rFonts w:cs="Arial"/>
          <w:iCs/>
        </w:rPr>
        <w:t>assertion of the Sixth Amendment right to subject that declarant to cross-examination.</w:t>
      </w:r>
      <w:r w:rsidR="00360539" w:rsidRPr="00CB502D">
        <w:rPr>
          <w:rStyle w:val="00BTfootnotecallout"/>
          <w:rFonts w:ascii="Arial" w:hAnsi="Arial" w:cs="Arial"/>
        </w:rPr>
        <w:footnoteReference w:id="156"/>
      </w:r>
      <w:r w:rsidR="005D409A">
        <w:rPr>
          <w:rFonts w:cs="Arial"/>
          <w:iCs/>
        </w:rPr>
        <w:t xml:space="preserve"> </w:t>
      </w:r>
    </w:p>
    <w:p w14:paraId="703DB6C5" w14:textId="4057CAF5" w:rsidR="00073323" w:rsidRDefault="00073323" w:rsidP="008A2F15">
      <w:pPr>
        <w:ind w:right="720"/>
        <w:rPr>
          <w:rFonts w:cs="Arial"/>
          <w:iCs/>
        </w:rPr>
      </w:pPr>
      <w:r>
        <w:rPr>
          <w:rFonts w:cs="Arial"/>
          <w:iCs/>
        </w:rPr>
        <w:tab/>
      </w:r>
    </w:p>
    <w:p w14:paraId="167B31C2" w14:textId="7B220C4B" w:rsidR="008E2853" w:rsidRPr="00A7308D" w:rsidRDefault="00691FF2" w:rsidP="008A2F15">
      <w:pPr>
        <w:ind w:left="1440" w:right="720"/>
        <w:rPr>
          <w:rFonts w:cs="Arial"/>
          <w:iCs/>
        </w:rPr>
      </w:pPr>
      <w:r>
        <w:rPr>
          <w:rFonts w:cs="Arial"/>
          <w:iCs/>
        </w:rPr>
        <w:t xml:space="preserve">While this language was not adopted by the majority, it </w:t>
      </w:r>
      <w:r w:rsidR="002D569E">
        <w:rPr>
          <w:rFonts w:cs="Arial"/>
          <w:iCs/>
        </w:rPr>
        <w:t>provides</w:t>
      </w:r>
      <w:r>
        <w:rPr>
          <w:rFonts w:cs="Arial"/>
          <w:iCs/>
        </w:rPr>
        <w:t xml:space="preserve"> support for the idea that a defendant may implicitly waive confrontation rights </w:t>
      </w:r>
      <w:r w:rsidR="002D569E">
        <w:rPr>
          <w:rFonts w:cs="Arial"/>
          <w:iCs/>
        </w:rPr>
        <w:t xml:space="preserve">by introducing </w:t>
      </w:r>
      <w:r w:rsidR="00ED623A">
        <w:rPr>
          <w:rFonts w:cs="Arial"/>
          <w:iCs/>
        </w:rPr>
        <w:t>part of a testimonial hearsay statement against the prosecution at trial.</w:t>
      </w:r>
    </w:p>
    <w:p w14:paraId="5DC89FEC" w14:textId="77777777" w:rsidR="007D50E7" w:rsidRPr="00CB502D" w:rsidRDefault="007D50E7" w:rsidP="00CA692F"/>
    <w:p w14:paraId="74AC0729" w14:textId="77777777" w:rsidR="00A41AD9" w:rsidRPr="00CB502D" w:rsidRDefault="00721378" w:rsidP="004C0CD4">
      <w:pPr>
        <w:pStyle w:val="Heading1"/>
      </w:pPr>
      <w:bookmarkStart w:id="283" w:name="_Toc398033832"/>
      <w:bookmarkStart w:id="284" w:name="_Toc223718268"/>
      <w:bookmarkStart w:id="285" w:name="_Toc223718524"/>
      <w:bookmarkStart w:id="286" w:name="_Toc223731913"/>
      <w:bookmarkStart w:id="287" w:name="Waiver"/>
      <w:r w:rsidRPr="003D3377">
        <w:t>Waiver</w:t>
      </w:r>
      <w:r w:rsidR="0061577E" w:rsidRPr="00CB502D">
        <w:t>.</w:t>
      </w:r>
      <w:bookmarkEnd w:id="283"/>
      <w:bookmarkEnd w:id="284"/>
      <w:bookmarkEnd w:id="285"/>
      <w:bookmarkEnd w:id="286"/>
      <w:r w:rsidR="0061577E" w:rsidRPr="00CB502D">
        <w:t xml:space="preserve"> </w:t>
      </w:r>
    </w:p>
    <w:p w14:paraId="069B955A" w14:textId="77777777" w:rsidR="00A41AD9" w:rsidRPr="00CB502D" w:rsidRDefault="00471F28" w:rsidP="00633156">
      <w:pPr>
        <w:pStyle w:val="00Ahead1-line00Heads"/>
        <w:numPr>
          <w:ilvl w:val="0"/>
          <w:numId w:val="95"/>
        </w:numPr>
        <w:spacing w:before="0" w:line="240" w:lineRule="auto"/>
        <w:ind w:left="720" w:firstLine="0"/>
        <w:outlineLvl w:val="1"/>
        <w:rPr>
          <w:rFonts w:ascii="Arial" w:hAnsi="Arial" w:cs="Arial"/>
          <w:sz w:val="22"/>
          <w:szCs w:val="22"/>
        </w:rPr>
      </w:pPr>
      <w:bookmarkStart w:id="288" w:name="waiverGenerally"/>
      <w:bookmarkStart w:id="289" w:name="_Toc398033833"/>
      <w:bookmarkStart w:id="290" w:name="_Toc223718269"/>
      <w:bookmarkStart w:id="291" w:name="_Toc223718525"/>
      <w:bookmarkStart w:id="292" w:name="_Toc223731914"/>
      <w:bookmarkEnd w:id="287"/>
      <w:r w:rsidRPr="00CB502D">
        <w:rPr>
          <w:rStyle w:val="Heading2Char"/>
        </w:rPr>
        <w:t>Generally</w:t>
      </w:r>
      <w:bookmarkEnd w:id="288"/>
      <w:r w:rsidRPr="00CB502D">
        <w:rPr>
          <w:rFonts w:ascii="Arial" w:hAnsi="Arial" w:cs="Arial"/>
          <w:b/>
          <w:sz w:val="22"/>
          <w:szCs w:val="22"/>
        </w:rPr>
        <w:t>.</w:t>
      </w:r>
      <w:bookmarkEnd w:id="289"/>
      <w:bookmarkEnd w:id="290"/>
      <w:bookmarkEnd w:id="291"/>
      <w:bookmarkEnd w:id="292"/>
      <w:r w:rsidRPr="00CB502D">
        <w:rPr>
          <w:rFonts w:ascii="Arial" w:hAnsi="Arial" w:cs="Arial"/>
          <w:b/>
          <w:sz w:val="22"/>
          <w:szCs w:val="22"/>
        </w:rPr>
        <w:t xml:space="preserve"> </w:t>
      </w:r>
    </w:p>
    <w:p w14:paraId="19BD4F13" w14:textId="77777777" w:rsidR="0061577E" w:rsidRPr="00CB502D" w:rsidRDefault="00721378" w:rsidP="003A44D7">
      <w:pPr>
        <w:ind w:left="1440"/>
      </w:pPr>
      <w:r w:rsidRPr="00CB502D">
        <w:t>Confrontation clause rights, like constitutional rights generally, may be waived.</w:t>
      </w:r>
      <w:r w:rsidRPr="00CB502D">
        <w:rPr>
          <w:rStyle w:val="00BTfootnotecallout"/>
          <w:rFonts w:ascii="Arial" w:hAnsi="Arial" w:cs="Arial"/>
        </w:rPr>
        <w:footnoteReference w:id="157"/>
      </w:r>
      <w:r w:rsidRPr="00CB502D">
        <w:t xml:space="preserve"> To be valid, a waiver of </w:t>
      </w:r>
      <w:r w:rsidR="001B04A6" w:rsidRPr="00CB502D">
        <w:t xml:space="preserve">confrontation rights, like a waiver of any </w:t>
      </w:r>
      <w:r w:rsidRPr="00CB502D">
        <w:t>constitutional right</w:t>
      </w:r>
      <w:r w:rsidR="001B04A6" w:rsidRPr="00CB502D">
        <w:t>,</w:t>
      </w:r>
      <w:r w:rsidRPr="00CB502D">
        <w:t xml:space="preserve"> must be knowing, voluntary, and intelligent.</w:t>
      </w:r>
      <w:r w:rsidRPr="00CB502D">
        <w:rPr>
          <w:rStyle w:val="00BTfootnotecallout"/>
          <w:rFonts w:ascii="Arial" w:hAnsi="Arial" w:cs="Arial"/>
        </w:rPr>
        <w:footnoteReference w:id="158"/>
      </w:r>
      <w:r w:rsidR="00070041" w:rsidRPr="00CB502D">
        <w:t xml:space="preserve"> Waivers may be expressed or implied. The sections below expl</w:t>
      </w:r>
      <w:r w:rsidR="00A96DF3" w:rsidRPr="00CB502D">
        <w:t>o</w:t>
      </w:r>
      <w:r w:rsidR="00070041" w:rsidRPr="00CB502D">
        <w:t>re waiver</w:t>
      </w:r>
      <w:r w:rsidR="00DA14D3" w:rsidRPr="00CB502D">
        <w:t xml:space="preserve"> of confrontation </w:t>
      </w:r>
      <w:r w:rsidR="00070041" w:rsidRPr="00CB502D">
        <w:t xml:space="preserve">rights. </w:t>
      </w:r>
    </w:p>
    <w:p w14:paraId="0E8F5A48" w14:textId="77777777" w:rsidR="00514BF9" w:rsidRPr="00CB502D" w:rsidRDefault="00514BF9" w:rsidP="00972203">
      <w:pPr>
        <w:pStyle w:val="00Ahead1-line00Heads"/>
        <w:spacing w:before="0" w:line="240" w:lineRule="auto"/>
        <w:ind w:left="1440"/>
        <w:rPr>
          <w:rFonts w:ascii="Arial" w:hAnsi="Arial" w:cs="Arial"/>
          <w:sz w:val="22"/>
          <w:szCs w:val="22"/>
        </w:rPr>
      </w:pPr>
    </w:p>
    <w:p w14:paraId="2C872F7C" w14:textId="77777777" w:rsidR="00812C52" w:rsidRPr="00CB502D" w:rsidRDefault="00721378" w:rsidP="00633156">
      <w:pPr>
        <w:pStyle w:val="00Ahead1-line00Heads"/>
        <w:numPr>
          <w:ilvl w:val="0"/>
          <w:numId w:val="95"/>
        </w:numPr>
        <w:spacing w:before="0" w:line="240" w:lineRule="auto"/>
        <w:ind w:left="720" w:firstLine="0"/>
        <w:outlineLvl w:val="1"/>
        <w:rPr>
          <w:rFonts w:ascii="Arial" w:hAnsi="Arial" w:cs="Arial"/>
          <w:sz w:val="22"/>
          <w:szCs w:val="22"/>
        </w:rPr>
      </w:pPr>
      <w:bookmarkStart w:id="293" w:name="_Toc398033834"/>
      <w:bookmarkStart w:id="294" w:name="_Toc223718270"/>
      <w:bookmarkStart w:id="295" w:name="_Toc223718526"/>
      <w:bookmarkStart w:id="296" w:name="_Toc223731915"/>
      <w:bookmarkStart w:id="297" w:name="noticedemand"/>
      <w:r w:rsidRPr="00CB502D">
        <w:rPr>
          <w:rStyle w:val="Heading2Char"/>
        </w:rPr>
        <w:t>Notice and Demand Statutes</w:t>
      </w:r>
      <w:r w:rsidR="0061577E" w:rsidRPr="00CB502D">
        <w:rPr>
          <w:rFonts w:ascii="Arial" w:hAnsi="Arial" w:cs="Arial"/>
          <w:b/>
          <w:sz w:val="22"/>
          <w:szCs w:val="22"/>
        </w:rPr>
        <w:t>.</w:t>
      </w:r>
      <w:bookmarkEnd w:id="293"/>
      <w:bookmarkEnd w:id="294"/>
      <w:bookmarkEnd w:id="295"/>
      <w:bookmarkEnd w:id="296"/>
      <w:r w:rsidR="0061577E" w:rsidRPr="00CB502D">
        <w:rPr>
          <w:rFonts w:ascii="Arial" w:hAnsi="Arial" w:cs="Arial"/>
          <w:sz w:val="22"/>
          <w:szCs w:val="22"/>
        </w:rPr>
        <w:t xml:space="preserve"> </w:t>
      </w:r>
    </w:p>
    <w:bookmarkEnd w:id="297"/>
    <w:p w14:paraId="59356BC8" w14:textId="77777777" w:rsidR="00A41AD9" w:rsidRPr="00CB502D" w:rsidRDefault="00812C52" w:rsidP="00A02AFF">
      <w:pPr>
        <w:pStyle w:val="Heading3"/>
        <w:numPr>
          <w:ilvl w:val="0"/>
          <w:numId w:val="96"/>
        </w:numPr>
        <w:rPr>
          <w:rStyle w:val="00BTitalic"/>
          <w:rFonts w:ascii="Arial" w:hAnsi="Arial" w:cs="Arial"/>
          <w:i w:val="0"/>
          <w:iCs w:val="0"/>
          <w:szCs w:val="22"/>
        </w:rPr>
      </w:pPr>
      <w:r w:rsidRPr="00CB502D">
        <w:rPr>
          <w:rStyle w:val="00BTitalic"/>
          <w:rFonts w:ascii="Arial" w:hAnsi="Arial" w:cs="Arial"/>
          <w:i w:val="0"/>
          <w:szCs w:val="22"/>
        </w:rPr>
        <w:t xml:space="preserve">Generally. </w:t>
      </w:r>
    </w:p>
    <w:p w14:paraId="7174B949" w14:textId="77777777" w:rsidR="00812C52" w:rsidRPr="00CB502D" w:rsidRDefault="00721378" w:rsidP="003A44D7">
      <w:pPr>
        <w:ind w:left="2160"/>
      </w:pPr>
      <w:r w:rsidRPr="00CB502D">
        <w:rPr>
          <w:rStyle w:val="00BTitalic"/>
          <w:rFonts w:ascii="Arial" w:hAnsi="Arial" w:cs="Arial"/>
          <w:szCs w:val="22"/>
        </w:rPr>
        <w:t xml:space="preserve">Melendez-Diaz </w:t>
      </w:r>
      <w:r w:rsidRPr="00CB502D">
        <w:t>indicated that states are free to adopt procedural rules governing the exercise</w:t>
      </w:r>
      <w:r w:rsidR="001B04A6" w:rsidRPr="00CB502D">
        <w:t xml:space="preserve"> </w:t>
      </w:r>
      <w:r w:rsidRPr="00CB502D">
        <w:t>of confrontation objections.</w:t>
      </w:r>
      <w:r w:rsidRPr="00CB502D">
        <w:rPr>
          <w:rStyle w:val="00BTfootnotecallout"/>
          <w:rFonts w:ascii="Arial" w:hAnsi="Arial" w:cs="Arial"/>
        </w:rPr>
        <w:footnoteReference w:id="159"/>
      </w:r>
      <w:r w:rsidRPr="00CB502D">
        <w:t xml:space="preserve"> The Court discussed “notice and demand” statutes as one such procedure, noting that in their simplest form these statutes require the prosecution to give the defendant notice that it intends to introduce a testimonial forensic report</w:t>
      </w:r>
      <w:r w:rsidR="00E50229" w:rsidRPr="00CB502D">
        <w:t xml:space="preserve"> </w:t>
      </w:r>
      <w:r w:rsidR="00674563" w:rsidRPr="00CB502D">
        <w:t xml:space="preserve">at trial </w:t>
      </w:r>
      <w:r w:rsidR="00E50229" w:rsidRPr="00CB502D">
        <w:t>without the testimony of the preparer</w:t>
      </w:r>
      <w:r w:rsidRPr="00CB502D">
        <w:t xml:space="preserve">. The defendant then has </w:t>
      </w:r>
      <w:proofErr w:type="gramStart"/>
      <w:r w:rsidRPr="00CB502D">
        <w:t>a period of time</w:t>
      </w:r>
      <w:proofErr w:type="gramEnd"/>
      <w:r w:rsidRPr="00CB502D">
        <w:t xml:space="preserve"> in which to object to the admission of the evidence absent the analyst’s</w:t>
      </w:r>
      <w:r w:rsidR="001B04A6" w:rsidRPr="00CB502D">
        <w:t xml:space="preserve"> </w:t>
      </w:r>
      <w:r w:rsidRPr="00CB502D">
        <w:t>appearance live at trial.</w:t>
      </w:r>
      <w:r w:rsidRPr="00CB502D">
        <w:rPr>
          <w:rStyle w:val="00BTfootnotecallout"/>
          <w:rFonts w:ascii="Arial" w:hAnsi="Arial" w:cs="Arial"/>
        </w:rPr>
        <w:footnoteReference w:id="160"/>
      </w:r>
      <w:r w:rsidRPr="00CB502D">
        <w:t xml:space="preserve"> The Court went on to note that these simple notice and demand statutes are constitutional.</w:t>
      </w:r>
      <w:r w:rsidRPr="00CB502D">
        <w:rPr>
          <w:rStyle w:val="00BTfootnotecallout"/>
          <w:rFonts w:ascii="Arial" w:hAnsi="Arial" w:cs="Arial"/>
        </w:rPr>
        <w:footnoteReference w:id="161"/>
      </w:r>
    </w:p>
    <w:p w14:paraId="25F5195C" w14:textId="1E09A786" w:rsidR="00A41AD9" w:rsidRPr="00CB502D" w:rsidRDefault="00812C52" w:rsidP="00A02AFF">
      <w:pPr>
        <w:pStyle w:val="Heading3"/>
        <w:numPr>
          <w:ilvl w:val="0"/>
          <w:numId w:val="96"/>
        </w:numPr>
        <w:rPr>
          <w:rStyle w:val="00BTitalic"/>
          <w:rFonts w:ascii="Arial" w:hAnsi="Arial" w:cs="Arial"/>
          <w:i w:val="0"/>
          <w:iCs w:val="0"/>
          <w:szCs w:val="22"/>
        </w:rPr>
      </w:pPr>
      <w:r w:rsidRPr="00CB502D">
        <w:rPr>
          <w:rStyle w:val="00BTitalic"/>
          <w:rFonts w:ascii="Arial" w:hAnsi="Arial" w:cs="Arial"/>
          <w:i w:val="0"/>
          <w:szCs w:val="22"/>
        </w:rPr>
        <w:t xml:space="preserve">North Carolina </w:t>
      </w:r>
      <w:r w:rsidR="007479CF" w:rsidRPr="00CB502D">
        <w:rPr>
          <w:rStyle w:val="00BTitalic"/>
          <w:rFonts w:ascii="Arial" w:hAnsi="Arial" w:cs="Arial"/>
          <w:i w:val="0"/>
          <w:szCs w:val="22"/>
        </w:rPr>
        <w:t>St</w:t>
      </w:r>
      <w:r w:rsidRPr="00CB502D">
        <w:rPr>
          <w:rStyle w:val="00BTitalic"/>
          <w:rFonts w:ascii="Arial" w:hAnsi="Arial" w:cs="Arial"/>
          <w:i w:val="0"/>
          <w:szCs w:val="22"/>
        </w:rPr>
        <w:t>atutes</w:t>
      </w:r>
      <w:r w:rsidR="007D50E7" w:rsidRPr="00CB502D">
        <w:rPr>
          <w:rStyle w:val="00BTitalic"/>
          <w:rFonts w:ascii="Arial" w:hAnsi="Arial" w:cs="Arial"/>
          <w:i w:val="0"/>
          <w:szCs w:val="22"/>
        </w:rPr>
        <w:t xml:space="preserve"> Allowing for Admission of Forensic Reports </w:t>
      </w:r>
      <w:r w:rsidR="00095B78" w:rsidRPr="00CB502D">
        <w:rPr>
          <w:rStyle w:val="00BTitalic"/>
          <w:rFonts w:ascii="Arial" w:hAnsi="Arial" w:cs="Arial"/>
          <w:i w:val="0"/>
          <w:szCs w:val="22"/>
        </w:rPr>
        <w:t>w</w:t>
      </w:r>
      <w:r w:rsidR="007D50E7" w:rsidRPr="00CB502D">
        <w:rPr>
          <w:rStyle w:val="00BTitalic"/>
          <w:rFonts w:ascii="Arial" w:hAnsi="Arial" w:cs="Arial"/>
          <w:i w:val="0"/>
          <w:szCs w:val="22"/>
        </w:rPr>
        <w:t xml:space="preserve">ithout Testimony </w:t>
      </w:r>
      <w:r w:rsidR="00B357D9">
        <w:rPr>
          <w:rStyle w:val="00BTitalic"/>
          <w:rFonts w:ascii="Arial" w:hAnsi="Arial" w:cs="Arial"/>
          <w:i w:val="0"/>
          <w:szCs w:val="22"/>
        </w:rPr>
        <w:t>b</w:t>
      </w:r>
      <w:r w:rsidR="007D50E7" w:rsidRPr="00CB502D">
        <w:rPr>
          <w:rStyle w:val="00BTitalic"/>
          <w:rFonts w:ascii="Arial" w:hAnsi="Arial" w:cs="Arial"/>
          <w:i w:val="0"/>
          <w:szCs w:val="22"/>
        </w:rPr>
        <w:t>y Analysts</w:t>
      </w:r>
      <w:r w:rsidRPr="00CB502D">
        <w:rPr>
          <w:rStyle w:val="00BTitalic"/>
          <w:rFonts w:ascii="Arial" w:hAnsi="Arial" w:cs="Arial"/>
          <w:i w:val="0"/>
          <w:szCs w:val="22"/>
        </w:rPr>
        <w:t xml:space="preserve">. </w:t>
      </w:r>
    </w:p>
    <w:p w14:paraId="46DAB15E" w14:textId="1D7FED6D" w:rsidR="009C6249" w:rsidRPr="00CB502D" w:rsidRDefault="007F3EF5" w:rsidP="003A44D7">
      <w:pPr>
        <w:ind w:left="2160"/>
      </w:pPr>
      <w:r w:rsidRPr="00CB502D">
        <w:t>Table 1 below summarizes North Carolina’s notice and demand statutes.</w:t>
      </w:r>
      <w:r w:rsidR="00721378" w:rsidRPr="00CB502D">
        <w:t xml:space="preserve"> </w:t>
      </w:r>
      <w:r w:rsidR="00812C52" w:rsidRPr="00CB502D">
        <w:t xml:space="preserve">These statutes set up procedures by which the State may procure </w:t>
      </w:r>
      <w:r w:rsidR="00341546" w:rsidRPr="00CB502D">
        <w:t>a</w:t>
      </w:r>
      <w:r w:rsidR="00812C52" w:rsidRPr="00CB502D">
        <w:t xml:space="preserve"> waiver of confrontation right</w:t>
      </w:r>
      <w:r w:rsidR="00341546" w:rsidRPr="00CB502D">
        <w:t>s</w:t>
      </w:r>
      <w:r w:rsidR="00812C52" w:rsidRPr="00CB502D">
        <w:t xml:space="preserve"> </w:t>
      </w:r>
      <w:proofErr w:type="gramStart"/>
      <w:r w:rsidR="00812C52" w:rsidRPr="00CB502D">
        <w:t>with regard to</w:t>
      </w:r>
      <w:proofErr w:type="gramEnd"/>
      <w:r w:rsidR="00812C52" w:rsidRPr="00CB502D">
        <w:t xml:space="preserve"> forensic laboratory reports, chemical analyst affidavits, and certain chain of custody evidence. </w:t>
      </w:r>
    </w:p>
    <w:p w14:paraId="4ED33FE9" w14:textId="77777777" w:rsidR="009C6249" w:rsidRPr="00CB502D" w:rsidRDefault="005B47CB" w:rsidP="00972203">
      <w:pPr>
        <w:pStyle w:val="00Ahead1-line00Heads"/>
        <w:spacing w:before="0" w:line="240" w:lineRule="auto"/>
        <w:ind w:left="2880" w:hanging="720"/>
        <w:rPr>
          <w:rFonts w:ascii="Arial" w:hAnsi="Arial" w:cs="Arial"/>
          <w:sz w:val="22"/>
          <w:szCs w:val="22"/>
        </w:rPr>
      </w:pPr>
      <w:r w:rsidRPr="00CB502D">
        <w:rPr>
          <w:rStyle w:val="00BTitalic"/>
          <w:rFonts w:ascii="Arial" w:hAnsi="Arial" w:cs="Arial"/>
          <w:b/>
          <w:i w:val="0"/>
          <w:sz w:val="22"/>
          <w:szCs w:val="22"/>
        </w:rPr>
        <w:t>a</w:t>
      </w:r>
      <w:r w:rsidR="009C6249" w:rsidRPr="00CB502D">
        <w:rPr>
          <w:rStyle w:val="00BTitalic"/>
          <w:rFonts w:ascii="Arial" w:hAnsi="Arial" w:cs="Arial"/>
          <w:b/>
          <w:i w:val="0"/>
          <w:sz w:val="22"/>
          <w:szCs w:val="22"/>
        </w:rPr>
        <w:t>.</w:t>
      </w:r>
      <w:r w:rsidR="009C6249" w:rsidRPr="00CB502D">
        <w:rPr>
          <w:rFonts w:ascii="Arial" w:hAnsi="Arial" w:cs="Arial"/>
          <w:sz w:val="22"/>
          <w:szCs w:val="22"/>
        </w:rPr>
        <w:tab/>
      </w:r>
      <w:r w:rsidR="004715E6" w:rsidRPr="00CB502D">
        <w:rPr>
          <w:rFonts w:ascii="Arial" w:hAnsi="Arial" w:cs="Arial"/>
          <w:b/>
          <w:sz w:val="22"/>
          <w:szCs w:val="22"/>
        </w:rPr>
        <w:t xml:space="preserve">Effect of the Statutes. </w:t>
      </w:r>
      <w:r w:rsidR="004715E6" w:rsidRPr="00CB502D">
        <w:rPr>
          <w:rFonts w:ascii="Arial" w:hAnsi="Arial" w:cs="Arial"/>
          <w:sz w:val="22"/>
          <w:szCs w:val="22"/>
        </w:rPr>
        <w:t>If</w:t>
      </w:r>
      <w:r w:rsidR="00812C52" w:rsidRPr="00CB502D">
        <w:rPr>
          <w:rFonts w:ascii="Arial" w:hAnsi="Arial" w:cs="Arial"/>
          <w:sz w:val="22"/>
          <w:szCs w:val="22"/>
        </w:rPr>
        <w:t xml:space="preserve"> t</w:t>
      </w:r>
      <w:r w:rsidR="004715E6" w:rsidRPr="00CB502D">
        <w:rPr>
          <w:rFonts w:ascii="Arial" w:hAnsi="Arial" w:cs="Arial"/>
          <w:sz w:val="22"/>
          <w:szCs w:val="22"/>
        </w:rPr>
        <w:t>he S</w:t>
      </w:r>
      <w:r w:rsidR="00812C52" w:rsidRPr="00CB502D">
        <w:rPr>
          <w:rFonts w:ascii="Arial" w:hAnsi="Arial" w:cs="Arial"/>
          <w:sz w:val="22"/>
          <w:szCs w:val="22"/>
        </w:rPr>
        <w:t xml:space="preserve">tate gives proper notice under </w:t>
      </w:r>
      <w:r w:rsidR="004715E6" w:rsidRPr="00CB502D">
        <w:rPr>
          <w:rFonts w:ascii="Arial" w:hAnsi="Arial" w:cs="Arial"/>
          <w:sz w:val="22"/>
          <w:szCs w:val="22"/>
        </w:rPr>
        <w:t xml:space="preserve">a notice and demand statute </w:t>
      </w:r>
      <w:r w:rsidR="00812C52" w:rsidRPr="00CB502D">
        <w:rPr>
          <w:rFonts w:ascii="Arial" w:hAnsi="Arial" w:cs="Arial"/>
          <w:sz w:val="22"/>
          <w:szCs w:val="22"/>
        </w:rPr>
        <w:t xml:space="preserve">and </w:t>
      </w:r>
      <w:r w:rsidR="00A22030" w:rsidRPr="00CB502D">
        <w:rPr>
          <w:rFonts w:ascii="Arial" w:hAnsi="Arial" w:cs="Arial"/>
          <w:sz w:val="22"/>
          <w:szCs w:val="22"/>
        </w:rPr>
        <w:t xml:space="preserve">the </w:t>
      </w:r>
      <w:r w:rsidR="00812C52" w:rsidRPr="00CB502D">
        <w:rPr>
          <w:rFonts w:ascii="Arial" w:hAnsi="Arial" w:cs="Arial"/>
          <w:sz w:val="22"/>
          <w:szCs w:val="22"/>
        </w:rPr>
        <w:t>defendant fails to timely file an objection, a waiver of the confrontation right occurs.</w:t>
      </w:r>
      <w:r w:rsidR="00A22030" w:rsidRPr="00CB502D">
        <w:rPr>
          <w:rStyle w:val="FootnoteReference"/>
          <w:rFonts w:ascii="Arial" w:hAnsi="Arial" w:cs="Arial"/>
          <w:sz w:val="22"/>
          <w:szCs w:val="22"/>
        </w:rPr>
        <w:footnoteReference w:id="162"/>
      </w:r>
      <w:r w:rsidR="00812C52" w:rsidRPr="00CB502D">
        <w:rPr>
          <w:rFonts w:ascii="Arial" w:hAnsi="Arial" w:cs="Arial"/>
          <w:sz w:val="22"/>
          <w:szCs w:val="22"/>
        </w:rPr>
        <w:t xml:space="preserve"> </w:t>
      </w:r>
      <w:r w:rsidR="00CF549D" w:rsidRPr="00CB502D">
        <w:rPr>
          <w:rFonts w:ascii="Arial" w:hAnsi="Arial" w:cs="Arial"/>
          <w:sz w:val="22"/>
          <w:szCs w:val="22"/>
        </w:rPr>
        <w:t xml:space="preserve">When this occurs, the trial judge is required to admit the report without the </w:t>
      </w:r>
      <w:r w:rsidR="00CF549D" w:rsidRPr="00CB502D">
        <w:rPr>
          <w:rFonts w:ascii="Arial" w:hAnsi="Arial" w:cs="Arial"/>
          <w:sz w:val="22"/>
          <w:szCs w:val="22"/>
        </w:rPr>
        <w:lastRenderedPageBreak/>
        <w:t>presence of the preparer.</w:t>
      </w:r>
      <w:r w:rsidR="00CF549D" w:rsidRPr="00CB502D">
        <w:rPr>
          <w:rStyle w:val="FootnoteReference"/>
          <w:rFonts w:ascii="Arial" w:hAnsi="Arial" w:cs="Arial"/>
          <w:sz w:val="22"/>
          <w:szCs w:val="22"/>
        </w:rPr>
        <w:footnoteReference w:id="163"/>
      </w:r>
      <w:r w:rsidR="00CF549D" w:rsidRPr="00CB502D">
        <w:rPr>
          <w:rFonts w:ascii="Arial" w:hAnsi="Arial" w:cs="Arial"/>
          <w:sz w:val="22"/>
          <w:szCs w:val="22"/>
        </w:rPr>
        <w:t xml:space="preserve"> I</w:t>
      </w:r>
      <w:r w:rsidR="00341546" w:rsidRPr="00CB502D">
        <w:rPr>
          <w:rFonts w:ascii="Arial" w:hAnsi="Arial" w:cs="Arial"/>
          <w:sz w:val="22"/>
          <w:szCs w:val="22"/>
        </w:rPr>
        <w:t xml:space="preserve">f </w:t>
      </w:r>
      <w:r w:rsidR="004715E6" w:rsidRPr="00CB502D">
        <w:rPr>
          <w:rFonts w:ascii="Arial" w:hAnsi="Arial" w:cs="Arial"/>
          <w:sz w:val="22"/>
          <w:szCs w:val="22"/>
        </w:rPr>
        <w:t xml:space="preserve">the defendant </w:t>
      </w:r>
      <w:r w:rsidR="00812C52" w:rsidRPr="00CB502D">
        <w:rPr>
          <w:rFonts w:ascii="Arial" w:hAnsi="Arial" w:cs="Arial"/>
          <w:sz w:val="22"/>
          <w:szCs w:val="22"/>
        </w:rPr>
        <w:t>fil</w:t>
      </w:r>
      <w:r w:rsidR="00B70E69" w:rsidRPr="00CB502D">
        <w:rPr>
          <w:rFonts w:ascii="Arial" w:hAnsi="Arial" w:cs="Arial"/>
          <w:sz w:val="22"/>
          <w:szCs w:val="22"/>
        </w:rPr>
        <w:t>es</w:t>
      </w:r>
      <w:r w:rsidR="00812C52" w:rsidRPr="00CB502D">
        <w:rPr>
          <w:rFonts w:ascii="Arial" w:hAnsi="Arial" w:cs="Arial"/>
          <w:sz w:val="22"/>
          <w:szCs w:val="22"/>
        </w:rPr>
        <w:t xml:space="preserve"> a timely objection, </w:t>
      </w:r>
      <w:r w:rsidR="00B70E69" w:rsidRPr="00CB502D">
        <w:rPr>
          <w:rFonts w:ascii="Arial" w:hAnsi="Arial" w:cs="Arial"/>
          <w:sz w:val="22"/>
          <w:szCs w:val="22"/>
        </w:rPr>
        <w:t>there is no waiver and</w:t>
      </w:r>
      <w:r w:rsidR="00A96DF3" w:rsidRPr="00CB502D">
        <w:rPr>
          <w:rFonts w:ascii="Arial" w:hAnsi="Arial" w:cs="Arial"/>
          <w:sz w:val="22"/>
          <w:szCs w:val="22"/>
        </w:rPr>
        <w:t xml:space="preserve"> </w:t>
      </w:r>
      <w:r w:rsidR="00812C52" w:rsidRPr="00CB502D">
        <w:rPr>
          <w:rFonts w:ascii="Arial" w:hAnsi="Arial" w:cs="Arial"/>
          <w:i/>
          <w:sz w:val="22"/>
          <w:szCs w:val="22"/>
        </w:rPr>
        <w:t>Crawford</w:t>
      </w:r>
      <w:r w:rsidR="00812C52" w:rsidRPr="00CB502D">
        <w:rPr>
          <w:rFonts w:ascii="Arial" w:hAnsi="Arial" w:cs="Arial"/>
          <w:sz w:val="22"/>
          <w:szCs w:val="22"/>
        </w:rPr>
        <w:t xml:space="preserve"> applies.</w:t>
      </w:r>
      <w:r w:rsidR="00B70E69" w:rsidRPr="00CB502D">
        <w:rPr>
          <w:rStyle w:val="FootnoteReference"/>
          <w:rFonts w:ascii="Arial" w:hAnsi="Arial" w:cs="Arial"/>
          <w:sz w:val="22"/>
          <w:szCs w:val="22"/>
        </w:rPr>
        <w:footnoteReference w:id="164"/>
      </w:r>
      <w:r w:rsidR="00812C52" w:rsidRPr="00CB502D">
        <w:rPr>
          <w:rFonts w:ascii="Arial" w:hAnsi="Arial" w:cs="Arial"/>
          <w:sz w:val="22"/>
          <w:szCs w:val="22"/>
        </w:rPr>
        <w:t xml:space="preserve"> </w:t>
      </w:r>
    </w:p>
    <w:p w14:paraId="1947A28A" w14:textId="77777777" w:rsidR="009C6249" w:rsidRPr="00CB502D" w:rsidRDefault="005B47CB" w:rsidP="00972203">
      <w:pPr>
        <w:pStyle w:val="00Ahead1-line00Heads"/>
        <w:spacing w:before="0" w:line="240" w:lineRule="auto"/>
        <w:ind w:left="2880" w:hanging="720"/>
        <w:rPr>
          <w:rFonts w:ascii="Arial" w:hAnsi="Arial" w:cs="Arial"/>
          <w:sz w:val="22"/>
          <w:szCs w:val="22"/>
        </w:rPr>
      </w:pPr>
      <w:r w:rsidRPr="00CB502D">
        <w:rPr>
          <w:rStyle w:val="00BTitalic"/>
          <w:rFonts w:ascii="Arial" w:hAnsi="Arial" w:cs="Arial"/>
          <w:b/>
          <w:i w:val="0"/>
          <w:sz w:val="22"/>
          <w:szCs w:val="22"/>
        </w:rPr>
        <w:t>b</w:t>
      </w:r>
      <w:r w:rsidR="009C6249" w:rsidRPr="00CB502D">
        <w:rPr>
          <w:rStyle w:val="00BTitalic"/>
          <w:rFonts w:ascii="Arial" w:hAnsi="Arial" w:cs="Arial"/>
          <w:b/>
          <w:i w:val="0"/>
          <w:sz w:val="22"/>
          <w:szCs w:val="22"/>
        </w:rPr>
        <w:t>.</w:t>
      </w:r>
      <w:r w:rsidR="009C6249" w:rsidRPr="00CB502D">
        <w:rPr>
          <w:rFonts w:ascii="Arial" w:hAnsi="Arial" w:cs="Arial"/>
          <w:sz w:val="22"/>
          <w:szCs w:val="22"/>
        </w:rPr>
        <w:tab/>
      </w:r>
      <w:r w:rsidR="009C6249" w:rsidRPr="00CB502D">
        <w:rPr>
          <w:rFonts w:ascii="Arial" w:hAnsi="Arial" w:cs="Arial"/>
          <w:b/>
          <w:sz w:val="22"/>
          <w:szCs w:val="22"/>
        </w:rPr>
        <w:t>Notice.</w:t>
      </w:r>
      <w:r w:rsidR="009C6249" w:rsidRPr="00CB502D">
        <w:rPr>
          <w:rFonts w:ascii="Arial" w:hAnsi="Arial" w:cs="Arial"/>
          <w:sz w:val="22"/>
          <w:szCs w:val="22"/>
        </w:rPr>
        <w:t xml:space="preserve"> </w:t>
      </w:r>
      <w:r w:rsidR="00812C52" w:rsidRPr="00CB502D">
        <w:rPr>
          <w:rFonts w:ascii="Arial" w:hAnsi="Arial" w:cs="Arial"/>
          <w:sz w:val="22"/>
          <w:szCs w:val="22"/>
        </w:rPr>
        <w:t xml:space="preserve">For all </w:t>
      </w:r>
      <w:r w:rsidR="004715E6" w:rsidRPr="00CB502D">
        <w:rPr>
          <w:rFonts w:ascii="Arial" w:hAnsi="Arial" w:cs="Arial"/>
          <w:sz w:val="22"/>
          <w:szCs w:val="22"/>
        </w:rPr>
        <w:t xml:space="preserve">of </w:t>
      </w:r>
      <w:r w:rsidR="009C6249" w:rsidRPr="00CB502D">
        <w:rPr>
          <w:rFonts w:ascii="Arial" w:hAnsi="Arial" w:cs="Arial"/>
          <w:sz w:val="22"/>
          <w:szCs w:val="22"/>
        </w:rPr>
        <w:t xml:space="preserve">the </w:t>
      </w:r>
      <w:r w:rsidR="00812C52" w:rsidRPr="00CB502D">
        <w:rPr>
          <w:rFonts w:ascii="Arial" w:hAnsi="Arial" w:cs="Arial"/>
          <w:sz w:val="22"/>
          <w:szCs w:val="22"/>
        </w:rPr>
        <w:t>statutes</w:t>
      </w:r>
      <w:r w:rsidR="009C6249" w:rsidRPr="00CB502D">
        <w:rPr>
          <w:rFonts w:ascii="Arial" w:hAnsi="Arial" w:cs="Arial"/>
          <w:sz w:val="22"/>
          <w:szCs w:val="22"/>
        </w:rPr>
        <w:t>,</w:t>
      </w:r>
      <w:r w:rsidR="00812C52" w:rsidRPr="00CB502D">
        <w:rPr>
          <w:rFonts w:ascii="Arial" w:hAnsi="Arial" w:cs="Arial"/>
          <w:sz w:val="22"/>
          <w:szCs w:val="22"/>
        </w:rPr>
        <w:t xml:space="preserve"> </w:t>
      </w:r>
      <w:r w:rsidR="004715E6" w:rsidRPr="00CB502D">
        <w:rPr>
          <w:rFonts w:ascii="Arial" w:hAnsi="Arial" w:cs="Arial"/>
          <w:sz w:val="22"/>
          <w:szCs w:val="22"/>
        </w:rPr>
        <w:t xml:space="preserve">the State must give notice to </w:t>
      </w:r>
      <w:r w:rsidR="00812C52" w:rsidRPr="00CB502D">
        <w:rPr>
          <w:rFonts w:ascii="Arial" w:hAnsi="Arial" w:cs="Arial"/>
          <w:sz w:val="22"/>
          <w:szCs w:val="22"/>
        </w:rPr>
        <w:t>defense counsel or directly to the defendant if he or she is unrepresented.</w:t>
      </w:r>
      <w:r w:rsidR="00782056" w:rsidRPr="00CB502D">
        <w:rPr>
          <w:rStyle w:val="FootnoteReference"/>
          <w:rFonts w:ascii="Arial" w:hAnsi="Arial" w:cs="Arial"/>
          <w:sz w:val="22"/>
          <w:szCs w:val="22"/>
        </w:rPr>
        <w:footnoteReference w:id="165"/>
      </w:r>
      <w:r w:rsidR="00812C52" w:rsidRPr="00CB502D">
        <w:rPr>
          <w:rFonts w:ascii="Arial" w:hAnsi="Arial" w:cs="Arial"/>
          <w:sz w:val="22"/>
          <w:szCs w:val="22"/>
        </w:rPr>
        <w:t xml:space="preserve"> </w:t>
      </w:r>
      <w:r w:rsidR="00290B61" w:rsidRPr="00CB502D">
        <w:rPr>
          <w:rFonts w:ascii="Arial" w:hAnsi="Arial" w:cs="Arial"/>
          <w:sz w:val="22"/>
          <w:szCs w:val="22"/>
        </w:rPr>
        <w:t xml:space="preserve">In its notice, </w:t>
      </w:r>
      <w:r w:rsidR="00812C52" w:rsidRPr="00CB502D">
        <w:rPr>
          <w:rFonts w:ascii="Arial" w:hAnsi="Arial" w:cs="Arial"/>
          <w:sz w:val="22"/>
          <w:szCs w:val="22"/>
        </w:rPr>
        <w:t xml:space="preserve">the State </w:t>
      </w:r>
      <w:r w:rsidR="00290B61" w:rsidRPr="00CB502D">
        <w:rPr>
          <w:rFonts w:ascii="Arial" w:hAnsi="Arial" w:cs="Arial"/>
          <w:sz w:val="22"/>
          <w:szCs w:val="22"/>
        </w:rPr>
        <w:t xml:space="preserve">must </w:t>
      </w:r>
      <w:r w:rsidR="00812C52" w:rsidRPr="00CB502D">
        <w:rPr>
          <w:rFonts w:ascii="Arial" w:hAnsi="Arial" w:cs="Arial"/>
          <w:sz w:val="22"/>
          <w:szCs w:val="22"/>
        </w:rPr>
        <w:t xml:space="preserve">provide the defendant with </w:t>
      </w:r>
      <w:r w:rsidR="004715E6" w:rsidRPr="00CB502D">
        <w:rPr>
          <w:rFonts w:ascii="Arial" w:hAnsi="Arial" w:cs="Arial"/>
          <w:sz w:val="22"/>
          <w:szCs w:val="22"/>
        </w:rPr>
        <w:t>a copy of the relevant report.</w:t>
      </w:r>
      <w:r w:rsidR="00782056" w:rsidRPr="00CB502D">
        <w:rPr>
          <w:rStyle w:val="FootnoteReference"/>
          <w:rFonts w:ascii="Arial" w:hAnsi="Arial" w:cs="Arial"/>
          <w:sz w:val="22"/>
          <w:szCs w:val="22"/>
        </w:rPr>
        <w:footnoteReference w:id="166"/>
      </w:r>
      <w:r w:rsidR="001F773B" w:rsidRPr="00CB502D">
        <w:rPr>
          <w:rFonts w:ascii="Arial" w:hAnsi="Arial" w:cs="Arial"/>
          <w:sz w:val="22"/>
          <w:szCs w:val="22"/>
        </w:rPr>
        <w:t xml:space="preserve"> While </w:t>
      </w:r>
      <w:r w:rsidR="003A44D7" w:rsidRPr="00CB502D">
        <w:rPr>
          <w:rFonts w:ascii="Arial" w:hAnsi="Arial" w:cs="Arial"/>
          <w:sz w:val="22"/>
          <w:szCs w:val="22"/>
        </w:rPr>
        <w:t>the notice</w:t>
      </w:r>
      <w:r w:rsidR="001F773B" w:rsidRPr="00CB502D">
        <w:rPr>
          <w:rFonts w:ascii="Arial" w:hAnsi="Arial" w:cs="Arial"/>
          <w:sz w:val="22"/>
          <w:szCs w:val="22"/>
        </w:rPr>
        <w:t xml:space="preserve"> need</w:t>
      </w:r>
      <w:r w:rsidR="00DA14D3" w:rsidRPr="00CB502D">
        <w:rPr>
          <w:rFonts w:ascii="Arial" w:hAnsi="Arial" w:cs="Arial"/>
          <w:sz w:val="22"/>
          <w:szCs w:val="22"/>
        </w:rPr>
        <w:t xml:space="preserve"> not contain proof of service or</w:t>
      </w:r>
      <w:r w:rsidR="001F773B" w:rsidRPr="00CB502D">
        <w:rPr>
          <w:rFonts w:ascii="Arial" w:hAnsi="Arial" w:cs="Arial"/>
          <w:sz w:val="22"/>
          <w:szCs w:val="22"/>
        </w:rPr>
        <w:t xml:space="preserve"> a file stamp,</w:t>
      </w:r>
      <w:r w:rsidR="001F773B" w:rsidRPr="00CB502D">
        <w:rPr>
          <w:rStyle w:val="FootnoteReference"/>
          <w:rFonts w:ascii="Arial" w:hAnsi="Arial" w:cs="Arial"/>
          <w:sz w:val="22"/>
          <w:szCs w:val="22"/>
        </w:rPr>
        <w:footnoteReference w:id="167"/>
      </w:r>
      <w:r w:rsidR="001F773B" w:rsidRPr="00CB502D">
        <w:rPr>
          <w:rFonts w:ascii="Arial" w:hAnsi="Arial" w:cs="Arial"/>
          <w:sz w:val="22"/>
          <w:szCs w:val="22"/>
        </w:rPr>
        <w:t xml:space="preserve"> following those procedures eliminates any question about whether notice was properly received. </w:t>
      </w:r>
    </w:p>
    <w:p w14:paraId="6C335A40" w14:textId="3B036436" w:rsidR="0071242C" w:rsidRPr="00CB502D" w:rsidRDefault="005B47CB" w:rsidP="00972203">
      <w:pPr>
        <w:pStyle w:val="00Ahead1-line00Heads"/>
        <w:spacing w:before="0" w:line="240" w:lineRule="auto"/>
        <w:ind w:left="2880" w:hanging="720"/>
        <w:rPr>
          <w:rFonts w:ascii="Arial" w:hAnsi="Arial" w:cs="Arial"/>
          <w:sz w:val="22"/>
          <w:szCs w:val="22"/>
        </w:rPr>
      </w:pPr>
      <w:r w:rsidRPr="00CB502D">
        <w:rPr>
          <w:rStyle w:val="00BTitalic"/>
          <w:rFonts w:ascii="Arial" w:hAnsi="Arial" w:cs="Arial"/>
          <w:b/>
          <w:i w:val="0"/>
          <w:sz w:val="22"/>
          <w:szCs w:val="22"/>
        </w:rPr>
        <w:t>c</w:t>
      </w:r>
      <w:r w:rsidR="009C6249" w:rsidRPr="00CB502D">
        <w:rPr>
          <w:rStyle w:val="00BTitalic"/>
          <w:rFonts w:ascii="Arial" w:hAnsi="Arial" w:cs="Arial"/>
          <w:b/>
          <w:i w:val="0"/>
          <w:sz w:val="22"/>
          <w:szCs w:val="22"/>
        </w:rPr>
        <w:t>.</w:t>
      </w:r>
      <w:r w:rsidR="009C6249" w:rsidRPr="00CB502D">
        <w:rPr>
          <w:rFonts w:ascii="Arial" w:hAnsi="Arial" w:cs="Arial"/>
          <w:sz w:val="22"/>
          <w:szCs w:val="22"/>
        </w:rPr>
        <w:tab/>
      </w:r>
      <w:r w:rsidR="0071242C" w:rsidRPr="00CB502D">
        <w:rPr>
          <w:rFonts w:ascii="Arial" w:hAnsi="Arial" w:cs="Arial"/>
          <w:b/>
          <w:sz w:val="22"/>
          <w:szCs w:val="22"/>
        </w:rPr>
        <w:t xml:space="preserve">Constitutionality. </w:t>
      </w:r>
      <w:r w:rsidR="0071242C" w:rsidRPr="00CB502D">
        <w:rPr>
          <w:rFonts w:ascii="Arial" w:hAnsi="Arial" w:cs="Arial"/>
          <w:sz w:val="22"/>
          <w:szCs w:val="22"/>
        </w:rPr>
        <w:t xml:space="preserve">As noted above, the United States Supreme Court opined in </w:t>
      </w:r>
      <w:r w:rsidR="0071242C" w:rsidRPr="00CB502D">
        <w:rPr>
          <w:rFonts w:ascii="Arial" w:hAnsi="Arial" w:cs="Arial"/>
          <w:i/>
          <w:sz w:val="22"/>
          <w:szCs w:val="22"/>
        </w:rPr>
        <w:t>Melendez-Diaz</w:t>
      </w:r>
      <w:r w:rsidR="0071242C" w:rsidRPr="00CB502D">
        <w:rPr>
          <w:rFonts w:ascii="Arial" w:hAnsi="Arial" w:cs="Arial"/>
          <w:sz w:val="22"/>
          <w:szCs w:val="22"/>
        </w:rPr>
        <w:t xml:space="preserve"> that simple notice and demand statutes are constitutional. </w:t>
      </w:r>
      <w:r w:rsidR="00290B61" w:rsidRPr="00CB502D">
        <w:rPr>
          <w:rFonts w:ascii="Arial" w:hAnsi="Arial" w:cs="Arial"/>
          <w:sz w:val="22"/>
          <w:szCs w:val="22"/>
        </w:rPr>
        <w:t xml:space="preserve">Since that case was decided, the North Carolina </w:t>
      </w:r>
      <w:r w:rsidR="00F87C26" w:rsidRPr="00CB502D">
        <w:rPr>
          <w:rFonts w:ascii="Arial" w:hAnsi="Arial" w:cs="Arial"/>
          <w:sz w:val="22"/>
          <w:szCs w:val="22"/>
        </w:rPr>
        <w:t xml:space="preserve">Court of Appeals has upheld the constitutionality of </w:t>
      </w:r>
      <w:r w:rsidR="00290B61" w:rsidRPr="00CB502D">
        <w:rPr>
          <w:rFonts w:ascii="Arial" w:hAnsi="Arial" w:cs="Arial"/>
          <w:sz w:val="22"/>
          <w:szCs w:val="22"/>
        </w:rPr>
        <w:t>G.S. 90-95(g), the notice and demand statute that applies in drug cases.</w:t>
      </w:r>
      <w:r w:rsidR="00290B61" w:rsidRPr="00CB502D">
        <w:rPr>
          <w:rStyle w:val="FootnoteReference"/>
          <w:rFonts w:ascii="Arial" w:hAnsi="Arial" w:cs="Arial"/>
          <w:sz w:val="22"/>
          <w:szCs w:val="22"/>
        </w:rPr>
        <w:footnoteReference w:id="168"/>
      </w:r>
      <w:r w:rsidR="00F87C26" w:rsidRPr="00CB502D">
        <w:rPr>
          <w:rFonts w:ascii="Arial" w:hAnsi="Arial" w:cs="Arial"/>
          <w:sz w:val="22"/>
          <w:szCs w:val="22"/>
        </w:rPr>
        <w:t xml:space="preserve"> That holding is likely to apply to North Carolina’s other similarly worded notice and demand statutes.</w:t>
      </w:r>
    </w:p>
    <w:p w14:paraId="091A4C74" w14:textId="77777777" w:rsidR="00097E33" w:rsidRPr="00CB502D" w:rsidRDefault="00097E33" w:rsidP="00825BD1">
      <w:pPr>
        <w:ind w:left="2160" w:hanging="720"/>
        <w:rPr>
          <w:rFonts w:cs="Arial"/>
          <w:b/>
          <w:szCs w:val="22"/>
        </w:rPr>
      </w:pPr>
      <w:r w:rsidRPr="00CB502D">
        <w:rPr>
          <w:rFonts w:cs="Arial"/>
          <w:b/>
          <w:szCs w:val="22"/>
        </w:rPr>
        <w:t>3.</w:t>
      </w:r>
      <w:r w:rsidRPr="00CB502D">
        <w:rPr>
          <w:rFonts w:cs="Arial"/>
          <w:b/>
          <w:szCs w:val="22"/>
        </w:rPr>
        <w:tab/>
        <w:t>North Carolina Statutes Allowing for Remote Testimony.</w:t>
      </w:r>
    </w:p>
    <w:p w14:paraId="50F3B3B7" w14:textId="63F2220D" w:rsidR="00097E33" w:rsidRPr="00CB502D" w:rsidRDefault="00097E33" w:rsidP="00097E33">
      <w:pPr>
        <w:ind w:left="2160"/>
        <w:rPr>
          <w:rFonts w:cs="Arial"/>
          <w:szCs w:val="22"/>
        </w:rPr>
      </w:pPr>
      <w:r w:rsidRPr="00CB502D">
        <w:rPr>
          <w:rFonts w:cs="Arial"/>
          <w:szCs w:val="22"/>
        </w:rPr>
        <w:t>In 2014, the North Carolina General Assembly enacted legislation allowing for remote testimony by forensic analysts in certain circumstances after a waiver of confrontation rights by the defendant through a notice and demand statute.</w:t>
      </w:r>
      <w:r w:rsidRPr="00CB502D">
        <w:rPr>
          <w:rStyle w:val="FootnoteReference"/>
          <w:rFonts w:cs="Arial"/>
          <w:szCs w:val="22"/>
        </w:rPr>
        <w:footnoteReference w:id="169"/>
      </w:r>
      <w:r w:rsidR="00EC2A0A">
        <w:rPr>
          <w:rFonts w:cs="Arial"/>
          <w:szCs w:val="22"/>
        </w:rPr>
        <w:t xml:space="preserve"> In 2021, the legislature </w:t>
      </w:r>
      <w:r w:rsidR="005939E4">
        <w:rPr>
          <w:rFonts w:cs="Arial"/>
          <w:szCs w:val="22"/>
        </w:rPr>
        <w:t xml:space="preserve">also enacted G.S. </w:t>
      </w:r>
      <w:r w:rsidR="00EA0CBB">
        <w:rPr>
          <w:rFonts w:cs="Arial"/>
          <w:szCs w:val="22"/>
        </w:rPr>
        <w:t xml:space="preserve">7A-49.6, which permits judicial officials to conduct “all types of proceedings” by way of audio and video </w:t>
      </w:r>
      <w:r w:rsidR="0006713E">
        <w:rPr>
          <w:rFonts w:cs="Arial"/>
          <w:szCs w:val="22"/>
        </w:rPr>
        <w:t>transmission</w:t>
      </w:r>
      <w:r w:rsidR="00007CF5">
        <w:rPr>
          <w:rFonts w:cs="Arial"/>
          <w:szCs w:val="22"/>
        </w:rPr>
        <w:t>. Under the law, the parties, the presiding official, and any other participants must be able to see and hear each other throughout the remote proceeding</w:t>
      </w:r>
      <w:r w:rsidR="00371945">
        <w:rPr>
          <w:rFonts w:cs="Arial"/>
          <w:szCs w:val="22"/>
        </w:rPr>
        <w:t>, and each party must have the ability to communicate fully and confidentially with counsel</w:t>
      </w:r>
      <w:r w:rsidR="00E45F64">
        <w:rPr>
          <w:rFonts w:cs="Arial"/>
          <w:szCs w:val="22"/>
        </w:rPr>
        <w:t xml:space="preserve">. For criminal </w:t>
      </w:r>
      <w:r w:rsidR="00892B7F">
        <w:rPr>
          <w:rFonts w:cs="Arial"/>
          <w:szCs w:val="22"/>
        </w:rPr>
        <w:t xml:space="preserve">and juvenile delinquency </w:t>
      </w:r>
      <w:r w:rsidR="00E45F64">
        <w:rPr>
          <w:rFonts w:cs="Arial"/>
          <w:szCs w:val="22"/>
        </w:rPr>
        <w:t>proceedings, remote testimony</w:t>
      </w:r>
      <w:r w:rsidR="00892B7F">
        <w:rPr>
          <w:rFonts w:cs="Arial"/>
          <w:szCs w:val="22"/>
        </w:rPr>
        <w:t xml:space="preserve"> is not permitted when the right to be present or to confront </w:t>
      </w:r>
      <w:r w:rsidR="00892B7F">
        <w:rPr>
          <w:rFonts w:cs="Arial"/>
          <w:szCs w:val="22"/>
        </w:rPr>
        <w:lastRenderedPageBreak/>
        <w:t>witness is implicated unless the defendant or juvenile kn</w:t>
      </w:r>
      <w:r w:rsidR="00E739E8">
        <w:rPr>
          <w:rFonts w:cs="Arial"/>
          <w:szCs w:val="22"/>
        </w:rPr>
        <w:t>owingly, voluntarily, and intelligently waives th</w:t>
      </w:r>
      <w:r w:rsidR="006E1DB4">
        <w:rPr>
          <w:rFonts w:cs="Arial"/>
          <w:szCs w:val="22"/>
        </w:rPr>
        <w:t>e rights to presence and confrontation.</w:t>
      </w:r>
    </w:p>
    <w:p w14:paraId="30424873" w14:textId="77777777" w:rsidR="00097E33" w:rsidRPr="00CB502D" w:rsidRDefault="00097E33" w:rsidP="00972203">
      <w:pPr>
        <w:pStyle w:val="00Ahead1-line00Heads"/>
        <w:spacing w:before="0" w:line="240" w:lineRule="auto"/>
        <w:ind w:left="2880" w:hanging="720"/>
        <w:rPr>
          <w:rFonts w:ascii="Arial" w:hAnsi="Arial" w:cs="Arial"/>
          <w:sz w:val="22"/>
          <w:szCs w:val="22"/>
        </w:rPr>
      </w:pPr>
    </w:p>
    <w:p w14:paraId="79E23CDD" w14:textId="77777777" w:rsidR="00290B61" w:rsidRPr="00CB502D" w:rsidRDefault="00290B61">
      <w:pPr>
        <w:rPr>
          <w:rFonts w:cs="Arial"/>
          <w:szCs w:val="22"/>
        </w:rPr>
      </w:pPr>
    </w:p>
    <w:p w14:paraId="7745E95C" w14:textId="77777777" w:rsidR="00097E33" w:rsidRPr="00CB502D" w:rsidRDefault="00097E33">
      <w:pPr>
        <w:rPr>
          <w:rFonts w:cs="Arial"/>
          <w:szCs w:val="22"/>
        </w:rPr>
      </w:pPr>
      <w:r w:rsidRPr="00CB502D">
        <w:rPr>
          <w:rFonts w:cs="Arial"/>
          <w:szCs w:val="22"/>
        </w:rPr>
        <w:br w:type="page"/>
      </w:r>
    </w:p>
    <w:p w14:paraId="50167105" w14:textId="77777777" w:rsidR="001970B1" w:rsidRPr="00CB502D" w:rsidRDefault="001970B1">
      <w:pPr>
        <w:rPr>
          <w:rFonts w:cs="Arial"/>
          <w:b/>
          <w:szCs w:val="22"/>
        </w:rPr>
      </w:pPr>
      <w:r w:rsidRPr="00CB502D">
        <w:rPr>
          <w:rFonts w:cs="Arial"/>
          <w:b/>
          <w:szCs w:val="22"/>
        </w:rPr>
        <w:lastRenderedPageBreak/>
        <w:t>Table 1. North Carolina’s Notice and Demand Statutes</w:t>
      </w:r>
      <w:r w:rsidR="00180E56" w:rsidRPr="00CB502D">
        <w:rPr>
          <w:rFonts w:cs="Arial"/>
          <w:b/>
          <w:szCs w:val="22"/>
        </w:rPr>
        <w:t xml:space="preserve"> for Forensic Reports &amp; Chain of Custody Evidence</w:t>
      </w:r>
    </w:p>
    <w:p w14:paraId="07FABDBD" w14:textId="77777777" w:rsidR="001970B1" w:rsidRPr="00CB502D" w:rsidRDefault="001970B1">
      <w:pPr>
        <w:rPr>
          <w:rFonts w:cs="Arial"/>
          <w:b/>
          <w:szCs w:val="22"/>
        </w:rPr>
      </w:pPr>
    </w:p>
    <w:tbl>
      <w:tblPr>
        <w:tblStyle w:val="TableGrid"/>
        <w:tblW w:w="9018" w:type="dxa"/>
        <w:tblLayout w:type="fixed"/>
        <w:tblLook w:val="04A0" w:firstRow="1" w:lastRow="0" w:firstColumn="1" w:lastColumn="0" w:noHBand="0" w:noVBand="1"/>
      </w:tblPr>
      <w:tblGrid>
        <w:gridCol w:w="1728"/>
        <w:gridCol w:w="1530"/>
        <w:gridCol w:w="1260"/>
        <w:gridCol w:w="1620"/>
        <w:gridCol w:w="1530"/>
        <w:gridCol w:w="1350"/>
      </w:tblGrid>
      <w:tr w:rsidR="001970B1" w:rsidRPr="00CB502D" w14:paraId="65C9BD80" w14:textId="77777777" w:rsidTr="007479CF">
        <w:tc>
          <w:tcPr>
            <w:tcW w:w="1728" w:type="dxa"/>
            <w:shd w:val="clear" w:color="auto" w:fill="D9D9D9" w:themeFill="background1" w:themeFillShade="D9"/>
          </w:tcPr>
          <w:p w14:paraId="394DA4DF" w14:textId="77777777" w:rsidR="001970B1" w:rsidRPr="00CB502D" w:rsidRDefault="001970B1" w:rsidP="006569E6">
            <w:pPr>
              <w:rPr>
                <w:rFonts w:ascii="Times New Roman" w:hAnsi="Times New Roman" w:cs="Times New Roman"/>
                <w:b/>
                <w:sz w:val="18"/>
                <w:szCs w:val="18"/>
              </w:rPr>
            </w:pPr>
            <w:r w:rsidRPr="00CB502D">
              <w:rPr>
                <w:rFonts w:ascii="Times New Roman" w:hAnsi="Times New Roman" w:cs="Times New Roman"/>
                <w:b/>
                <w:sz w:val="18"/>
                <w:szCs w:val="18"/>
              </w:rPr>
              <w:t>Statute</w:t>
            </w:r>
          </w:p>
        </w:tc>
        <w:tc>
          <w:tcPr>
            <w:tcW w:w="1530" w:type="dxa"/>
            <w:shd w:val="clear" w:color="auto" w:fill="D9D9D9" w:themeFill="background1" w:themeFillShade="D9"/>
          </w:tcPr>
          <w:p w14:paraId="72BAD51A" w14:textId="77777777" w:rsidR="001970B1" w:rsidRPr="00CB502D" w:rsidRDefault="001970B1" w:rsidP="006569E6">
            <w:pPr>
              <w:rPr>
                <w:rFonts w:ascii="Times New Roman" w:hAnsi="Times New Roman" w:cs="Times New Roman"/>
                <w:b/>
                <w:sz w:val="18"/>
                <w:szCs w:val="18"/>
              </w:rPr>
            </w:pPr>
            <w:r w:rsidRPr="00CB502D">
              <w:rPr>
                <w:rFonts w:ascii="Times New Roman" w:hAnsi="Times New Roman" w:cs="Times New Roman"/>
                <w:b/>
                <w:sz w:val="18"/>
                <w:szCs w:val="18"/>
              </w:rPr>
              <w:t>Relevant Evidence</w:t>
            </w:r>
          </w:p>
        </w:tc>
        <w:tc>
          <w:tcPr>
            <w:tcW w:w="1260" w:type="dxa"/>
            <w:shd w:val="clear" w:color="auto" w:fill="D9D9D9" w:themeFill="background1" w:themeFillShade="D9"/>
          </w:tcPr>
          <w:p w14:paraId="048E3B56" w14:textId="77777777" w:rsidR="001970B1" w:rsidRPr="00CB502D" w:rsidRDefault="001970B1" w:rsidP="006569E6">
            <w:pPr>
              <w:rPr>
                <w:rFonts w:ascii="Times New Roman" w:hAnsi="Times New Roman" w:cs="Times New Roman"/>
                <w:b/>
                <w:sz w:val="18"/>
                <w:szCs w:val="18"/>
              </w:rPr>
            </w:pPr>
            <w:r w:rsidRPr="00CB502D">
              <w:rPr>
                <w:rFonts w:ascii="Times New Roman" w:hAnsi="Times New Roman" w:cs="Times New Roman"/>
                <w:b/>
                <w:sz w:val="18"/>
                <w:szCs w:val="18"/>
              </w:rPr>
              <w:t>Proceedings</w:t>
            </w:r>
          </w:p>
        </w:tc>
        <w:tc>
          <w:tcPr>
            <w:tcW w:w="1620" w:type="dxa"/>
            <w:shd w:val="clear" w:color="auto" w:fill="D9D9D9" w:themeFill="background1" w:themeFillShade="D9"/>
          </w:tcPr>
          <w:p w14:paraId="5F871381" w14:textId="77777777" w:rsidR="001970B1" w:rsidRPr="00CB502D" w:rsidRDefault="001970B1" w:rsidP="006569E6">
            <w:pPr>
              <w:rPr>
                <w:rFonts w:ascii="Times New Roman" w:hAnsi="Times New Roman" w:cs="Times New Roman"/>
                <w:b/>
                <w:sz w:val="18"/>
                <w:szCs w:val="18"/>
              </w:rPr>
            </w:pPr>
            <w:r w:rsidRPr="00CB502D">
              <w:rPr>
                <w:rFonts w:ascii="Times New Roman" w:hAnsi="Times New Roman" w:cs="Times New Roman"/>
                <w:b/>
                <w:sz w:val="18"/>
                <w:szCs w:val="18"/>
              </w:rPr>
              <w:t>Time for State’s Notice</w:t>
            </w:r>
          </w:p>
        </w:tc>
        <w:tc>
          <w:tcPr>
            <w:tcW w:w="1530" w:type="dxa"/>
            <w:shd w:val="clear" w:color="auto" w:fill="D9D9D9" w:themeFill="background1" w:themeFillShade="D9"/>
          </w:tcPr>
          <w:p w14:paraId="5C041DB8" w14:textId="77777777" w:rsidR="001970B1" w:rsidRPr="00CB502D" w:rsidRDefault="001970B1" w:rsidP="006569E6">
            <w:pPr>
              <w:rPr>
                <w:rFonts w:ascii="Times New Roman" w:hAnsi="Times New Roman" w:cs="Times New Roman"/>
                <w:b/>
                <w:sz w:val="18"/>
                <w:szCs w:val="18"/>
              </w:rPr>
            </w:pPr>
            <w:r w:rsidRPr="00CB502D">
              <w:rPr>
                <w:rFonts w:ascii="Times New Roman" w:hAnsi="Times New Roman" w:cs="Times New Roman"/>
                <w:b/>
                <w:sz w:val="18"/>
                <w:szCs w:val="18"/>
              </w:rPr>
              <w:t>Time for Defendant’s Objection or Demand</w:t>
            </w:r>
          </w:p>
        </w:tc>
        <w:tc>
          <w:tcPr>
            <w:tcW w:w="1350" w:type="dxa"/>
            <w:shd w:val="clear" w:color="auto" w:fill="D9D9D9" w:themeFill="background1" w:themeFillShade="D9"/>
          </w:tcPr>
          <w:p w14:paraId="24F4FE3A" w14:textId="77777777" w:rsidR="001970B1" w:rsidRPr="00CB502D" w:rsidRDefault="001970B1" w:rsidP="006569E6">
            <w:pPr>
              <w:rPr>
                <w:rFonts w:ascii="Times New Roman" w:hAnsi="Times New Roman" w:cs="Times New Roman"/>
                <w:b/>
                <w:sz w:val="18"/>
                <w:szCs w:val="18"/>
              </w:rPr>
            </w:pPr>
            <w:r w:rsidRPr="00CB502D">
              <w:rPr>
                <w:rFonts w:ascii="Times New Roman" w:hAnsi="Times New Roman" w:cs="Times New Roman"/>
                <w:b/>
                <w:sz w:val="18"/>
                <w:szCs w:val="18"/>
              </w:rPr>
              <w:t>AOC Form</w:t>
            </w:r>
          </w:p>
        </w:tc>
      </w:tr>
      <w:tr w:rsidR="001970B1" w:rsidRPr="00CB502D" w14:paraId="4F9A446F" w14:textId="77777777" w:rsidTr="007479CF">
        <w:trPr>
          <w:trHeight w:val="1637"/>
        </w:trPr>
        <w:tc>
          <w:tcPr>
            <w:tcW w:w="1728" w:type="dxa"/>
          </w:tcPr>
          <w:p w14:paraId="0777CDD1"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G.S. 8-58.20(a)-(f)</w:t>
            </w:r>
          </w:p>
        </w:tc>
        <w:tc>
          <w:tcPr>
            <w:tcW w:w="1530" w:type="dxa"/>
          </w:tcPr>
          <w:p w14:paraId="1A1F7723"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Laboratory report of a written forensic analysis</w:t>
            </w:r>
          </w:p>
        </w:tc>
        <w:tc>
          <w:tcPr>
            <w:tcW w:w="1260" w:type="dxa"/>
          </w:tcPr>
          <w:p w14:paraId="442A33A2"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Any criminal proceeding</w:t>
            </w:r>
          </w:p>
        </w:tc>
        <w:tc>
          <w:tcPr>
            <w:tcW w:w="1620" w:type="dxa"/>
          </w:tcPr>
          <w:p w14:paraId="220BB75A"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No later than 5 business days after receipt or 30 days before the proceeding, whichever is earlier</w:t>
            </w:r>
          </w:p>
        </w:tc>
        <w:tc>
          <w:tcPr>
            <w:tcW w:w="1530" w:type="dxa"/>
          </w:tcPr>
          <w:p w14:paraId="3685C7F2"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Within 15 business days of receiving the State’s notice</w:t>
            </w:r>
          </w:p>
        </w:tc>
        <w:tc>
          <w:tcPr>
            <w:tcW w:w="1350" w:type="dxa"/>
          </w:tcPr>
          <w:p w14:paraId="455456FF"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None</w:t>
            </w:r>
          </w:p>
        </w:tc>
      </w:tr>
      <w:tr w:rsidR="001970B1" w:rsidRPr="00CB502D" w14:paraId="0688E74B" w14:textId="77777777" w:rsidTr="007479CF">
        <w:trPr>
          <w:trHeight w:val="2033"/>
        </w:trPr>
        <w:tc>
          <w:tcPr>
            <w:tcW w:w="1728" w:type="dxa"/>
          </w:tcPr>
          <w:p w14:paraId="6C404152"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G.S. 8-58.20(g)</w:t>
            </w:r>
          </w:p>
        </w:tc>
        <w:tc>
          <w:tcPr>
            <w:tcW w:w="1530" w:type="dxa"/>
          </w:tcPr>
          <w:p w14:paraId="7816CF50"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Chain of custody statement for evidence subject to forensic analysis</w:t>
            </w:r>
          </w:p>
        </w:tc>
        <w:tc>
          <w:tcPr>
            <w:tcW w:w="1260" w:type="dxa"/>
          </w:tcPr>
          <w:p w14:paraId="1E1C18E4"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Any criminal proceeding</w:t>
            </w:r>
          </w:p>
        </w:tc>
        <w:tc>
          <w:tcPr>
            <w:tcW w:w="1620" w:type="dxa"/>
          </w:tcPr>
          <w:p w14:paraId="36F39ACD"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At least 15 business days before the proceeding</w:t>
            </w:r>
          </w:p>
        </w:tc>
        <w:tc>
          <w:tcPr>
            <w:tcW w:w="1530" w:type="dxa"/>
          </w:tcPr>
          <w:p w14:paraId="3A867840"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At least 5 business day before the proceeding</w:t>
            </w:r>
          </w:p>
        </w:tc>
        <w:tc>
          <w:tcPr>
            <w:tcW w:w="1350" w:type="dxa"/>
          </w:tcPr>
          <w:p w14:paraId="53BFF78E"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None</w:t>
            </w:r>
          </w:p>
        </w:tc>
      </w:tr>
      <w:tr w:rsidR="001970B1" w:rsidRPr="00CB502D" w14:paraId="25A24567" w14:textId="77777777" w:rsidTr="007479CF">
        <w:tc>
          <w:tcPr>
            <w:tcW w:w="1728" w:type="dxa"/>
          </w:tcPr>
          <w:p w14:paraId="4D1DE084"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G.S. 20-139.1(c1)</w:t>
            </w:r>
          </w:p>
        </w:tc>
        <w:tc>
          <w:tcPr>
            <w:tcW w:w="1530" w:type="dxa"/>
          </w:tcPr>
          <w:p w14:paraId="0E3B119B"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Chemical analysis of blood or urine</w:t>
            </w:r>
          </w:p>
        </w:tc>
        <w:tc>
          <w:tcPr>
            <w:tcW w:w="1260" w:type="dxa"/>
          </w:tcPr>
          <w:p w14:paraId="0B1F1F22"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Cases tried in district and superior court and adjudicatory hearings in juvenile court</w:t>
            </w:r>
          </w:p>
        </w:tc>
        <w:tc>
          <w:tcPr>
            <w:tcW w:w="1620" w:type="dxa"/>
          </w:tcPr>
          <w:p w14:paraId="43FA1B31" w14:textId="77777777" w:rsidR="00866B3E" w:rsidRPr="00CB502D" w:rsidRDefault="00866B3E" w:rsidP="00866B3E">
            <w:pPr>
              <w:rPr>
                <w:rFonts w:ascii="Times New Roman" w:hAnsi="Times New Roman" w:cs="Times New Roman"/>
                <w:sz w:val="18"/>
                <w:szCs w:val="18"/>
              </w:rPr>
            </w:pPr>
            <w:r w:rsidRPr="00CB502D">
              <w:rPr>
                <w:rFonts w:ascii="Times New Roman" w:hAnsi="Times New Roman" w:cs="Times New Roman"/>
                <w:sz w:val="18"/>
                <w:szCs w:val="18"/>
              </w:rPr>
              <w:t>No later than 15 business days after</w:t>
            </w:r>
          </w:p>
          <w:p w14:paraId="6CF1F759" w14:textId="683308B7" w:rsidR="001970B1" w:rsidRPr="00CB502D" w:rsidRDefault="00866B3E" w:rsidP="00866B3E">
            <w:pPr>
              <w:rPr>
                <w:rFonts w:ascii="Times New Roman" w:hAnsi="Times New Roman" w:cs="Times New Roman"/>
                <w:sz w:val="18"/>
                <w:szCs w:val="18"/>
              </w:rPr>
            </w:pPr>
            <w:r w:rsidRPr="00CB502D">
              <w:rPr>
                <w:rFonts w:ascii="Times New Roman" w:hAnsi="Times New Roman" w:cs="Times New Roman"/>
                <w:sz w:val="18"/>
                <w:szCs w:val="18"/>
              </w:rPr>
              <w:t>receiving the report and a</w:t>
            </w:r>
            <w:r w:rsidR="001970B1" w:rsidRPr="00CB502D">
              <w:rPr>
                <w:rFonts w:ascii="Times New Roman" w:hAnsi="Times New Roman" w:cs="Times New Roman"/>
                <w:sz w:val="18"/>
                <w:szCs w:val="18"/>
              </w:rPr>
              <w:t>t least 15 business days before the proceeding</w:t>
            </w:r>
            <w:r w:rsidRPr="00CB502D">
              <w:rPr>
                <w:rFonts w:ascii="Times New Roman" w:hAnsi="Times New Roman" w:cs="Times New Roman"/>
                <w:sz w:val="18"/>
                <w:szCs w:val="18"/>
                <w:vertAlign w:val="superscript"/>
              </w:rPr>
              <w:t>1</w:t>
            </w:r>
          </w:p>
        </w:tc>
        <w:tc>
          <w:tcPr>
            <w:tcW w:w="1530" w:type="dxa"/>
          </w:tcPr>
          <w:p w14:paraId="19AAF54A" w14:textId="06BE6CAA"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At least 5 business days before the proceeding</w:t>
            </w:r>
            <w:r w:rsidR="00866B3E" w:rsidRPr="00CB502D">
              <w:rPr>
                <w:rFonts w:ascii="Times New Roman" w:hAnsi="Times New Roman" w:cs="Times New Roman"/>
                <w:sz w:val="18"/>
                <w:szCs w:val="18"/>
                <w:vertAlign w:val="superscript"/>
              </w:rPr>
              <w:t>1</w:t>
            </w:r>
          </w:p>
        </w:tc>
        <w:tc>
          <w:tcPr>
            <w:tcW w:w="1350" w:type="dxa"/>
          </w:tcPr>
          <w:p w14:paraId="4E90D759"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AOC-CR-344</w:t>
            </w:r>
          </w:p>
        </w:tc>
      </w:tr>
      <w:tr w:rsidR="001970B1" w:rsidRPr="00CB502D" w14:paraId="3184E409" w14:textId="77777777" w:rsidTr="007479CF">
        <w:trPr>
          <w:trHeight w:val="1007"/>
        </w:trPr>
        <w:tc>
          <w:tcPr>
            <w:tcW w:w="1728" w:type="dxa"/>
          </w:tcPr>
          <w:p w14:paraId="5D4D529D"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G.S. 20-139.1(c3)</w:t>
            </w:r>
          </w:p>
        </w:tc>
        <w:tc>
          <w:tcPr>
            <w:tcW w:w="1530" w:type="dxa"/>
          </w:tcPr>
          <w:p w14:paraId="7A6734D6"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Chain of custody statement for tested blood or urine</w:t>
            </w:r>
          </w:p>
        </w:tc>
        <w:tc>
          <w:tcPr>
            <w:tcW w:w="1260" w:type="dxa"/>
          </w:tcPr>
          <w:p w14:paraId="6462F3D8"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Cases tried in district and superior court and adjudicatory hearings in juvenile court</w:t>
            </w:r>
          </w:p>
        </w:tc>
        <w:tc>
          <w:tcPr>
            <w:tcW w:w="1620" w:type="dxa"/>
          </w:tcPr>
          <w:p w14:paraId="43319A48" w14:textId="77777777" w:rsidR="00866B3E" w:rsidRPr="00CB502D" w:rsidRDefault="00866B3E" w:rsidP="00866B3E">
            <w:pPr>
              <w:rPr>
                <w:rFonts w:ascii="Times New Roman" w:hAnsi="Times New Roman" w:cs="Times New Roman"/>
                <w:sz w:val="18"/>
                <w:szCs w:val="18"/>
              </w:rPr>
            </w:pPr>
            <w:r w:rsidRPr="00CB502D">
              <w:rPr>
                <w:rFonts w:ascii="Times New Roman" w:hAnsi="Times New Roman" w:cs="Times New Roman"/>
                <w:sz w:val="18"/>
                <w:szCs w:val="18"/>
              </w:rPr>
              <w:t>No later than 15 business days after</w:t>
            </w:r>
          </w:p>
          <w:p w14:paraId="60F89CD0" w14:textId="08E2325F" w:rsidR="001970B1" w:rsidRPr="00CB502D" w:rsidRDefault="00866B3E" w:rsidP="00866B3E">
            <w:pPr>
              <w:rPr>
                <w:rFonts w:ascii="Times New Roman" w:hAnsi="Times New Roman" w:cs="Times New Roman"/>
                <w:sz w:val="18"/>
                <w:szCs w:val="18"/>
              </w:rPr>
            </w:pPr>
            <w:r w:rsidRPr="00CB502D">
              <w:rPr>
                <w:rFonts w:ascii="Times New Roman" w:hAnsi="Times New Roman" w:cs="Times New Roman"/>
                <w:sz w:val="18"/>
                <w:szCs w:val="18"/>
              </w:rPr>
              <w:t>receiving the statement and a</w:t>
            </w:r>
            <w:r w:rsidR="001970B1" w:rsidRPr="00CB502D">
              <w:rPr>
                <w:rFonts w:ascii="Times New Roman" w:hAnsi="Times New Roman" w:cs="Times New Roman"/>
                <w:sz w:val="18"/>
                <w:szCs w:val="18"/>
              </w:rPr>
              <w:t>t least 15 business days before the proceeding</w:t>
            </w:r>
            <w:r w:rsidRPr="00CB502D">
              <w:rPr>
                <w:rFonts w:ascii="Times New Roman" w:hAnsi="Times New Roman" w:cs="Times New Roman"/>
                <w:sz w:val="18"/>
                <w:szCs w:val="18"/>
                <w:vertAlign w:val="superscript"/>
              </w:rPr>
              <w:t>1</w:t>
            </w:r>
          </w:p>
        </w:tc>
        <w:tc>
          <w:tcPr>
            <w:tcW w:w="1530" w:type="dxa"/>
          </w:tcPr>
          <w:p w14:paraId="3CA4BD8A" w14:textId="08612F53"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At least 5 business days before the proceeding</w:t>
            </w:r>
            <w:r w:rsidR="00866B3E" w:rsidRPr="00CB502D">
              <w:rPr>
                <w:rFonts w:ascii="Times New Roman" w:hAnsi="Times New Roman" w:cs="Times New Roman"/>
                <w:sz w:val="18"/>
                <w:szCs w:val="18"/>
                <w:vertAlign w:val="superscript"/>
              </w:rPr>
              <w:t>1</w:t>
            </w:r>
          </w:p>
        </w:tc>
        <w:tc>
          <w:tcPr>
            <w:tcW w:w="1350" w:type="dxa"/>
          </w:tcPr>
          <w:p w14:paraId="17083924"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AOC-CR-344</w:t>
            </w:r>
          </w:p>
        </w:tc>
      </w:tr>
      <w:tr w:rsidR="001970B1" w:rsidRPr="00CB502D" w14:paraId="58877647" w14:textId="77777777" w:rsidTr="007479CF">
        <w:tc>
          <w:tcPr>
            <w:tcW w:w="1728" w:type="dxa"/>
          </w:tcPr>
          <w:p w14:paraId="522CEB76"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G.S. 20-139.1(e</w:t>
            </w:r>
            <w:proofErr w:type="gramStart"/>
            <w:r w:rsidRPr="00CB502D">
              <w:rPr>
                <w:rFonts w:ascii="Times New Roman" w:hAnsi="Times New Roman" w:cs="Times New Roman"/>
                <w:sz w:val="18"/>
                <w:szCs w:val="18"/>
              </w:rPr>
              <w:t>1)-(</w:t>
            </w:r>
            <w:proofErr w:type="gramEnd"/>
            <w:r w:rsidRPr="00CB502D">
              <w:rPr>
                <w:rFonts w:ascii="Times New Roman" w:hAnsi="Times New Roman" w:cs="Times New Roman"/>
                <w:sz w:val="18"/>
                <w:szCs w:val="18"/>
              </w:rPr>
              <w:t>e2)</w:t>
            </w:r>
          </w:p>
        </w:tc>
        <w:tc>
          <w:tcPr>
            <w:tcW w:w="1530" w:type="dxa"/>
          </w:tcPr>
          <w:p w14:paraId="2051DE91"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Chemical analyst affidavit</w:t>
            </w:r>
          </w:p>
        </w:tc>
        <w:tc>
          <w:tcPr>
            <w:tcW w:w="1260" w:type="dxa"/>
          </w:tcPr>
          <w:p w14:paraId="7FD42C33"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Hearing or trial in district court</w:t>
            </w:r>
          </w:p>
        </w:tc>
        <w:tc>
          <w:tcPr>
            <w:tcW w:w="1620" w:type="dxa"/>
          </w:tcPr>
          <w:p w14:paraId="09B0A454" w14:textId="77777777" w:rsidR="00866B3E" w:rsidRPr="00CB502D" w:rsidRDefault="00866B3E" w:rsidP="00866B3E">
            <w:pPr>
              <w:rPr>
                <w:rFonts w:ascii="Times New Roman" w:hAnsi="Times New Roman" w:cs="Times New Roman"/>
                <w:sz w:val="18"/>
                <w:szCs w:val="18"/>
              </w:rPr>
            </w:pPr>
            <w:r w:rsidRPr="00CB502D">
              <w:rPr>
                <w:rFonts w:ascii="Times New Roman" w:hAnsi="Times New Roman" w:cs="Times New Roman"/>
                <w:sz w:val="18"/>
                <w:szCs w:val="18"/>
              </w:rPr>
              <w:t>No later than 15 business days after</w:t>
            </w:r>
          </w:p>
          <w:p w14:paraId="589CF179" w14:textId="3B1843A6" w:rsidR="001970B1" w:rsidRPr="00CB502D" w:rsidRDefault="00866B3E">
            <w:pPr>
              <w:rPr>
                <w:rFonts w:ascii="Times New Roman" w:hAnsi="Times New Roman" w:cs="Times New Roman"/>
                <w:sz w:val="18"/>
                <w:szCs w:val="18"/>
              </w:rPr>
            </w:pPr>
            <w:r w:rsidRPr="00CB502D">
              <w:rPr>
                <w:rFonts w:ascii="Times New Roman" w:hAnsi="Times New Roman" w:cs="Times New Roman"/>
                <w:sz w:val="18"/>
                <w:szCs w:val="18"/>
              </w:rPr>
              <w:t>receiving the affidavit and at</w:t>
            </w:r>
            <w:r w:rsidR="001970B1" w:rsidRPr="00CB502D">
              <w:rPr>
                <w:rFonts w:ascii="Times New Roman" w:hAnsi="Times New Roman" w:cs="Times New Roman"/>
                <w:sz w:val="18"/>
                <w:szCs w:val="18"/>
              </w:rPr>
              <w:t xml:space="preserve"> least 15 business days before the proceeding</w:t>
            </w:r>
            <w:r w:rsidRPr="00CB502D">
              <w:rPr>
                <w:rFonts w:ascii="Times New Roman" w:hAnsi="Times New Roman" w:cs="Times New Roman"/>
                <w:sz w:val="18"/>
                <w:szCs w:val="18"/>
                <w:vertAlign w:val="superscript"/>
              </w:rPr>
              <w:t>1</w:t>
            </w:r>
          </w:p>
        </w:tc>
        <w:tc>
          <w:tcPr>
            <w:tcW w:w="1530" w:type="dxa"/>
          </w:tcPr>
          <w:p w14:paraId="17E88953" w14:textId="0CDE0E45"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At least 5 business days before the proceeding</w:t>
            </w:r>
            <w:r w:rsidR="00866B3E" w:rsidRPr="00CB502D">
              <w:rPr>
                <w:rFonts w:ascii="Times New Roman" w:hAnsi="Times New Roman" w:cs="Times New Roman"/>
                <w:sz w:val="18"/>
                <w:szCs w:val="18"/>
                <w:vertAlign w:val="superscript"/>
              </w:rPr>
              <w:t>1</w:t>
            </w:r>
          </w:p>
        </w:tc>
        <w:tc>
          <w:tcPr>
            <w:tcW w:w="1350" w:type="dxa"/>
          </w:tcPr>
          <w:p w14:paraId="4EE8EAE0"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AOC-CR-344</w:t>
            </w:r>
          </w:p>
        </w:tc>
      </w:tr>
      <w:tr w:rsidR="001970B1" w:rsidRPr="00CB502D" w14:paraId="7D55B299" w14:textId="77777777" w:rsidTr="007479CF">
        <w:tc>
          <w:tcPr>
            <w:tcW w:w="1728" w:type="dxa"/>
          </w:tcPr>
          <w:p w14:paraId="5FD17901"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G.S. 90-95(g)</w:t>
            </w:r>
          </w:p>
        </w:tc>
        <w:tc>
          <w:tcPr>
            <w:tcW w:w="1530" w:type="dxa"/>
          </w:tcPr>
          <w:p w14:paraId="021BF4D5"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Chemical analyses in drug cases</w:t>
            </w:r>
          </w:p>
        </w:tc>
        <w:tc>
          <w:tcPr>
            <w:tcW w:w="1260" w:type="dxa"/>
          </w:tcPr>
          <w:p w14:paraId="058C3E37"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All proceedings in district and superior court</w:t>
            </w:r>
          </w:p>
        </w:tc>
        <w:tc>
          <w:tcPr>
            <w:tcW w:w="1620" w:type="dxa"/>
          </w:tcPr>
          <w:p w14:paraId="703B6540"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At least 15 business days before the proceeding</w:t>
            </w:r>
          </w:p>
        </w:tc>
        <w:tc>
          <w:tcPr>
            <w:tcW w:w="1530" w:type="dxa"/>
          </w:tcPr>
          <w:p w14:paraId="31A82B99"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At least 5 business days before the proceeding</w:t>
            </w:r>
          </w:p>
        </w:tc>
        <w:tc>
          <w:tcPr>
            <w:tcW w:w="1350" w:type="dxa"/>
          </w:tcPr>
          <w:p w14:paraId="1B9D51BE"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None</w:t>
            </w:r>
          </w:p>
        </w:tc>
      </w:tr>
      <w:tr w:rsidR="001970B1" w:rsidRPr="00CB502D" w14:paraId="3C871AD0" w14:textId="77777777" w:rsidTr="007479CF">
        <w:tc>
          <w:tcPr>
            <w:tcW w:w="1728" w:type="dxa"/>
          </w:tcPr>
          <w:p w14:paraId="5BB189D9"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G.S. 90-95(g1)</w:t>
            </w:r>
          </w:p>
        </w:tc>
        <w:tc>
          <w:tcPr>
            <w:tcW w:w="1530" w:type="dxa"/>
          </w:tcPr>
          <w:p w14:paraId="450223D2"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 xml:space="preserve">Chain of custody statement in drug cases. </w:t>
            </w:r>
          </w:p>
        </w:tc>
        <w:tc>
          <w:tcPr>
            <w:tcW w:w="1260" w:type="dxa"/>
          </w:tcPr>
          <w:p w14:paraId="7E250EE5"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All proceedings in district and superior court</w:t>
            </w:r>
          </w:p>
        </w:tc>
        <w:tc>
          <w:tcPr>
            <w:tcW w:w="1620" w:type="dxa"/>
          </w:tcPr>
          <w:p w14:paraId="6EB95EB3"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At least 15 business days before trial</w:t>
            </w:r>
          </w:p>
        </w:tc>
        <w:tc>
          <w:tcPr>
            <w:tcW w:w="1530" w:type="dxa"/>
          </w:tcPr>
          <w:p w14:paraId="5872EE70"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At least 5 business days before trial</w:t>
            </w:r>
          </w:p>
        </w:tc>
        <w:tc>
          <w:tcPr>
            <w:tcW w:w="1350" w:type="dxa"/>
          </w:tcPr>
          <w:p w14:paraId="4C3230CE" w14:textId="77777777" w:rsidR="001970B1" w:rsidRPr="00CB502D" w:rsidRDefault="001970B1" w:rsidP="006569E6">
            <w:pPr>
              <w:rPr>
                <w:rFonts w:ascii="Times New Roman" w:hAnsi="Times New Roman" w:cs="Times New Roman"/>
                <w:sz w:val="18"/>
                <w:szCs w:val="18"/>
              </w:rPr>
            </w:pPr>
            <w:r w:rsidRPr="00CB502D">
              <w:rPr>
                <w:rFonts w:ascii="Times New Roman" w:hAnsi="Times New Roman" w:cs="Times New Roman"/>
                <w:sz w:val="18"/>
                <w:szCs w:val="18"/>
              </w:rPr>
              <w:t>None</w:t>
            </w:r>
          </w:p>
        </w:tc>
      </w:tr>
    </w:tbl>
    <w:p w14:paraId="261C7E72" w14:textId="77777777" w:rsidR="001970B1" w:rsidRPr="00CB502D" w:rsidRDefault="001970B1">
      <w:pPr>
        <w:rPr>
          <w:rFonts w:cs="Arial"/>
          <w:szCs w:val="22"/>
        </w:rPr>
      </w:pPr>
    </w:p>
    <w:p w14:paraId="2E2BAFEF" w14:textId="34F2B966" w:rsidR="00866B3E" w:rsidRPr="00CB502D" w:rsidRDefault="00866B3E" w:rsidP="00866B3E">
      <w:pPr>
        <w:rPr>
          <w:rFonts w:ascii="Times New Roman" w:hAnsi="Times New Roman" w:cs="Times New Roman"/>
          <w:sz w:val="18"/>
          <w:szCs w:val="18"/>
        </w:rPr>
      </w:pPr>
      <w:r w:rsidRPr="00CB502D">
        <w:rPr>
          <w:rFonts w:ascii="Times New Roman" w:hAnsi="Times New Roman" w:cs="Times New Roman"/>
          <w:sz w:val="18"/>
          <w:szCs w:val="18"/>
        </w:rPr>
        <w:t>1.</w:t>
      </w:r>
      <w:r w:rsidRPr="00CB502D">
        <w:rPr>
          <w:rFonts w:ascii="Times New Roman" w:hAnsi="Times New Roman" w:cs="Times New Roman"/>
        </w:rPr>
        <w:t xml:space="preserve"> </w:t>
      </w:r>
      <w:r w:rsidRPr="00CB502D">
        <w:rPr>
          <w:rFonts w:ascii="Times New Roman" w:hAnsi="Times New Roman" w:cs="Times New Roman"/>
          <w:sz w:val="18"/>
          <w:szCs w:val="18"/>
        </w:rPr>
        <w:t xml:space="preserve">If the proceeding </w:t>
      </w:r>
      <w:r w:rsidR="008052E3" w:rsidRPr="00CB502D">
        <w:rPr>
          <w:rFonts w:ascii="Times New Roman" w:hAnsi="Times New Roman" w:cs="Times New Roman"/>
          <w:sz w:val="18"/>
          <w:szCs w:val="18"/>
        </w:rPr>
        <w:t xml:space="preserve">is </w:t>
      </w:r>
      <w:r w:rsidRPr="00CB502D">
        <w:rPr>
          <w:rFonts w:ascii="Times New Roman" w:hAnsi="Times New Roman" w:cs="Times New Roman"/>
          <w:sz w:val="18"/>
          <w:szCs w:val="18"/>
        </w:rPr>
        <w:t xml:space="preserve">continued, the State’s notice, the defendant’s objection or failure to file a written objection remains effective at any subsequent calendaring of the proceeding. G.S. 20-139.1(c1); (c3); (e2). </w:t>
      </w:r>
      <w:r w:rsidR="00EA6315">
        <w:rPr>
          <w:rFonts w:ascii="Times New Roman" w:hAnsi="Times New Roman" w:cs="Times New Roman"/>
          <w:sz w:val="18"/>
          <w:szCs w:val="18"/>
        </w:rPr>
        <w:t xml:space="preserve">This means that the deadline for the defendant to file an objection in implied consent cases at least 5 business days before the next court date, </w:t>
      </w:r>
      <w:proofErr w:type="gramStart"/>
      <w:r w:rsidR="00EA6315">
        <w:rPr>
          <w:rFonts w:ascii="Times New Roman" w:hAnsi="Times New Roman" w:cs="Times New Roman"/>
          <w:sz w:val="18"/>
          <w:szCs w:val="18"/>
        </w:rPr>
        <w:t>whether or not</w:t>
      </w:r>
      <w:proofErr w:type="gramEnd"/>
      <w:r w:rsidR="00EA6315">
        <w:rPr>
          <w:rFonts w:ascii="Times New Roman" w:hAnsi="Times New Roman" w:cs="Times New Roman"/>
          <w:sz w:val="18"/>
          <w:szCs w:val="18"/>
        </w:rPr>
        <w:t xml:space="preserve"> the matter proceeds to trial then.</w:t>
      </w:r>
    </w:p>
    <w:p w14:paraId="5D093977" w14:textId="77777777" w:rsidR="00AB0E65" w:rsidRPr="00CB502D" w:rsidRDefault="00AB0E65">
      <w:pPr>
        <w:rPr>
          <w:rFonts w:cs="Arial"/>
          <w:szCs w:val="22"/>
        </w:rPr>
      </w:pPr>
      <w:r w:rsidRPr="00CB502D">
        <w:rPr>
          <w:rFonts w:cs="Arial"/>
          <w:szCs w:val="22"/>
        </w:rPr>
        <w:br w:type="page"/>
      </w:r>
    </w:p>
    <w:p w14:paraId="45EE7BAC" w14:textId="76FE8B88" w:rsidR="00A41AD9" w:rsidRPr="00CB502D" w:rsidRDefault="00721378" w:rsidP="00633156">
      <w:pPr>
        <w:pStyle w:val="Heading2"/>
        <w:numPr>
          <w:ilvl w:val="0"/>
          <w:numId w:val="95"/>
        </w:numPr>
        <w:ind w:left="720" w:firstLine="0"/>
      </w:pPr>
      <w:bookmarkStart w:id="298" w:name="_Toc427840945"/>
      <w:bookmarkStart w:id="299" w:name="_Toc223718271"/>
      <w:bookmarkStart w:id="300" w:name="_Toc223718527"/>
      <w:bookmarkStart w:id="301" w:name="_Toc223731916"/>
      <w:bookmarkStart w:id="302" w:name="failuretocall"/>
      <w:bookmarkEnd w:id="298"/>
      <w:r w:rsidRPr="00CB502D">
        <w:lastRenderedPageBreak/>
        <w:t>Failure to Call or Subpoena Witness</w:t>
      </w:r>
      <w:r w:rsidR="00514BF9" w:rsidRPr="00CB502D">
        <w:t>.</w:t>
      </w:r>
      <w:bookmarkEnd w:id="299"/>
      <w:bookmarkEnd w:id="300"/>
      <w:bookmarkEnd w:id="301"/>
      <w:r w:rsidR="00514BF9" w:rsidRPr="00CB502D">
        <w:t xml:space="preserve"> </w:t>
      </w:r>
      <w:bookmarkEnd w:id="302"/>
    </w:p>
    <w:p w14:paraId="53BFEFD2" w14:textId="7505E4FA" w:rsidR="00A02AFF" w:rsidRDefault="00721378" w:rsidP="00CC2D3B">
      <w:pPr>
        <w:ind w:left="1440"/>
      </w:pPr>
      <w:r w:rsidRPr="00CB502D">
        <w:t xml:space="preserve">The </w:t>
      </w:r>
      <w:r w:rsidRPr="00CB502D">
        <w:rPr>
          <w:rStyle w:val="00BTitalic"/>
          <w:rFonts w:ascii="Arial" w:hAnsi="Arial" w:cs="Arial"/>
        </w:rPr>
        <w:t>Melendez-Diaz</w:t>
      </w:r>
      <w:r w:rsidRPr="00CB502D">
        <w:t xml:space="preserve"> Court rejected the argument that a </w:t>
      </w:r>
      <w:r w:rsidR="00AE664A">
        <w:t>Confrontation Clause</w:t>
      </w:r>
      <w:r w:rsidRPr="00CB502D">
        <w:t xml:space="preserve"> objection is waived if the defendant fails to call or subpoena a witness, ruling that “the Confrontation Clause imposes a burden on the prosecution to present its witnesses, not on the defendant to bring those adverse witnesses into court.”</w:t>
      </w:r>
      <w:r w:rsidRPr="00CB502D">
        <w:rPr>
          <w:rStyle w:val="00BTfootnotecallout"/>
          <w:rFonts w:ascii="Arial" w:hAnsi="Arial" w:cs="Arial"/>
        </w:rPr>
        <w:footnoteReference w:id="170"/>
      </w:r>
      <w:r w:rsidRPr="00CB502D">
        <w:t xml:space="preserve"> </w:t>
      </w:r>
      <w:r w:rsidR="00571A14">
        <w:t xml:space="preserve">The Court reiterated this position in </w:t>
      </w:r>
      <w:r w:rsidR="00571A14" w:rsidRPr="00D122A7">
        <w:rPr>
          <w:i/>
          <w:iCs/>
        </w:rPr>
        <w:t>Smith v. Arizona</w:t>
      </w:r>
      <w:r w:rsidR="00746E3E" w:rsidRPr="00CB502D">
        <w:rPr>
          <w:rStyle w:val="00BTfootnotecallout"/>
          <w:rFonts w:ascii="Arial" w:hAnsi="Arial" w:cs="Arial"/>
        </w:rPr>
        <w:footnoteReference w:id="171"/>
      </w:r>
      <w:r w:rsidR="009A4F67">
        <w:t xml:space="preserve"> and other cases.</w:t>
      </w:r>
      <w:r w:rsidR="00D122A7">
        <w:t xml:space="preserve"> </w:t>
      </w:r>
      <w:r w:rsidRPr="00CB502D">
        <w:t xml:space="preserve">Any support for a contrary conclusion in </w:t>
      </w:r>
      <w:r w:rsidR="008D0C85" w:rsidRPr="00CB502D">
        <w:t xml:space="preserve">earlier North Carolina cases </w:t>
      </w:r>
      <w:r w:rsidRPr="00CB502D">
        <w:t>is now questionable</w:t>
      </w:r>
      <w:r w:rsidR="00550862" w:rsidRPr="00CB502D">
        <w:t>.</w:t>
      </w:r>
      <w:r w:rsidR="008D0C85" w:rsidRPr="00CB502D">
        <w:rPr>
          <w:rStyle w:val="00BTfootnotecallout"/>
          <w:rFonts w:ascii="Arial" w:hAnsi="Arial" w:cs="Arial"/>
        </w:rPr>
        <w:footnoteReference w:id="172"/>
      </w:r>
    </w:p>
    <w:p w14:paraId="7C186DB4" w14:textId="77777777" w:rsidR="00A84A78" w:rsidRPr="00CC2D3B" w:rsidRDefault="00A84A78" w:rsidP="00CC2D3B">
      <w:pPr>
        <w:ind w:left="1440"/>
        <w:rPr>
          <w:rFonts w:cs="Arial"/>
          <w:color w:val="000000"/>
          <w:szCs w:val="22"/>
          <w:vertAlign w:val="superscript"/>
        </w:rPr>
      </w:pPr>
    </w:p>
    <w:p w14:paraId="056040B5" w14:textId="77777777" w:rsidR="00A41AD9" w:rsidRPr="00CB502D" w:rsidRDefault="001F773B" w:rsidP="00633156">
      <w:pPr>
        <w:pStyle w:val="Heading2"/>
        <w:numPr>
          <w:ilvl w:val="0"/>
          <w:numId w:val="95"/>
        </w:numPr>
        <w:ind w:left="720" w:firstLine="0"/>
      </w:pPr>
      <w:bookmarkStart w:id="303" w:name="_Toc398033835"/>
      <w:bookmarkStart w:id="304" w:name="_Toc223718272"/>
      <w:bookmarkStart w:id="305" w:name="_Toc223718528"/>
      <w:bookmarkStart w:id="306" w:name="_Toc223731917"/>
      <w:r w:rsidRPr="00CB502D">
        <w:t>Stipulations</w:t>
      </w:r>
      <w:r w:rsidR="00DA14D3" w:rsidRPr="00CB502D">
        <w:t xml:space="preserve"> as Waivers</w:t>
      </w:r>
      <w:r w:rsidRPr="00CB502D">
        <w:t>.</w:t>
      </w:r>
      <w:bookmarkEnd w:id="303"/>
      <w:bookmarkEnd w:id="304"/>
      <w:bookmarkEnd w:id="305"/>
      <w:bookmarkEnd w:id="306"/>
      <w:r w:rsidRPr="00CB502D">
        <w:t xml:space="preserve"> </w:t>
      </w:r>
    </w:p>
    <w:p w14:paraId="589F0511" w14:textId="1BF98723" w:rsidR="00972203" w:rsidRDefault="00DA14D3" w:rsidP="00DA14D3">
      <w:pPr>
        <w:ind w:left="1440"/>
      </w:pPr>
      <w:r w:rsidRPr="00CB502D">
        <w:t>North Carolina case</w:t>
      </w:r>
      <w:r w:rsidR="00985068">
        <w:t>s</w:t>
      </w:r>
      <w:r w:rsidRPr="00CB502D">
        <w:t xml:space="preserve"> h</w:t>
      </w:r>
      <w:r w:rsidR="00985068">
        <w:t>o</w:t>
      </w:r>
      <w:r w:rsidRPr="00CB502D">
        <w:t xml:space="preserve">ld that </w:t>
      </w:r>
      <w:r w:rsidR="00985068">
        <w:t>a</w:t>
      </w:r>
      <w:r w:rsidRPr="00CB502D">
        <w:t xml:space="preserve"> defendant waive</w:t>
      </w:r>
      <w:r w:rsidR="00985068">
        <w:t>s</w:t>
      </w:r>
      <w:r w:rsidRPr="00CB502D">
        <w:t xml:space="preserve"> a </w:t>
      </w:r>
      <w:r w:rsidR="00AE664A">
        <w:t>Confrontation Clause</w:t>
      </w:r>
      <w:r w:rsidRPr="00CB502D">
        <w:t xml:space="preserve"> challenge to a laboratory report identifying a substance as a controlled substance by “stipulating” to the admission of the report “without further authentication or</w:t>
      </w:r>
      <w:r w:rsidR="00167940" w:rsidRPr="00CB502D">
        <w:t xml:space="preserve"> further</w:t>
      </w:r>
      <w:r w:rsidRPr="00CB502D">
        <w:t xml:space="preserve"> testimony.”</w:t>
      </w:r>
      <w:r w:rsidRPr="00CB502D">
        <w:rPr>
          <w:rStyle w:val="FootnoteReference"/>
        </w:rPr>
        <w:footnoteReference w:id="173"/>
      </w:r>
      <w:r w:rsidRPr="00CB502D">
        <w:t xml:space="preserve"> </w:t>
      </w:r>
      <w:r w:rsidR="006A44F8">
        <w:t xml:space="preserve">No </w:t>
      </w:r>
      <w:r w:rsidR="0075492A">
        <w:t>personal</w:t>
      </w:r>
      <w:r w:rsidR="006A44F8">
        <w:t xml:space="preserve"> colloquy between the trial court and the defendant is necessary for the defendant to </w:t>
      </w:r>
      <w:r w:rsidR="006B78DE">
        <w:t xml:space="preserve">stipulate to a lab report and waive any </w:t>
      </w:r>
      <w:r w:rsidR="00AE664A">
        <w:t>Confrontation Clause</w:t>
      </w:r>
      <w:r w:rsidR="006B78DE">
        <w:t xml:space="preserve"> objections;</w:t>
      </w:r>
      <w:r w:rsidR="00CC2D3B" w:rsidRPr="00CB502D">
        <w:rPr>
          <w:rStyle w:val="FootnoteReference"/>
        </w:rPr>
        <w:footnoteReference w:id="174"/>
      </w:r>
      <w:r w:rsidR="006B78DE">
        <w:t xml:space="preserve"> a written stipulation signed by the defendant and defense counsel will suffice.</w:t>
      </w:r>
      <w:r w:rsidR="00E44AA4">
        <w:t xml:space="preserve"> However, the Fourth Circuit Court of Appeals found reversible error where </w:t>
      </w:r>
      <w:r w:rsidR="007B0633">
        <w:t xml:space="preserve">defense counsel signed a stipulation to </w:t>
      </w:r>
      <w:r w:rsidR="00F12279">
        <w:t>the identity and weight of controlled substance in a drug prosecution over the defendant’s express objection</w:t>
      </w:r>
      <w:r w:rsidR="00B30417">
        <w:t>.</w:t>
      </w:r>
      <w:r w:rsidR="00EF43EF" w:rsidRPr="00CB502D">
        <w:rPr>
          <w:rStyle w:val="FootnoteReference"/>
        </w:rPr>
        <w:footnoteReference w:id="175"/>
      </w:r>
      <w:r w:rsidR="0075492A">
        <w:t xml:space="preserve"> </w:t>
      </w:r>
    </w:p>
    <w:p w14:paraId="76D32436" w14:textId="77777777" w:rsidR="00865599" w:rsidRDefault="00865599" w:rsidP="00DA14D3">
      <w:pPr>
        <w:ind w:left="1440"/>
      </w:pPr>
    </w:p>
    <w:p w14:paraId="4E5BEE7E" w14:textId="678031AC" w:rsidR="00865599" w:rsidRDefault="00494149" w:rsidP="00633156">
      <w:pPr>
        <w:pStyle w:val="Heading2"/>
        <w:numPr>
          <w:ilvl w:val="0"/>
          <w:numId w:val="95"/>
        </w:numPr>
        <w:ind w:left="720" w:firstLine="0"/>
      </w:pPr>
      <w:bookmarkStart w:id="307" w:name="_Toc223718273"/>
      <w:bookmarkStart w:id="308" w:name="_Toc223718529"/>
      <w:bookmarkStart w:id="309" w:name="_Toc223731918"/>
      <w:r>
        <w:t>Disruptive Behavior as Waiver</w:t>
      </w:r>
      <w:r w:rsidR="00CC2D3B">
        <w:t>.</w:t>
      </w:r>
      <w:bookmarkEnd w:id="307"/>
      <w:bookmarkEnd w:id="308"/>
      <w:bookmarkEnd w:id="309"/>
    </w:p>
    <w:p w14:paraId="2CBE79C1" w14:textId="35D0916F" w:rsidR="0053270D" w:rsidRPr="0053270D" w:rsidRDefault="00873533" w:rsidP="001215DE">
      <w:pPr>
        <w:ind w:left="1440"/>
      </w:pPr>
      <w:r>
        <w:t xml:space="preserve">The U.S. Supreme Court has long held that the right to confrontation is not absolute and may be lost </w:t>
      </w:r>
      <w:r w:rsidR="00382C39">
        <w:t>due to disruptive, unruly, and disrespectful behavior by a defendant.</w:t>
      </w:r>
      <w:r w:rsidR="00451BB1" w:rsidRPr="00CB502D">
        <w:rPr>
          <w:rStyle w:val="FootnoteReference"/>
        </w:rPr>
        <w:footnoteReference w:id="176"/>
      </w:r>
      <w:r w:rsidR="009E63AD">
        <w:t xml:space="preserve"> In </w:t>
      </w:r>
      <w:r w:rsidR="009E63AD" w:rsidRPr="001215DE">
        <w:rPr>
          <w:i/>
          <w:iCs/>
        </w:rPr>
        <w:t>Illinois v. Allen</w:t>
      </w:r>
      <w:r w:rsidR="009E63AD">
        <w:t xml:space="preserve">, the Court recognized that the loss of </w:t>
      </w:r>
      <w:r w:rsidR="00380B1C">
        <w:t>confrontation rights should last only so long as the defendant’s disruptive behavior continues</w:t>
      </w:r>
      <w:r w:rsidR="00624E6B">
        <w:t xml:space="preserve"> and that confrontation rights may be regained once the defendant</w:t>
      </w:r>
      <w:r w:rsidR="00C65C83">
        <w:t xml:space="preserve"> is willing to conduct himself or herself respectfully.</w:t>
      </w:r>
      <w:r w:rsidR="00451BB1" w:rsidRPr="00CB502D">
        <w:rPr>
          <w:rStyle w:val="FootnoteReference"/>
        </w:rPr>
        <w:footnoteReference w:id="177"/>
      </w:r>
      <w:r w:rsidR="00C65C83">
        <w:t xml:space="preserve"> </w:t>
      </w:r>
    </w:p>
    <w:p w14:paraId="372341E9" w14:textId="77777777" w:rsidR="00494149" w:rsidRDefault="00494149" w:rsidP="00494149"/>
    <w:p w14:paraId="14442BD5" w14:textId="5BB5A6ED" w:rsidR="00494149" w:rsidRDefault="00A65DBF" w:rsidP="00633156">
      <w:pPr>
        <w:pStyle w:val="Heading2"/>
        <w:numPr>
          <w:ilvl w:val="0"/>
          <w:numId w:val="95"/>
        </w:numPr>
        <w:ind w:left="1440" w:hanging="720"/>
      </w:pPr>
      <w:bookmarkStart w:id="310" w:name="_Toc223718274"/>
      <w:bookmarkStart w:id="311" w:name="_Toc223718530"/>
      <w:bookmarkStart w:id="312" w:name="_Toc223731919"/>
      <w:r>
        <w:t>Failure to Raise Confrontation Objection</w:t>
      </w:r>
      <w:r w:rsidR="00CC2D3B">
        <w:t>.</w:t>
      </w:r>
      <w:bookmarkEnd w:id="310"/>
      <w:bookmarkEnd w:id="311"/>
      <w:bookmarkEnd w:id="312"/>
    </w:p>
    <w:p w14:paraId="6DF80F71" w14:textId="653AEC3B" w:rsidR="00376C06" w:rsidRDefault="00D76E3D" w:rsidP="00364CCD">
      <w:pPr>
        <w:ind w:left="1440"/>
        <w:rPr>
          <w:b/>
        </w:rPr>
      </w:pPr>
      <w:r w:rsidRPr="001215DE">
        <w:rPr>
          <w:i/>
          <w:iCs/>
        </w:rPr>
        <w:t>Mele</w:t>
      </w:r>
      <w:r w:rsidR="003D3377">
        <w:rPr>
          <w:i/>
          <w:iCs/>
        </w:rPr>
        <w:t>n</w:t>
      </w:r>
      <w:r w:rsidRPr="001215DE">
        <w:rPr>
          <w:i/>
          <w:iCs/>
        </w:rPr>
        <w:t>dez-Diaz</w:t>
      </w:r>
      <w:r>
        <w:t xml:space="preserve"> </w:t>
      </w:r>
      <w:r w:rsidRPr="001215DE">
        <w:t xml:space="preserve">recognized that the right of confrontation </w:t>
      </w:r>
      <w:r w:rsidR="00867D01" w:rsidRPr="001215DE">
        <w:t>may be waived by failure of the defendant to object on confrontation grounds.</w:t>
      </w:r>
      <w:r w:rsidR="003765E2" w:rsidRPr="003765E2">
        <w:rPr>
          <w:rStyle w:val="FootnoteReference"/>
          <w:bCs/>
        </w:rPr>
        <w:footnoteReference w:id="178"/>
      </w:r>
      <w:r w:rsidR="00867D01" w:rsidRPr="003765E2">
        <w:t xml:space="preserve"> </w:t>
      </w:r>
      <w:r w:rsidR="00FE6DCE">
        <w:t>North Carolina cases have cited this part of Melendez-Diaz with approva</w:t>
      </w:r>
      <w:r w:rsidR="00B00167">
        <w:t>l.</w:t>
      </w:r>
      <w:r w:rsidR="003765E2" w:rsidRPr="003765E2">
        <w:rPr>
          <w:rStyle w:val="FootnoteReference"/>
          <w:bCs/>
        </w:rPr>
        <w:footnoteReference w:id="179"/>
      </w:r>
      <w:r w:rsidR="00B00167">
        <w:t xml:space="preserve"> T</w:t>
      </w:r>
      <w:r w:rsidR="00C31BE2">
        <w:t xml:space="preserve">his approach to waiver by failure to raise is consistent with the state’s longstanding rule that </w:t>
      </w:r>
      <w:r w:rsidR="00C31BE2">
        <w:lastRenderedPageBreak/>
        <w:t>constitutional issues not raise</w:t>
      </w:r>
      <w:r w:rsidR="00247254">
        <w:t>d at trial will generally be waived for appellate review.</w:t>
      </w:r>
      <w:r w:rsidR="003765E2" w:rsidRPr="003765E2">
        <w:rPr>
          <w:rStyle w:val="FootnoteReference"/>
          <w:bCs/>
        </w:rPr>
        <w:t xml:space="preserve"> </w:t>
      </w:r>
      <w:r w:rsidR="003765E2" w:rsidRPr="003765E2">
        <w:rPr>
          <w:rStyle w:val="FootnoteReference"/>
          <w:bCs/>
        </w:rPr>
        <w:footnoteReference w:id="180"/>
      </w:r>
      <w:r w:rsidR="003765E2">
        <w:t xml:space="preserve"> </w:t>
      </w:r>
    </w:p>
    <w:p w14:paraId="38979937" w14:textId="77777777" w:rsidR="00E60972" w:rsidRDefault="00E60972" w:rsidP="00E60972"/>
    <w:p w14:paraId="04EFA0DE" w14:textId="0F892F45" w:rsidR="00E60972" w:rsidRDefault="00E60972" w:rsidP="00633156">
      <w:pPr>
        <w:pStyle w:val="Heading2"/>
        <w:numPr>
          <w:ilvl w:val="0"/>
          <w:numId w:val="95"/>
        </w:numPr>
        <w:ind w:left="720" w:firstLine="0"/>
      </w:pPr>
      <w:bookmarkStart w:id="313" w:name="_Toc223718275"/>
      <w:bookmarkStart w:id="314" w:name="_Toc223718531"/>
      <w:bookmarkStart w:id="315" w:name="_Toc223731920"/>
      <w:r>
        <w:t>Rule of Completeness</w:t>
      </w:r>
      <w:r w:rsidR="00CC2D3B">
        <w:t>.</w:t>
      </w:r>
      <w:bookmarkEnd w:id="313"/>
      <w:bookmarkEnd w:id="314"/>
      <w:bookmarkEnd w:id="315"/>
    </w:p>
    <w:p w14:paraId="4F78BD5A" w14:textId="61BF9117" w:rsidR="00704BBB" w:rsidRPr="00704BBB" w:rsidRDefault="00704BBB" w:rsidP="008562D4">
      <w:pPr>
        <w:ind w:left="1440"/>
      </w:pPr>
      <w:r>
        <w:t xml:space="preserve">As discussed in Section </w:t>
      </w:r>
      <w:r w:rsidR="00D92D4D">
        <w:t>V</w:t>
      </w:r>
      <w:r w:rsidR="0065487A">
        <w:t>I</w:t>
      </w:r>
      <w:r w:rsidR="00D92D4D">
        <w:t>.D</w:t>
      </w:r>
      <w:r w:rsidR="00DC1FC4">
        <w:t xml:space="preserve"> above</w:t>
      </w:r>
      <w:r w:rsidR="00D92D4D">
        <w:t xml:space="preserve">, </w:t>
      </w:r>
      <w:r w:rsidR="008644FA">
        <w:t xml:space="preserve">two justices of the U.S. Supreme Court have indicated that </w:t>
      </w:r>
      <w:r w:rsidR="00B7242E">
        <w:t>the rule of completeness can operate as an implied waiver of the defendant’s confrontation rights.</w:t>
      </w:r>
      <w:r w:rsidR="00297F0C">
        <w:t xml:space="preserve"> If the defendant offers</w:t>
      </w:r>
      <w:r w:rsidR="00DC1FC4">
        <w:t xml:space="preserve"> part of a testimonial hearsay </w:t>
      </w:r>
      <w:r w:rsidR="00DB110C">
        <w:t xml:space="preserve">writing or recorded statement </w:t>
      </w:r>
      <w:r w:rsidR="00DC1FC4">
        <w:t>by an unavailable declarant</w:t>
      </w:r>
      <w:r w:rsidR="008929E1">
        <w:t xml:space="preserve"> against the prosecution witness, these justices believe that </w:t>
      </w:r>
      <w:r w:rsidR="00673028">
        <w:t xml:space="preserve">the defendant loses the opportunity to object on confrontation grounds to other parts of the same statement </w:t>
      </w:r>
      <w:r w:rsidR="00345075">
        <w:t xml:space="preserve">or other statements on the subject by the same declarant when offered by the prosecution in rebuttal. </w:t>
      </w:r>
      <w:r w:rsidR="000164E1">
        <w:t xml:space="preserve">It is unclear whether this view would command a majority </w:t>
      </w:r>
      <w:r w:rsidR="000330EF">
        <w:t>from the other justices</w:t>
      </w:r>
      <w:r w:rsidR="00BD0EDE">
        <w:t>,</w:t>
      </w:r>
      <w:r w:rsidR="000330EF">
        <w:t xml:space="preserve"> and the issue remains an open question.</w:t>
      </w:r>
    </w:p>
    <w:p w14:paraId="40B6844D" w14:textId="77777777" w:rsidR="00865599" w:rsidRPr="00CB502D" w:rsidRDefault="00865599" w:rsidP="001970B1"/>
    <w:p w14:paraId="71F607DC" w14:textId="77777777" w:rsidR="00A41AD9" w:rsidRPr="00CB502D" w:rsidRDefault="00721378" w:rsidP="00A02AFF">
      <w:pPr>
        <w:pStyle w:val="Heading1"/>
      </w:pPr>
      <w:bookmarkStart w:id="316" w:name="_Toc398033836"/>
      <w:bookmarkStart w:id="317" w:name="_Toc223718276"/>
      <w:bookmarkStart w:id="318" w:name="_Toc223718532"/>
      <w:bookmarkStart w:id="319" w:name="_Toc223731921"/>
      <w:bookmarkStart w:id="320" w:name="unavailability"/>
      <w:r w:rsidRPr="003D3377">
        <w:t>Unavailability</w:t>
      </w:r>
      <w:r w:rsidR="00514BF9" w:rsidRPr="00CB502D">
        <w:t>.</w:t>
      </w:r>
      <w:bookmarkEnd w:id="316"/>
      <w:bookmarkEnd w:id="317"/>
      <w:bookmarkEnd w:id="318"/>
      <w:bookmarkEnd w:id="319"/>
      <w:r w:rsidR="00514BF9" w:rsidRPr="00CB502D">
        <w:t xml:space="preserve"> </w:t>
      </w:r>
      <w:bookmarkEnd w:id="320"/>
    </w:p>
    <w:p w14:paraId="06987D6F" w14:textId="77777777" w:rsidR="00130DCA" w:rsidRPr="00CB502D" w:rsidRDefault="00F87C26" w:rsidP="001970B1">
      <w:pPr>
        <w:ind w:left="720"/>
      </w:pPr>
      <w:r w:rsidRPr="00CB502D">
        <w:t xml:space="preserve">Under </w:t>
      </w:r>
      <w:r w:rsidRPr="00CB502D">
        <w:rPr>
          <w:i/>
        </w:rPr>
        <w:t>Crawford</w:t>
      </w:r>
      <w:r w:rsidRPr="00CB502D">
        <w:t>, out of court statements by witnesses who do not testify at trial are not admissible unless the prosecution shows that the witness is unavailable and that the defendant has had a prior opportunity to cross-examine the witness. This section explores what it means for a witness to be unavailable</w:t>
      </w:r>
      <w:r w:rsidR="00341546" w:rsidRPr="00CB502D">
        <w:t xml:space="preserve">. </w:t>
      </w:r>
    </w:p>
    <w:p w14:paraId="2310BE34" w14:textId="77777777" w:rsidR="00097E33" w:rsidRPr="00CB502D" w:rsidRDefault="00097E33" w:rsidP="001970B1">
      <w:pPr>
        <w:ind w:left="720"/>
      </w:pPr>
    </w:p>
    <w:p w14:paraId="545D912E" w14:textId="75497D1F" w:rsidR="00A41AD9" w:rsidRPr="00CB502D" w:rsidRDefault="002A5AC3" w:rsidP="00020B2A">
      <w:pPr>
        <w:pStyle w:val="00Ahead1-line00Heads"/>
        <w:numPr>
          <w:ilvl w:val="0"/>
          <w:numId w:val="17"/>
        </w:numPr>
        <w:spacing w:before="0" w:line="240" w:lineRule="auto"/>
        <w:ind w:hanging="720"/>
        <w:outlineLvl w:val="1"/>
        <w:rPr>
          <w:rFonts w:ascii="Arial" w:hAnsi="Arial" w:cs="Arial"/>
          <w:sz w:val="22"/>
          <w:szCs w:val="22"/>
        </w:rPr>
      </w:pPr>
      <w:bookmarkStart w:id="321" w:name="goodfaith"/>
      <w:bookmarkStart w:id="322" w:name="_Toc398033837"/>
      <w:bookmarkStart w:id="323" w:name="_Toc223718277"/>
      <w:bookmarkStart w:id="324" w:name="_Toc223718533"/>
      <w:bookmarkStart w:id="325" w:name="_Toc223731922"/>
      <w:r w:rsidRPr="00CB502D">
        <w:rPr>
          <w:rStyle w:val="Heading2Char"/>
        </w:rPr>
        <w:t>Standard</w:t>
      </w:r>
      <w:bookmarkEnd w:id="321"/>
      <w:r w:rsidR="00130DCA" w:rsidRPr="00CB502D">
        <w:rPr>
          <w:rFonts w:ascii="Arial" w:hAnsi="Arial" w:cs="Arial"/>
          <w:b/>
          <w:sz w:val="22"/>
          <w:szCs w:val="22"/>
        </w:rPr>
        <w:t>.</w:t>
      </w:r>
      <w:bookmarkEnd w:id="322"/>
      <w:bookmarkEnd w:id="323"/>
      <w:bookmarkEnd w:id="324"/>
      <w:bookmarkEnd w:id="325"/>
      <w:r w:rsidR="00130DCA" w:rsidRPr="00CB502D">
        <w:rPr>
          <w:rFonts w:ascii="Arial" w:hAnsi="Arial" w:cs="Arial"/>
          <w:b/>
          <w:sz w:val="22"/>
          <w:szCs w:val="22"/>
        </w:rPr>
        <w:t xml:space="preserve"> </w:t>
      </w:r>
    </w:p>
    <w:p w14:paraId="249765B5" w14:textId="1CF13248" w:rsidR="00130DCA" w:rsidRPr="00CB502D" w:rsidRDefault="00130DCA" w:rsidP="001970B1">
      <w:pPr>
        <w:ind w:left="1440"/>
      </w:pPr>
      <w:r w:rsidRPr="00CB502D">
        <w:t xml:space="preserve">A witness is not unavailable unless the </w:t>
      </w:r>
      <w:r w:rsidR="00007F0F" w:rsidRPr="00CB502D">
        <w:t xml:space="preserve">State </w:t>
      </w:r>
      <w:r w:rsidRPr="00CB502D">
        <w:t>has made a good-faith effort to obtain the witness's presence at trial.</w:t>
      </w:r>
      <w:r w:rsidR="000930C4" w:rsidRPr="00CB502D">
        <w:rPr>
          <w:rStyle w:val="FootnoteReference"/>
          <w:rFonts w:cs="Arial"/>
          <w:szCs w:val="22"/>
        </w:rPr>
        <w:footnoteReference w:id="181"/>
      </w:r>
      <w:r w:rsidR="005968BD" w:rsidRPr="00CB502D">
        <w:t xml:space="preserve"> The relevant analysis may require the trial court to consider whether a </w:t>
      </w:r>
      <w:r w:rsidR="00FA0582" w:rsidRPr="00CB502D">
        <w:t xml:space="preserve">reasonable </w:t>
      </w:r>
      <w:r w:rsidR="005968BD" w:rsidRPr="00CB502D">
        <w:t xml:space="preserve">continuance </w:t>
      </w:r>
      <w:r w:rsidR="00FA0582" w:rsidRPr="00CB502D">
        <w:t>would</w:t>
      </w:r>
      <w:r w:rsidR="005968BD" w:rsidRPr="00CB502D">
        <w:t xml:space="preserve"> allow for the witness’s availability.</w:t>
      </w:r>
      <w:r w:rsidR="005968BD" w:rsidRPr="00CB502D">
        <w:rPr>
          <w:rStyle w:val="FootnoteReference"/>
        </w:rPr>
        <w:footnoteReference w:id="182"/>
      </w:r>
      <w:r w:rsidR="002A5AC3" w:rsidRPr="00CB502D">
        <w:t xml:space="preserve"> The Court of Appeals has clarified:</w:t>
      </w:r>
    </w:p>
    <w:p w14:paraId="5F259BFB" w14:textId="77777777" w:rsidR="002A5AC3" w:rsidRPr="00CB502D" w:rsidRDefault="002A5AC3" w:rsidP="001970B1">
      <w:pPr>
        <w:ind w:left="1440"/>
      </w:pPr>
    </w:p>
    <w:p w14:paraId="40DDD41C" w14:textId="77777777" w:rsidR="002A5AC3" w:rsidRPr="00CB502D" w:rsidRDefault="002A5AC3" w:rsidP="000F0055">
      <w:pPr>
        <w:ind w:left="2160" w:right="720"/>
      </w:pPr>
      <w:r w:rsidRPr="00CB502D">
        <w:t xml:space="preserve">[A] finding of unavailability is generally proper when there is </w:t>
      </w:r>
      <w:r w:rsidRPr="00CB502D">
        <w:rPr>
          <w:i/>
        </w:rPr>
        <w:t>no possibility</w:t>
      </w:r>
      <w:r w:rsidRPr="00CB502D">
        <w:t xml:space="preserve"> the witness can be produced at trial, such as in cases when the witness has died or is terminally ill. A finding of unavailability </w:t>
      </w:r>
      <w:r w:rsidRPr="00CB502D">
        <w:rPr>
          <w:i/>
        </w:rPr>
        <w:t>may</w:t>
      </w:r>
      <w:r w:rsidRPr="00CB502D">
        <w:t xml:space="preserve"> be proper when the State demonstrates that the witness is </w:t>
      </w:r>
      <w:r w:rsidRPr="00CB502D">
        <w:rPr>
          <w:i/>
        </w:rPr>
        <w:t>highly unlikely</w:t>
      </w:r>
      <w:r w:rsidRPr="00CB502D">
        <w:t xml:space="preserve"> to be available for trial at any known date, such as when the witness has fled the country in an intentional effort to avoid testifying, or the State demonstrates that, </w:t>
      </w:r>
      <w:r w:rsidRPr="00CB502D">
        <w:lastRenderedPageBreak/>
        <w:t xml:space="preserve">after making sufficient reasonable efforts, it has been unable to locate the witness. The common thread justifying entry of prior recorded testimony is that the witness is </w:t>
      </w:r>
      <w:r w:rsidRPr="00CB502D">
        <w:rPr>
          <w:i/>
        </w:rPr>
        <w:t>either demonstrably unavailable for trial, or there is no evidence to support a finding that, with a good-faith effort by the State, the witness may be made available at some reasonable time in the future</w:t>
      </w:r>
      <w:r w:rsidRPr="00CB502D">
        <w:t>.</w:t>
      </w:r>
      <w:r w:rsidRPr="00CB502D">
        <w:rPr>
          <w:rStyle w:val="FootnoteReference"/>
        </w:rPr>
        <w:footnoteReference w:id="183"/>
      </w:r>
    </w:p>
    <w:p w14:paraId="191F0D8A" w14:textId="77777777" w:rsidR="00F87C26" w:rsidRPr="00CB502D" w:rsidRDefault="00F87C26" w:rsidP="001970B1">
      <w:pPr>
        <w:ind w:left="1440"/>
      </w:pPr>
    </w:p>
    <w:p w14:paraId="57573907" w14:textId="397A7543" w:rsidR="002A5AC3" w:rsidRPr="00CB502D" w:rsidRDefault="002A5AC3" w:rsidP="00387D9F">
      <w:pPr>
        <w:ind w:left="1440"/>
      </w:pPr>
      <w:r w:rsidRPr="00CB502D">
        <w:t xml:space="preserve">“By contrast,” the court explained, “when a witness is unavailable for a </w:t>
      </w:r>
      <w:r w:rsidRPr="00CB502D">
        <w:rPr>
          <w:i/>
        </w:rPr>
        <w:t xml:space="preserve">limited </w:t>
      </w:r>
      <w:r w:rsidRPr="00CB502D">
        <w:t>period of time, courts have been reluctant to find that witness unavailable for Confrontation Clause purposes.”</w:t>
      </w:r>
      <w:r w:rsidRPr="00CB502D">
        <w:rPr>
          <w:rStyle w:val="FootnoteReference"/>
        </w:rPr>
        <w:footnoteReference w:id="184"/>
      </w:r>
      <w:r w:rsidRPr="00CB502D">
        <w:t xml:space="preserve"> </w:t>
      </w:r>
      <w:r w:rsidR="00387D9F" w:rsidRPr="00CB502D">
        <w:t xml:space="preserve">And with respect to unavailability due to military deployment, the court held: “in order for the State to show a witness is unavailable for trial due to deployment, the deployment must, </w:t>
      </w:r>
      <w:r w:rsidR="00387D9F" w:rsidRPr="00CB502D">
        <w:rPr>
          <w:i/>
        </w:rPr>
        <w:t>at a minimum</w:t>
      </w:r>
      <w:r w:rsidR="00387D9F" w:rsidRPr="00CB502D">
        <w:t>, be in probability long enough so that, with proper regard to the importance of the testimony, the trial cannot be postponed.”</w:t>
      </w:r>
      <w:r w:rsidR="00387D9F" w:rsidRPr="00CB502D">
        <w:rPr>
          <w:rStyle w:val="FootnoteReference"/>
        </w:rPr>
        <w:footnoteReference w:id="185"/>
      </w:r>
    </w:p>
    <w:p w14:paraId="4833AFD6" w14:textId="77777777" w:rsidR="002A5AC3" w:rsidRPr="00CB502D" w:rsidRDefault="002A5AC3" w:rsidP="001970B1">
      <w:pPr>
        <w:ind w:left="1440"/>
      </w:pPr>
    </w:p>
    <w:p w14:paraId="01ED8CF9" w14:textId="77777777" w:rsidR="00A41AD9" w:rsidRPr="00CB502D" w:rsidRDefault="00F87C26" w:rsidP="00020B2A">
      <w:pPr>
        <w:pStyle w:val="ListParagraph"/>
        <w:numPr>
          <w:ilvl w:val="0"/>
          <w:numId w:val="17"/>
        </w:numPr>
        <w:tabs>
          <w:tab w:val="left" w:pos="1440"/>
        </w:tabs>
        <w:autoSpaceDE w:val="0"/>
        <w:autoSpaceDN w:val="0"/>
        <w:adjustRightInd w:val="0"/>
        <w:spacing w:after="0" w:line="240" w:lineRule="auto"/>
        <w:ind w:hanging="720"/>
        <w:outlineLvl w:val="1"/>
        <w:rPr>
          <w:rFonts w:ascii="Arial" w:hAnsi="Arial" w:cs="Arial"/>
        </w:rPr>
      </w:pPr>
      <w:bookmarkStart w:id="326" w:name="evidencerequired"/>
      <w:bookmarkStart w:id="327" w:name="_Toc398033838"/>
      <w:bookmarkStart w:id="328" w:name="_Toc223718278"/>
      <w:bookmarkStart w:id="329" w:name="_Toc223718534"/>
      <w:bookmarkStart w:id="330" w:name="_Toc223731923"/>
      <w:r w:rsidRPr="00CB502D">
        <w:rPr>
          <w:rStyle w:val="Heading2Char"/>
        </w:rPr>
        <w:t>Evidence R</w:t>
      </w:r>
      <w:r w:rsidR="00130DCA" w:rsidRPr="00CB502D">
        <w:rPr>
          <w:rStyle w:val="Heading2Char"/>
        </w:rPr>
        <w:t>equired</w:t>
      </w:r>
      <w:bookmarkEnd w:id="326"/>
      <w:r w:rsidR="00130DCA" w:rsidRPr="00CB502D">
        <w:rPr>
          <w:rFonts w:ascii="Arial" w:hAnsi="Arial" w:cs="Arial"/>
          <w:b/>
        </w:rPr>
        <w:t>.</w:t>
      </w:r>
      <w:bookmarkEnd w:id="327"/>
      <w:bookmarkEnd w:id="328"/>
      <w:bookmarkEnd w:id="329"/>
      <w:bookmarkEnd w:id="330"/>
      <w:r w:rsidR="00130DCA" w:rsidRPr="00CB502D">
        <w:rPr>
          <w:rFonts w:ascii="Arial" w:hAnsi="Arial" w:cs="Arial"/>
          <w:b/>
        </w:rPr>
        <w:t xml:space="preserve"> </w:t>
      </w:r>
    </w:p>
    <w:p w14:paraId="1145D2F9" w14:textId="77777777" w:rsidR="00344C79" w:rsidRPr="00CB502D" w:rsidRDefault="00130DCA" w:rsidP="000452C7">
      <w:pPr>
        <w:ind w:left="1440"/>
        <w:rPr>
          <w:rStyle w:val="00BTfootnotecallout"/>
          <w:rFonts w:ascii="Arial" w:hAnsi="Arial" w:cs="Arial"/>
          <w:vertAlign w:val="baseline"/>
        </w:rPr>
      </w:pPr>
      <w:r w:rsidRPr="00CB502D">
        <w:t xml:space="preserve">To make the showing, the </w:t>
      </w:r>
      <w:r w:rsidR="00007F0F" w:rsidRPr="00CB502D">
        <w:t xml:space="preserve">State </w:t>
      </w:r>
      <w:r w:rsidRPr="00CB502D">
        <w:t>must put on evidence to establish the steps it has taken to procure the witness for trial.</w:t>
      </w:r>
      <w:r w:rsidRPr="00CB502D">
        <w:rPr>
          <w:rStyle w:val="00BTfootnotecallout"/>
          <w:rFonts w:ascii="Arial" w:hAnsi="Arial" w:cs="Arial"/>
        </w:rPr>
        <w:footnoteReference w:id="186"/>
      </w:r>
      <w:r w:rsidR="00344C79" w:rsidRPr="00CB502D">
        <w:rPr>
          <w:rStyle w:val="00BTfootnotecallout"/>
          <w:rFonts w:ascii="Arial" w:hAnsi="Arial" w:cs="Arial"/>
        </w:rPr>
        <w:t xml:space="preserve"> </w:t>
      </w:r>
    </w:p>
    <w:p w14:paraId="3EBB5BDF" w14:textId="77777777" w:rsidR="0094325C" w:rsidRPr="00CB502D" w:rsidRDefault="0094325C" w:rsidP="000452C7">
      <w:pPr>
        <w:ind w:left="1440"/>
        <w:rPr>
          <w:rStyle w:val="00BTfootnotecallout"/>
          <w:rFonts w:ascii="Arial" w:hAnsi="Arial" w:cs="Arial"/>
          <w:color w:val="auto"/>
          <w:vertAlign w:val="baseline"/>
        </w:rPr>
      </w:pPr>
    </w:p>
    <w:p w14:paraId="34C05A72" w14:textId="30AE6942" w:rsidR="0094325C" w:rsidRPr="00CB502D" w:rsidRDefault="0094325C" w:rsidP="008D667C">
      <w:pPr>
        <w:pStyle w:val="Heading2"/>
        <w:numPr>
          <w:ilvl w:val="0"/>
          <w:numId w:val="17"/>
        </w:numPr>
        <w:ind w:hanging="720"/>
        <w:rPr>
          <w:rStyle w:val="00BTfootnotecallout"/>
          <w:rFonts w:ascii="Arial" w:hAnsi="Arial" w:cs="Arial"/>
          <w:color w:val="auto"/>
          <w:vertAlign w:val="baseline"/>
        </w:rPr>
      </w:pPr>
      <w:bookmarkStart w:id="331" w:name="_Toc223718279"/>
      <w:bookmarkStart w:id="332" w:name="_Toc223718535"/>
      <w:bookmarkStart w:id="333" w:name="_Toc223731924"/>
      <w:r w:rsidRPr="00CB502D">
        <w:rPr>
          <w:rStyle w:val="00BTfootnotecallout"/>
          <w:rFonts w:ascii="Arial" w:hAnsi="Arial" w:cs="Arial"/>
          <w:color w:val="auto"/>
          <w:vertAlign w:val="baseline"/>
        </w:rPr>
        <w:t>Finding</w:t>
      </w:r>
      <w:r w:rsidR="007161F5" w:rsidRPr="00CB502D">
        <w:rPr>
          <w:rStyle w:val="00BTfootnotecallout"/>
          <w:rFonts w:ascii="Arial" w:hAnsi="Arial" w:cs="Arial"/>
          <w:color w:val="auto"/>
          <w:vertAlign w:val="baseline"/>
        </w:rPr>
        <w:t>s</w:t>
      </w:r>
      <w:r w:rsidRPr="00CB502D">
        <w:rPr>
          <w:rStyle w:val="00BTfootnotecallout"/>
          <w:rFonts w:ascii="Arial" w:hAnsi="Arial" w:cs="Arial"/>
          <w:color w:val="auto"/>
          <w:vertAlign w:val="baseline"/>
        </w:rPr>
        <w:t xml:space="preserve"> of Fact &amp; Conclusions of Law.</w:t>
      </w:r>
      <w:bookmarkEnd w:id="331"/>
      <w:bookmarkEnd w:id="332"/>
      <w:bookmarkEnd w:id="333"/>
    </w:p>
    <w:p w14:paraId="525A987C" w14:textId="77777777" w:rsidR="0094325C" w:rsidRPr="00CB502D" w:rsidRDefault="00FA0582">
      <w:pPr>
        <w:ind w:left="1440"/>
      </w:pPr>
      <w:r w:rsidRPr="00CB502D">
        <w:t>F</w:t>
      </w:r>
      <w:r w:rsidR="0094325C" w:rsidRPr="00CB502D">
        <w:t>indings of fact and conclusions of law must be made on the issue on unavailability.</w:t>
      </w:r>
      <w:r w:rsidR="0094325C" w:rsidRPr="00CB502D">
        <w:rPr>
          <w:rStyle w:val="FootnoteReference"/>
        </w:rPr>
        <w:footnoteReference w:id="187"/>
      </w:r>
    </w:p>
    <w:p w14:paraId="7898BB6A" w14:textId="77777777" w:rsidR="00873F26" w:rsidRPr="00CB502D" w:rsidRDefault="00873F26" w:rsidP="000452C7">
      <w:pPr>
        <w:rPr>
          <w:rStyle w:val="00BTfootnotecallout"/>
          <w:rFonts w:ascii="Arial" w:hAnsi="Arial" w:cs="Arial"/>
          <w:color w:val="auto"/>
          <w:vertAlign w:val="baseline"/>
        </w:rPr>
      </w:pPr>
    </w:p>
    <w:p w14:paraId="165AC0B4" w14:textId="77777777" w:rsidR="00A41AD9" w:rsidRPr="00CB502D" w:rsidRDefault="00721378" w:rsidP="00033BA1">
      <w:pPr>
        <w:pStyle w:val="Heading1"/>
      </w:pPr>
      <w:bookmarkStart w:id="334" w:name="prioropportunity"/>
      <w:bookmarkStart w:id="335" w:name="_Toc398033839"/>
      <w:bookmarkStart w:id="336" w:name="_Toc223718280"/>
      <w:bookmarkStart w:id="337" w:name="_Toc223718536"/>
      <w:bookmarkStart w:id="338" w:name="_Toc223731925"/>
      <w:r w:rsidRPr="003D3377">
        <w:t>Prior Opportunity to Cross-Examine</w:t>
      </w:r>
      <w:bookmarkEnd w:id="334"/>
      <w:r w:rsidR="00514BF9" w:rsidRPr="00CB502D">
        <w:t>.</w:t>
      </w:r>
      <w:bookmarkEnd w:id="335"/>
      <w:bookmarkEnd w:id="336"/>
      <w:bookmarkEnd w:id="337"/>
      <w:bookmarkEnd w:id="338"/>
      <w:r w:rsidR="00514BF9" w:rsidRPr="00CB502D">
        <w:t xml:space="preserve"> </w:t>
      </w:r>
      <w:r w:rsidR="00341546" w:rsidRPr="00CB502D">
        <w:t xml:space="preserve"> </w:t>
      </w:r>
    </w:p>
    <w:p w14:paraId="329F8226" w14:textId="02B39722" w:rsidR="00344C79" w:rsidRPr="00CB502D" w:rsidRDefault="008546B1" w:rsidP="008546B1">
      <w:pPr>
        <w:ind w:left="720"/>
      </w:pPr>
      <w:r w:rsidRPr="00CB502D">
        <w:t xml:space="preserve">Under </w:t>
      </w:r>
      <w:r w:rsidRPr="00CB502D">
        <w:rPr>
          <w:i/>
        </w:rPr>
        <w:t>Crawford</w:t>
      </w:r>
      <w:r w:rsidRPr="00CB502D">
        <w:t xml:space="preserve">, out of court </w:t>
      </w:r>
      <w:r w:rsidR="00762859">
        <w:t xml:space="preserve">testimonial </w:t>
      </w:r>
      <w:r w:rsidRPr="00CB502D">
        <w:t>statements by witnesses who do not testify at trial are not admissible unless the prosecution shows that the witness is unavailable and that the defendant has had a prior opportunity to cross-examine the witness.</w:t>
      </w:r>
      <w:r w:rsidR="00762859">
        <w:t xml:space="preserve"> </w:t>
      </w:r>
      <w:r w:rsidR="00762859">
        <w:rPr>
          <w:i/>
          <w:iCs/>
        </w:rPr>
        <w:t xml:space="preserve">Crawford </w:t>
      </w:r>
      <w:r w:rsidR="00762859">
        <w:t xml:space="preserve">did not affect </w:t>
      </w:r>
      <w:r w:rsidR="002E34E9">
        <w:t>existing</w:t>
      </w:r>
      <w:r w:rsidR="00762859">
        <w:t xml:space="preserve"> United States Supreme Court precedent holding that a</w:t>
      </w:r>
      <w:r w:rsidR="002E34E9">
        <w:t xml:space="preserve"> prior opportunity for cross-examination is inadequate to support later admission of testimonial </w:t>
      </w:r>
      <w:r w:rsidR="0081142B">
        <w:t>statements</w:t>
      </w:r>
      <w:r w:rsidR="002E34E9">
        <w:t xml:space="preserve"> absent confrontation if the</w:t>
      </w:r>
      <w:r w:rsidR="00762859">
        <w:t xml:space="preserve"> defendant </w:t>
      </w:r>
      <w:r w:rsidR="002E34E9">
        <w:t>is not</w:t>
      </w:r>
      <w:r w:rsidR="00762859">
        <w:t xml:space="preserve"> represented by counsel </w:t>
      </w:r>
      <w:r w:rsidR="002E34E9">
        <w:t>at the prior proceeding.</w:t>
      </w:r>
      <w:r w:rsidR="002E34E9" w:rsidRPr="00CB502D">
        <w:rPr>
          <w:rStyle w:val="FootnoteReference"/>
        </w:rPr>
        <w:footnoteReference w:id="188"/>
      </w:r>
      <w:r w:rsidRPr="00CB502D">
        <w:t xml:space="preserve"> </w:t>
      </w:r>
      <w:r w:rsidR="001A360D">
        <w:t xml:space="preserve">North Carolina cases decided after </w:t>
      </w:r>
      <w:r w:rsidR="001A360D">
        <w:rPr>
          <w:i/>
          <w:iCs/>
        </w:rPr>
        <w:t xml:space="preserve">Crawford </w:t>
      </w:r>
      <w:r w:rsidR="00451D6E">
        <w:t xml:space="preserve">continue to </w:t>
      </w:r>
      <w:r w:rsidR="00E078A2">
        <w:t>indicate</w:t>
      </w:r>
      <w:r w:rsidR="001A360D">
        <w:t xml:space="preserve"> that representation by counsel </w:t>
      </w:r>
      <w:r w:rsidR="00451D6E">
        <w:t>is</w:t>
      </w:r>
      <w:r w:rsidR="001A360D">
        <w:t xml:space="preserve"> an essential component of a </w:t>
      </w:r>
      <w:r w:rsidR="00143BD2">
        <w:t xml:space="preserve">constitutionally </w:t>
      </w:r>
      <w:r w:rsidR="001A360D">
        <w:t>meaningful prior opportunity for cross-examination,</w:t>
      </w:r>
      <w:r w:rsidR="001A360D" w:rsidRPr="00CB502D">
        <w:rPr>
          <w:rStyle w:val="FootnoteReference"/>
          <w:rFonts w:cs="Arial"/>
        </w:rPr>
        <w:footnoteReference w:id="189"/>
      </w:r>
      <w:r w:rsidR="001A360D">
        <w:t xml:space="preserve"> </w:t>
      </w:r>
      <w:r w:rsidR="0069187E">
        <w:t xml:space="preserve">and also indicate that a prior opportunity </w:t>
      </w:r>
      <w:r w:rsidR="0069187E">
        <w:lastRenderedPageBreak/>
        <w:t xml:space="preserve">satisfies the </w:t>
      </w:r>
      <w:r w:rsidR="00AE664A">
        <w:t>Confrontation Clause</w:t>
      </w:r>
      <w:r w:rsidR="0069187E">
        <w:t xml:space="preserve"> only when the</w:t>
      </w:r>
      <w:r w:rsidR="00451D6E">
        <w:t xml:space="preserve"> </w:t>
      </w:r>
      <w:r w:rsidR="0069187E">
        <w:t>proceeding concerns the same subject matter that is at issue at trial.</w:t>
      </w:r>
      <w:r w:rsidR="0069187E" w:rsidRPr="00CB502D">
        <w:rPr>
          <w:rStyle w:val="FootnoteReference"/>
          <w:rFonts w:cs="Arial"/>
        </w:rPr>
        <w:footnoteReference w:id="190"/>
      </w:r>
      <w:r w:rsidR="0069187E">
        <w:t xml:space="preserve"> </w:t>
      </w:r>
      <w:r w:rsidR="00D62FE1">
        <w:t>The adequacy of a prior opportunity for cross-examination largely is a fact-specific inquiry</w:t>
      </w:r>
      <w:r w:rsidR="006E06EE">
        <w:t>.</w:t>
      </w:r>
      <w:r w:rsidR="00D62FE1">
        <w:t xml:space="preserve"> </w:t>
      </w:r>
      <w:r w:rsidR="002E7481">
        <w:t>Note, however, that the facts control</w:t>
      </w:r>
      <w:r w:rsidR="00C121DA">
        <w:t>ling</w:t>
      </w:r>
      <w:r w:rsidR="002E7481">
        <w:t xml:space="preserve"> the analysis, namely whether the defendant was represented by counsel and whether the proceedings had the same subject matter, pertain to the characteristics of the opportunity to cross-examine, not whether the defendant </w:t>
      </w:r>
      <w:proofErr w:type="gramStart"/>
      <w:r w:rsidR="00C32205">
        <w:t>actually</w:t>
      </w:r>
      <w:r w:rsidR="002E7481">
        <w:t xml:space="preserve"> exercised</w:t>
      </w:r>
      <w:proofErr w:type="gramEnd"/>
      <w:r w:rsidR="002E7481">
        <w:t xml:space="preserve"> the opportunity</w:t>
      </w:r>
      <w:r w:rsidR="00BA18CD">
        <w:t xml:space="preserve"> by examining the declarant</w:t>
      </w:r>
      <w:r w:rsidR="002E7481">
        <w:t xml:space="preserve">. </w:t>
      </w:r>
      <w:r w:rsidR="006E06EE">
        <w:t>T</w:t>
      </w:r>
      <w:r w:rsidR="00D62FE1">
        <w:t>he following</w:t>
      </w:r>
      <w:r w:rsidRPr="00CB502D">
        <w:t xml:space="preserve"> </w:t>
      </w:r>
      <w:r w:rsidR="00D62FE1">
        <w:t>sub</w:t>
      </w:r>
      <w:r w:rsidRPr="00CB502D">
        <w:t>section</w:t>
      </w:r>
      <w:r w:rsidR="00D62FE1">
        <w:t>s</w:t>
      </w:r>
      <w:r w:rsidRPr="00CB502D">
        <w:t xml:space="preserve"> explore </w:t>
      </w:r>
      <w:r w:rsidR="002D412D">
        <w:t>various</w:t>
      </w:r>
      <w:r w:rsidR="00D62FE1">
        <w:t xml:space="preserve"> settings where courts have considered </w:t>
      </w:r>
      <w:r w:rsidRPr="00CB502D">
        <w:t xml:space="preserve">what it means to have a prior opportunity for cross-examination. </w:t>
      </w:r>
    </w:p>
    <w:p w14:paraId="2C50AD98" w14:textId="77777777" w:rsidR="00095B78" w:rsidRPr="00CB502D" w:rsidRDefault="00095B78" w:rsidP="008546B1">
      <w:pPr>
        <w:ind w:left="720"/>
      </w:pPr>
    </w:p>
    <w:p w14:paraId="2E206621" w14:textId="77777777" w:rsidR="00A41AD9" w:rsidRPr="00CB502D" w:rsidRDefault="000930C4" w:rsidP="00C42DC9">
      <w:pPr>
        <w:pStyle w:val="ListParagraph"/>
        <w:numPr>
          <w:ilvl w:val="0"/>
          <w:numId w:val="98"/>
        </w:numPr>
        <w:tabs>
          <w:tab w:val="left" w:pos="1440"/>
        </w:tabs>
        <w:autoSpaceDE w:val="0"/>
        <w:autoSpaceDN w:val="0"/>
        <w:adjustRightInd w:val="0"/>
        <w:spacing w:after="0" w:line="240" w:lineRule="auto"/>
        <w:outlineLvl w:val="1"/>
        <w:rPr>
          <w:rFonts w:ascii="Arial" w:hAnsi="Arial" w:cs="Arial"/>
          <w:b/>
        </w:rPr>
      </w:pPr>
      <w:bookmarkStart w:id="339" w:name="priortrialviii"/>
      <w:bookmarkStart w:id="340" w:name="_Toc398033840"/>
      <w:bookmarkStart w:id="341" w:name="_Toc223718281"/>
      <w:bookmarkStart w:id="342" w:name="_Toc223718537"/>
      <w:bookmarkStart w:id="343" w:name="_Toc223731926"/>
      <w:r w:rsidRPr="00CB502D">
        <w:rPr>
          <w:rStyle w:val="Heading2Char"/>
        </w:rPr>
        <w:t xml:space="preserve">Prior </w:t>
      </w:r>
      <w:bookmarkEnd w:id="339"/>
      <w:r w:rsidR="00550862" w:rsidRPr="00CB502D">
        <w:rPr>
          <w:rStyle w:val="Heading2Char"/>
        </w:rPr>
        <w:t>Trial</w:t>
      </w:r>
      <w:r w:rsidRPr="00CB502D">
        <w:rPr>
          <w:rFonts w:ascii="Arial" w:hAnsi="Arial" w:cs="Arial"/>
          <w:b/>
        </w:rPr>
        <w:t>.</w:t>
      </w:r>
      <w:bookmarkEnd w:id="340"/>
      <w:bookmarkEnd w:id="341"/>
      <w:bookmarkEnd w:id="342"/>
      <w:bookmarkEnd w:id="343"/>
      <w:r w:rsidRPr="00CB502D">
        <w:rPr>
          <w:rFonts w:ascii="Arial" w:hAnsi="Arial" w:cs="Arial"/>
          <w:b/>
        </w:rPr>
        <w:t xml:space="preserve"> </w:t>
      </w:r>
    </w:p>
    <w:p w14:paraId="2BFAC586" w14:textId="1CAB6A9B" w:rsidR="00344C79" w:rsidRPr="00CB502D" w:rsidRDefault="000930C4" w:rsidP="000452C7">
      <w:pPr>
        <w:ind w:left="1440"/>
        <w:rPr>
          <w:rStyle w:val="00BTfootnotecallout"/>
          <w:rFonts w:ascii="Arial" w:hAnsi="Arial" w:cs="Arial"/>
          <w:color w:val="auto"/>
          <w:vertAlign w:val="baseline"/>
        </w:rPr>
      </w:pPr>
      <w:r w:rsidRPr="00CB502D">
        <w:t xml:space="preserve">If a case is being retried and the witness testified at the first trial, the </w:t>
      </w:r>
      <w:r w:rsidR="00D82B4F" w:rsidRPr="00CB502D">
        <w:t xml:space="preserve">prior trial </w:t>
      </w:r>
      <w:r w:rsidR="00AE3725">
        <w:t xml:space="preserve">may </w:t>
      </w:r>
      <w:r w:rsidR="00D82B4F" w:rsidRPr="00CB502D">
        <w:t xml:space="preserve">provide the </w:t>
      </w:r>
      <w:r w:rsidRPr="00CB502D">
        <w:t xml:space="preserve">defendant </w:t>
      </w:r>
      <w:r w:rsidR="00D82B4F" w:rsidRPr="00CB502D">
        <w:t xml:space="preserve">with </w:t>
      </w:r>
      <w:r w:rsidRPr="00CB502D">
        <w:t>a prior opportunity to cross-examine the witness.</w:t>
      </w:r>
      <w:r w:rsidRPr="00CB502D">
        <w:rPr>
          <w:rStyle w:val="00BTfootnotecallout"/>
          <w:rFonts w:ascii="Arial" w:hAnsi="Arial" w:cs="Arial"/>
        </w:rPr>
        <w:footnoteReference w:id="191"/>
      </w:r>
    </w:p>
    <w:p w14:paraId="4E786EBC" w14:textId="77777777" w:rsidR="00344C79" w:rsidRPr="00CB502D" w:rsidRDefault="00344C79" w:rsidP="00972203">
      <w:pPr>
        <w:pStyle w:val="ListParagraph"/>
        <w:tabs>
          <w:tab w:val="left" w:pos="720"/>
        </w:tabs>
        <w:autoSpaceDE w:val="0"/>
        <w:autoSpaceDN w:val="0"/>
        <w:adjustRightInd w:val="0"/>
        <w:spacing w:after="0" w:line="240" w:lineRule="auto"/>
        <w:ind w:left="1440"/>
        <w:rPr>
          <w:rStyle w:val="00BTfootnotecallout"/>
          <w:rFonts w:ascii="Arial" w:hAnsi="Arial" w:cs="Arial"/>
          <w:color w:val="auto"/>
          <w:vertAlign w:val="baseline"/>
        </w:rPr>
      </w:pPr>
    </w:p>
    <w:p w14:paraId="7D3CFFF4" w14:textId="77777777" w:rsidR="00A41AD9" w:rsidRPr="00CB502D" w:rsidRDefault="000930C4" w:rsidP="00C42DC9">
      <w:pPr>
        <w:pStyle w:val="Heading2"/>
        <w:numPr>
          <w:ilvl w:val="0"/>
          <w:numId w:val="98"/>
        </w:numPr>
      </w:pPr>
      <w:bookmarkStart w:id="344" w:name="probablecausehearing"/>
      <w:bookmarkStart w:id="345" w:name="_Toc223718282"/>
      <w:bookmarkStart w:id="346" w:name="_Toc223718538"/>
      <w:bookmarkStart w:id="347" w:name="_Toc223731927"/>
      <w:r w:rsidRPr="00CB502D">
        <w:t xml:space="preserve">Probable </w:t>
      </w:r>
      <w:r w:rsidR="008B06F2" w:rsidRPr="00CB502D">
        <w:t xml:space="preserve">Cause </w:t>
      </w:r>
      <w:bookmarkEnd w:id="344"/>
      <w:r w:rsidR="008B06F2" w:rsidRPr="00CB502D">
        <w:t>Hearing</w:t>
      </w:r>
      <w:r w:rsidRPr="00CB502D">
        <w:t>.</w:t>
      </w:r>
      <w:bookmarkEnd w:id="345"/>
      <w:bookmarkEnd w:id="346"/>
      <w:bookmarkEnd w:id="347"/>
      <w:r w:rsidRPr="00CB502D">
        <w:t xml:space="preserve"> </w:t>
      </w:r>
    </w:p>
    <w:p w14:paraId="283435CB" w14:textId="726D2E42" w:rsidR="00D82B4F" w:rsidRPr="00CB502D" w:rsidRDefault="000930C4" w:rsidP="000452C7">
      <w:pPr>
        <w:ind w:left="1440"/>
      </w:pPr>
      <w:r w:rsidRPr="00CB502D">
        <w:t>North Carolina case</w:t>
      </w:r>
      <w:r w:rsidR="000C7657">
        <w:t>s</w:t>
      </w:r>
      <w:r w:rsidRPr="00CB502D">
        <w:t xml:space="preserve"> ha</w:t>
      </w:r>
      <w:r w:rsidR="005A2631">
        <w:t>ve</w:t>
      </w:r>
      <w:r w:rsidRPr="00CB502D">
        <w:t xml:space="preserve"> </w:t>
      </w:r>
      <w:r w:rsidR="000C7657">
        <w:t>reco</w:t>
      </w:r>
      <w:r w:rsidR="005A2631">
        <w:t>g</w:t>
      </w:r>
      <w:r w:rsidR="000C7657">
        <w:t>nized</w:t>
      </w:r>
      <w:r w:rsidR="000C7657" w:rsidRPr="00CB502D">
        <w:t xml:space="preserve"> </w:t>
      </w:r>
      <w:r w:rsidRPr="00CB502D">
        <w:t xml:space="preserve">that defense counsel’s cross-examination of a declarant at a probable cause hearing </w:t>
      </w:r>
      <w:r w:rsidR="000C7657">
        <w:t>may satisfy</w:t>
      </w:r>
      <w:r w:rsidR="000C7657" w:rsidRPr="00CB502D">
        <w:t xml:space="preserve"> </w:t>
      </w:r>
      <w:r w:rsidRPr="00CB502D">
        <w:rPr>
          <w:i/>
        </w:rPr>
        <w:t xml:space="preserve">Crawford’s </w:t>
      </w:r>
      <w:r w:rsidRPr="00CB502D">
        <w:t>requirement of a prior opportunity to cross-examine.</w:t>
      </w:r>
      <w:r w:rsidR="00D82B4F" w:rsidRPr="00CB502D">
        <w:rPr>
          <w:rStyle w:val="FootnoteReference"/>
          <w:rFonts w:cs="Arial"/>
        </w:rPr>
        <w:footnoteReference w:id="192"/>
      </w:r>
      <w:r w:rsidRPr="00CB502D">
        <w:t xml:space="preserve"> </w:t>
      </w:r>
      <w:r w:rsidR="001933CB">
        <w:t xml:space="preserve">However, an unpublished case recognized </w:t>
      </w:r>
      <w:r w:rsidR="00623A32">
        <w:t>that a probable cause hearing will not always provide the defendant an adequate</w:t>
      </w:r>
      <w:r w:rsidR="008B1067">
        <w:t xml:space="preserve"> opportunity to cross-examine the witness.</w:t>
      </w:r>
      <w:r w:rsidR="0053546F" w:rsidRPr="00CB502D">
        <w:rPr>
          <w:rStyle w:val="FootnoteReference"/>
          <w:rFonts w:cs="Arial"/>
        </w:rPr>
        <w:footnoteReference w:id="193"/>
      </w:r>
      <w:r w:rsidR="008B1067">
        <w:t xml:space="preserve"> </w:t>
      </w:r>
      <w:r w:rsidR="00046448">
        <w:t xml:space="preserve">Where the State increased the severity of the defendant’s charges between the probable cause hearing and trial, the defendant had not been provided discovery at the time of the probable cause hearing, and </w:t>
      </w:r>
      <w:r w:rsidR="0050074D">
        <w:t xml:space="preserve">the court repeatedly sustained objections by the State to defense counsel’s questions during the probable cause hearing, </w:t>
      </w:r>
      <w:r w:rsidR="00531A1C">
        <w:t xml:space="preserve">the hearing was insufficient to provide the defendant with </w:t>
      </w:r>
      <w:r w:rsidR="009535F7">
        <w:t xml:space="preserve">a meaningful opportunity to cross-examine the witness and admission of the witness’s testimony from the probable cause hearing at trial violated the defendant’s </w:t>
      </w:r>
      <w:r w:rsidR="00AE664A">
        <w:t>Confrontation Clause</w:t>
      </w:r>
      <w:r w:rsidR="009535F7">
        <w:t xml:space="preserve"> rights.</w:t>
      </w:r>
      <w:r w:rsidR="00D558F7" w:rsidRPr="00CB502D">
        <w:rPr>
          <w:rStyle w:val="FootnoteReference"/>
          <w:rFonts w:cs="Arial"/>
        </w:rPr>
        <w:footnoteReference w:id="194"/>
      </w:r>
    </w:p>
    <w:p w14:paraId="4A70B9D7" w14:textId="77777777" w:rsidR="0006530D" w:rsidRPr="00CB502D" w:rsidRDefault="0006530D" w:rsidP="008546B1"/>
    <w:p w14:paraId="619636E8" w14:textId="77777777" w:rsidR="00A41AD9" w:rsidRPr="00CB502D" w:rsidRDefault="0006530D" w:rsidP="00C42DC9">
      <w:pPr>
        <w:pStyle w:val="ListParagraph"/>
        <w:numPr>
          <w:ilvl w:val="0"/>
          <w:numId w:val="98"/>
        </w:numPr>
        <w:tabs>
          <w:tab w:val="left" w:pos="720"/>
        </w:tabs>
        <w:autoSpaceDE w:val="0"/>
        <w:autoSpaceDN w:val="0"/>
        <w:adjustRightInd w:val="0"/>
        <w:spacing w:after="0" w:line="240" w:lineRule="auto"/>
        <w:outlineLvl w:val="1"/>
        <w:rPr>
          <w:rFonts w:ascii="Arial" w:hAnsi="Arial" w:cs="Arial"/>
        </w:rPr>
      </w:pPr>
      <w:bookmarkStart w:id="348" w:name="_Toc398033842"/>
      <w:bookmarkStart w:id="349" w:name="_Toc223718283"/>
      <w:bookmarkStart w:id="350" w:name="_Toc223718539"/>
      <w:bookmarkStart w:id="351" w:name="_Toc223731928"/>
      <w:r w:rsidRPr="00CB502D">
        <w:rPr>
          <w:rStyle w:val="Heading2Char"/>
        </w:rPr>
        <w:t>Plea Proceeding</w:t>
      </w:r>
      <w:r w:rsidRPr="00CB502D">
        <w:rPr>
          <w:rFonts w:ascii="Arial" w:hAnsi="Arial" w:cs="Arial"/>
          <w:b/>
        </w:rPr>
        <w:t>.</w:t>
      </w:r>
      <w:bookmarkEnd w:id="348"/>
      <w:bookmarkEnd w:id="349"/>
      <w:bookmarkEnd w:id="350"/>
      <w:bookmarkEnd w:id="351"/>
      <w:r w:rsidRPr="00CB502D">
        <w:rPr>
          <w:rFonts w:ascii="Arial" w:hAnsi="Arial" w:cs="Arial"/>
          <w:b/>
        </w:rPr>
        <w:t xml:space="preserve"> </w:t>
      </w:r>
    </w:p>
    <w:p w14:paraId="5AC55F43" w14:textId="77777777" w:rsidR="0006530D" w:rsidRDefault="0006530D" w:rsidP="008546B1">
      <w:pPr>
        <w:ind w:left="1440"/>
      </w:pPr>
      <w:r w:rsidRPr="00CB502D">
        <w:t xml:space="preserve">At least one North Carolina case </w:t>
      </w:r>
      <w:r w:rsidR="008546B1" w:rsidRPr="00CB502D">
        <w:t xml:space="preserve">has </w:t>
      </w:r>
      <w:r w:rsidRPr="00CB502D">
        <w:t>held that a witness’s testimony at a prior plea proceeding afforded the defendant a prior opportunity to cross</w:t>
      </w:r>
      <w:r w:rsidR="008546B1" w:rsidRPr="00CB502D">
        <w:t>-</w:t>
      </w:r>
      <w:r w:rsidRPr="00CB502D">
        <w:t>examin</w:t>
      </w:r>
      <w:r w:rsidR="008546B1" w:rsidRPr="00CB502D">
        <w:t>ation</w:t>
      </w:r>
      <w:r w:rsidRPr="00CB502D">
        <w:t>.</w:t>
      </w:r>
      <w:r w:rsidRPr="00CB502D">
        <w:rPr>
          <w:rStyle w:val="FootnoteReference"/>
          <w:rFonts w:cs="Arial"/>
        </w:rPr>
        <w:footnoteReference w:id="195"/>
      </w:r>
    </w:p>
    <w:p w14:paraId="741BD2B3" w14:textId="77777777" w:rsidR="00C34925" w:rsidRDefault="00C34925" w:rsidP="008546B1">
      <w:pPr>
        <w:ind w:left="1440"/>
      </w:pPr>
    </w:p>
    <w:p w14:paraId="799C935F" w14:textId="77777777" w:rsidR="00D558F7" w:rsidRPr="00D558F7" w:rsidRDefault="00C34925" w:rsidP="00C34925">
      <w:pPr>
        <w:pStyle w:val="ListParagraph"/>
        <w:numPr>
          <w:ilvl w:val="0"/>
          <w:numId w:val="98"/>
        </w:numPr>
        <w:rPr>
          <w:b/>
          <w:bCs/>
        </w:rPr>
      </w:pPr>
      <w:bookmarkStart w:id="352" w:name="_Toc223731929"/>
      <w:r w:rsidRPr="003D3377">
        <w:rPr>
          <w:rStyle w:val="Heading2Char"/>
        </w:rPr>
        <w:t>Related Civil Proceedings</w:t>
      </w:r>
      <w:bookmarkEnd w:id="352"/>
      <w:r w:rsidRPr="00C34925">
        <w:rPr>
          <w:rFonts w:ascii="Arial" w:hAnsi="Arial" w:cs="Arial"/>
          <w:b/>
          <w:bCs/>
        </w:rPr>
        <w:t>.</w:t>
      </w:r>
    </w:p>
    <w:p w14:paraId="11F10FD3" w14:textId="61EB05A8" w:rsidR="00C34925" w:rsidRPr="003F25F3" w:rsidRDefault="00667222" w:rsidP="00432E5B">
      <w:pPr>
        <w:pStyle w:val="ListParagraph"/>
        <w:spacing w:after="0" w:line="240" w:lineRule="auto"/>
        <w:ind w:left="1440"/>
        <w:rPr>
          <w:b/>
          <w:bCs/>
        </w:rPr>
      </w:pPr>
      <w:r>
        <w:rPr>
          <w:rFonts w:ascii="Arial" w:hAnsi="Arial" w:cs="Arial"/>
        </w:rPr>
        <w:lastRenderedPageBreak/>
        <w:t xml:space="preserve">One decision by the North Carolina Court of Appeals </w:t>
      </w:r>
      <w:r w:rsidR="007A1FFF">
        <w:rPr>
          <w:rFonts w:ascii="Arial" w:hAnsi="Arial" w:cs="Arial"/>
        </w:rPr>
        <w:t xml:space="preserve">found that a </w:t>
      </w:r>
      <w:r w:rsidR="00FE209E">
        <w:rPr>
          <w:rFonts w:ascii="Arial" w:hAnsi="Arial" w:cs="Arial"/>
        </w:rPr>
        <w:t xml:space="preserve">defendant waived his confrontation rights concerning testimonial statements made at a </w:t>
      </w:r>
      <w:r w:rsidR="00B37546">
        <w:rPr>
          <w:rFonts w:ascii="Arial" w:hAnsi="Arial" w:cs="Arial"/>
        </w:rPr>
        <w:t>prior</w:t>
      </w:r>
      <w:r w:rsidR="007A1FFF">
        <w:rPr>
          <w:rFonts w:ascii="Arial" w:hAnsi="Arial" w:cs="Arial"/>
        </w:rPr>
        <w:t xml:space="preserve"> hearing on a civil protective order</w:t>
      </w:r>
      <w:r w:rsidR="007E2417">
        <w:rPr>
          <w:rFonts w:ascii="Arial" w:hAnsi="Arial" w:cs="Arial"/>
        </w:rPr>
        <w:t xml:space="preserve"> by failing to attend the hearing</w:t>
      </w:r>
      <w:r w:rsidR="007A1FFF">
        <w:rPr>
          <w:rFonts w:ascii="Arial" w:hAnsi="Arial" w:cs="Arial"/>
        </w:rPr>
        <w:t>.</w:t>
      </w:r>
      <w:r w:rsidR="00505B7A" w:rsidRPr="00CB502D">
        <w:rPr>
          <w:rStyle w:val="FootnoteReference"/>
          <w:rFonts w:cs="Arial"/>
        </w:rPr>
        <w:footnoteReference w:id="196"/>
      </w:r>
      <w:r w:rsidR="007A1FFF">
        <w:rPr>
          <w:rFonts w:ascii="Arial" w:hAnsi="Arial" w:cs="Arial"/>
        </w:rPr>
        <w:t xml:space="preserve"> </w:t>
      </w:r>
      <w:r w:rsidR="00413DC2">
        <w:rPr>
          <w:rFonts w:ascii="Arial" w:hAnsi="Arial" w:cs="Arial"/>
        </w:rPr>
        <w:t xml:space="preserve">In </w:t>
      </w:r>
      <w:r w:rsidR="00413DC2" w:rsidRPr="003F25F3">
        <w:rPr>
          <w:rFonts w:ascii="Arial" w:hAnsi="Arial" w:cs="Arial"/>
          <w:i/>
          <w:iCs/>
        </w:rPr>
        <w:t>State v. Joyner</w:t>
      </w:r>
      <w:r w:rsidR="00413DC2">
        <w:rPr>
          <w:rFonts w:ascii="Arial" w:hAnsi="Arial" w:cs="Arial"/>
        </w:rPr>
        <w:t xml:space="preserve">, the defendant was charged with obtaining property by false pretenses and exploitation of an elder adult in relation to </w:t>
      </w:r>
      <w:r w:rsidR="00E82E22">
        <w:rPr>
          <w:rFonts w:ascii="Arial" w:hAnsi="Arial" w:cs="Arial"/>
        </w:rPr>
        <w:t xml:space="preserve">fraudulent home repair work. After the defendant was criminally charged, the victim sought and obtained a </w:t>
      </w:r>
      <w:r w:rsidR="006A748C">
        <w:rPr>
          <w:rFonts w:ascii="Arial" w:hAnsi="Arial" w:cs="Arial"/>
        </w:rPr>
        <w:t xml:space="preserve">Chapter </w:t>
      </w:r>
      <w:r w:rsidR="00E82E22">
        <w:rPr>
          <w:rFonts w:ascii="Arial" w:hAnsi="Arial" w:cs="Arial"/>
        </w:rPr>
        <w:t xml:space="preserve">50C protective order. The defendant </w:t>
      </w:r>
      <w:r w:rsidR="006A748C">
        <w:rPr>
          <w:rFonts w:ascii="Arial" w:hAnsi="Arial" w:cs="Arial"/>
        </w:rPr>
        <w:t xml:space="preserve">had notice of that proceeding but chose not to attend. The victim subsequently died and her testimony from the 50C hearing was admitted at the later criminal trial. </w:t>
      </w:r>
      <w:r w:rsidR="001D07D0">
        <w:rPr>
          <w:rFonts w:ascii="Arial" w:hAnsi="Arial" w:cs="Arial"/>
        </w:rPr>
        <w:t xml:space="preserve">On appeal, the </w:t>
      </w:r>
      <w:r w:rsidR="001D07D0">
        <w:rPr>
          <w:rFonts w:ascii="Arial" w:hAnsi="Arial" w:cs="Arial"/>
          <w:i/>
          <w:iCs/>
        </w:rPr>
        <w:t xml:space="preserve">Joyner </w:t>
      </w:r>
      <w:r w:rsidR="001D07D0">
        <w:rPr>
          <w:rFonts w:ascii="Arial" w:hAnsi="Arial" w:cs="Arial"/>
        </w:rPr>
        <w:t xml:space="preserve">court </w:t>
      </w:r>
      <w:r w:rsidR="00B37546">
        <w:rPr>
          <w:rFonts w:ascii="Arial" w:hAnsi="Arial" w:cs="Arial"/>
        </w:rPr>
        <w:t>reasoned</w:t>
      </w:r>
      <w:r w:rsidR="001D07D0">
        <w:rPr>
          <w:rFonts w:ascii="Arial" w:hAnsi="Arial" w:cs="Arial"/>
        </w:rPr>
        <w:t xml:space="preserve"> that </w:t>
      </w:r>
      <w:r w:rsidR="00D76614">
        <w:rPr>
          <w:rFonts w:ascii="Arial" w:hAnsi="Arial" w:cs="Arial"/>
        </w:rPr>
        <w:t>because</w:t>
      </w:r>
      <w:r w:rsidR="003D1E23">
        <w:rPr>
          <w:rFonts w:ascii="Arial" w:hAnsi="Arial" w:cs="Arial"/>
        </w:rPr>
        <w:t xml:space="preserve"> the issues in the civil case and the criminal case were the same,</w:t>
      </w:r>
      <w:r w:rsidR="001D07D0">
        <w:rPr>
          <w:rFonts w:ascii="Arial" w:hAnsi="Arial" w:cs="Arial"/>
        </w:rPr>
        <w:t xml:space="preserve"> </w:t>
      </w:r>
      <w:r w:rsidR="007977CB">
        <w:rPr>
          <w:rFonts w:ascii="Arial" w:hAnsi="Arial" w:cs="Arial"/>
        </w:rPr>
        <w:t xml:space="preserve">the 50C hearing provided the defendant with a </w:t>
      </w:r>
      <w:r w:rsidR="00224634">
        <w:rPr>
          <w:rFonts w:ascii="Arial" w:hAnsi="Arial" w:cs="Arial"/>
        </w:rPr>
        <w:t>meaningful</w:t>
      </w:r>
      <w:r w:rsidR="007977CB">
        <w:rPr>
          <w:rFonts w:ascii="Arial" w:hAnsi="Arial" w:cs="Arial"/>
        </w:rPr>
        <w:t xml:space="preserve"> opportunity to cross-examine the </w:t>
      </w:r>
      <w:proofErr w:type="gramStart"/>
      <w:r w:rsidR="007977CB">
        <w:rPr>
          <w:rFonts w:ascii="Arial" w:hAnsi="Arial" w:cs="Arial"/>
        </w:rPr>
        <w:t xml:space="preserve">witness, </w:t>
      </w:r>
      <w:r w:rsidR="001D07D0">
        <w:rPr>
          <w:rFonts w:ascii="Arial" w:hAnsi="Arial" w:cs="Arial"/>
        </w:rPr>
        <w:t>and</w:t>
      </w:r>
      <w:proofErr w:type="gramEnd"/>
      <w:r w:rsidR="001D07D0">
        <w:rPr>
          <w:rFonts w:ascii="Arial" w:hAnsi="Arial" w:cs="Arial"/>
        </w:rPr>
        <w:t xml:space="preserve"> </w:t>
      </w:r>
      <w:r w:rsidR="00143BD2">
        <w:rPr>
          <w:rFonts w:ascii="Arial" w:hAnsi="Arial" w:cs="Arial"/>
        </w:rPr>
        <w:t xml:space="preserve">held </w:t>
      </w:r>
      <w:r w:rsidR="001D07D0">
        <w:rPr>
          <w:rFonts w:ascii="Arial" w:hAnsi="Arial" w:cs="Arial"/>
        </w:rPr>
        <w:t xml:space="preserve">that the defendant implicitly waived his right to confront </w:t>
      </w:r>
      <w:r w:rsidR="00D76614">
        <w:rPr>
          <w:rFonts w:ascii="Arial" w:hAnsi="Arial" w:cs="Arial"/>
        </w:rPr>
        <w:t>the witness</w:t>
      </w:r>
      <w:r w:rsidR="001D07D0">
        <w:rPr>
          <w:rFonts w:ascii="Arial" w:hAnsi="Arial" w:cs="Arial"/>
        </w:rPr>
        <w:t xml:space="preserve"> by </w:t>
      </w:r>
      <w:r w:rsidR="00DC1F34">
        <w:rPr>
          <w:rFonts w:ascii="Arial" w:hAnsi="Arial" w:cs="Arial"/>
        </w:rPr>
        <w:t>failing to attend</w:t>
      </w:r>
      <w:r w:rsidR="001D07D0">
        <w:rPr>
          <w:rFonts w:ascii="Arial" w:hAnsi="Arial" w:cs="Arial"/>
        </w:rPr>
        <w:t xml:space="preserve"> </w:t>
      </w:r>
      <w:r w:rsidR="003D1E23">
        <w:rPr>
          <w:rFonts w:ascii="Arial" w:hAnsi="Arial" w:cs="Arial"/>
        </w:rPr>
        <w:t>the 50C hearing</w:t>
      </w:r>
      <w:r w:rsidR="003F25F3">
        <w:rPr>
          <w:rFonts w:ascii="Arial" w:hAnsi="Arial" w:cs="Arial"/>
        </w:rPr>
        <w:t>.</w:t>
      </w:r>
      <w:r w:rsidR="0067380F">
        <w:rPr>
          <w:rFonts w:ascii="Arial" w:hAnsi="Arial" w:cs="Arial"/>
        </w:rPr>
        <w:t xml:space="preserve"> </w:t>
      </w:r>
      <w:r w:rsidR="00B37546">
        <w:rPr>
          <w:rFonts w:ascii="Arial" w:hAnsi="Arial" w:cs="Arial"/>
        </w:rPr>
        <w:t>As noted above,</w:t>
      </w:r>
      <w:r w:rsidR="007E2417">
        <w:rPr>
          <w:rFonts w:ascii="Arial" w:hAnsi="Arial" w:cs="Arial"/>
        </w:rPr>
        <w:t xml:space="preserve"> </w:t>
      </w:r>
      <w:r w:rsidR="007E2417">
        <w:rPr>
          <w:rFonts w:ascii="Arial" w:hAnsi="Arial" w:cs="Arial"/>
          <w:i/>
          <w:iCs/>
        </w:rPr>
        <w:t>Pointer v. Texas</w:t>
      </w:r>
      <w:r w:rsidR="007E2417">
        <w:rPr>
          <w:rFonts w:ascii="Arial" w:hAnsi="Arial" w:cs="Arial"/>
        </w:rPr>
        <w:t xml:space="preserve"> and</w:t>
      </w:r>
      <w:r w:rsidR="00143BD2">
        <w:rPr>
          <w:rFonts w:ascii="Arial" w:hAnsi="Arial" w:cs="Arial"/>
        </w:rPr>
        <w:t xml:space="preserve"> </w:t>
      </w:r>
      <w:r w:rsidR="00143BD2">
        <w:rPr>
          <w:rFonts w:ascii="Arial" w:hAnsi="Arial" w:cs="Arial"/>
          <w:i/>
          <w:iCs/>
        </w:rPr>
        <w:t>State v. Ross</w:t>
      </w:r>
      <w:r w:rsidR="00143BD2">
        <w:rPr>
          <w:rFonts w:ascii="Arial" w:hAnsi="Arial" w:cs="Arial"/>
        </w:rPr>
        <w:t xml:space="preserve"> </w:t>
      </w:r>
      <w:proofErr w:type="gramStart"/>
      <w:r w:rsidR="007E2417">
        <w:rPr>
          <w:rFonts w:ascii="Arial" w:hAnsi="Arial" w:cs="Arial"/>
        </w:rPr>
        <w:t>indicate</w:t>
      </w:r>
      <w:proofErr w:type="gramEnd"/>
      <w:r w:rsidR="00143BD2">
        <w:rPr>
          <w:rFonts w:ascii="Arial" w:hAnsi="Arial" w:cs="Arial"/>
        </w:rPr>
        <w:t xml:space="preserve"> that</w:t>
      </w:r>
      <w:r w:rsidR="00B37546">
        <w:rPr>
          <w:rFonts w:ascii="Arial" w:hAnsi="Arial" w:cs="Arial"/>
        </w:rPr>
        <w:t xml:space="preserve"> representation by counsel</w:t>
      </w:r>
      <w:r w:rsidR="00143BD2">
        <w:rPr>
          <w:rFonts w:ascii="Arial" w:hAnsi="Arial" w:cs="Arial"/>
        </w:rPr>
        <w:t xml:space="preserve"> at a prior proceeding is a necessary condition for a constitutionally sufficient prior opportunity for cross-examination. </w:t>
      </w:r>
      <w:r w:rsidR="00143BD2">
        <w:rPr>
          <w:rFonts w:ascii="Arial" w:hAnsi="Arial" w:cs="Arial"/>
          <w:i/>
          <w:iCs/>
        </w:rPr>
        <w:t>Joyner</w:t>
      </w:r>
      <w:r w:rsidR="00143BD2">
        <w:rPr>
          <w:rFonts w:ascii="Arial" w:hAnsi="Arial" w:cs="Arial"/>
        </w:rPr>
        <w:t xml:space="preserve"> cited </w:t>
      </w:r>
      <w:r w:rsidR="00143BD2">
        <w:rPr>
          <w:rFonts w:ascii="Arial" w:hAnsi="Arial" w:cs="Arial"/>
          <w:i/>
          <w:iCs/>
        </w:rPr>
        <w:t>Ross</w:t>
      </w:r>
      <w:r w:rsidR="00143BD2">
        <w:rPr>
          <w:rFonts w:ascii="Arial" w:hAnsi="Arial" w:cs="Arial"/>
        </w:rPr>
        <w:t xml:space="preserve"> but did not directly address the issue of counsel. </w:t>
      </w:r>
      <w:r w:rsidR="001F4FE2">
        <w:rPr>
          <w:rFonts w:ascii="Arial" w:hAnsi="Arial" w:cs="Arial"/>
        </w:rPr>
        <w:t>Thus,</w:t>
      </w:r>
      <w:r w:rsidR="00AE3725" w:rsidRPr="00AE3725">
        <w:rPr>
          <w:rFonts w:ascii="Arial" w:hAnsi="Arial" w:cs="Arial"/>
        </w:rPr>
        <w:t xml:space="preserve"> </w:t>
      </w:r>
      <w:r w:rsidR="00AE3725">
        <w:rPr>
          <w:rFonts w:ascii="Arial" w:hAnsi="Arial" w:cs="Arial"/>
        </w:rPr>
        <w:t>in cases not involving waiver by failure to appear,</w:t>
      </w:r>
      <w:r w:rsidR="001F4FE2">
        <w:rPr>
          <w:rFonts w:ascii="Arial" w:hAnsi="Arial" w:cs="Arial"/>
        </w:rPr>
        <w:t xml:space="preserve"> it is advisable to be cautious about </w:t>
      </w:r>
      <w:r w:rsidR="00AE3725">
        <w:rPr>
          <w:rFonts w:ascii="Arial" w:hAnsi="Arial" w:cs="Arial"/>
        </w:rPr>
        <w:t>extending</w:t>
      </w:r>
      <w:r w:rsidR="00143BD2">
        <w:rPr>
          <w:rFonts w:ascii="Arial" w:hAnsi="Arial" w:cs="Arial"/>
        </w:rPr>
        <w:t xml:space="preserve"> </w:t>
      </w:r>
      <w:r w:rsidR="00143BD2">
        <w:rPr>
          <w:rFonts w:ascii="Arial" w:hAnsi="Arial" w:cs="Arial"/>
          <w:i/>
          <w:iCs/>
        </w:rPr>
        <w:t xml:space="preserve">Joyner’s </w:t>
      </w:r>
      <w:r w:rsidR="00AE3725">
        <w:rPr>
          <w:rFonts w:ascii="Arial" w:hAnsi="Arial" w:cs="Arial"/>
        </w:rPr>
        <w:t>reasoning</w:t>
      </w:r>
      <w:r w:rsidR="00143BD2">
        <w:rPr>
          <w:rFonts w:ascii="Arial" w:hAnsi="Arial" w:cs="Arial"/>
        </w:rPr>
        <w:t xml:space="preserve"> that a</w:t>
      </w:r>
      <w:r w:rsidR="00AE3725">
        <w:rPr>
          <w:rFonts w:ascii="Arial" w:hAnsi="Arial" w:cs="Arial"/>
        </w:rPr>
        <w:t xml:space="preserve"> related civil</w:t>
      </w:r>
      <w:r w:rsidR="00143BD2">
        <w:rPr>
          <w:rFonts w:ascii="Arial" w:hAnsi="Arial" w:cs="Arial"/>
        </w:rPr>
        <w:t xml:space="preserve"> hearing provides a meaningful </w:t>
      </w:r>
      <w:r w:rsidR="001F4FE2">
        <w:rPr>
          <w:rFonts w:ascii="Arial" w:hAnsi="Arial" w:cs="Arial"/>
        </w:rPr>
        <w:t>opportunity for cross-examination.</w:t>
      </w:r>
    </w:p>
    <w:p w14:paraId="60E46647" w14:textId="77777777" w:rsidR="008052E3" w:rsidRPr="00CB502D" w:rsidRDefault="008052E3" w:rsidP="008546B1">
      <w:pPr>
        <w:ind w:left="1440"/>
      </w:pPr>
    </w:p>
    <w:p w14:paraId="1C5B5CAE" w14:textId="0FBE9A57" w:rsidR="00D9302F" w:rsidRDefault="00721378" w:rsidP="000E62C3">
      <w:pPr>
        <w:pStyle w:val="Heading1"/>
        <w:rPr>
          <w:rStyle w:val="Heading2Char"/>
        </w:rPr>
      </w:pPr>
      <w:bookmarkStart w:id="353" w:name="_Toc427840956"/>
      <w:bookmarkStart w:id="354" w:name="retroactivity"/>
      <w:bookmarkStart w:id="355" w:name="_Toc398033843"/>
      <w:bookmarkStart w:id="356" w:name="_Toc223718284"/>
      <w:bookmarkStart w:id="357" w:name="_Toc223718540"/>
      <w:bookmarkStart w:id="358" w:name="_Toc223731930"/>
      <w:bookmarkEnd w:id="353"/>
      <w:r w:rsidRPr="003D3377">
        <w:t>Retroactivity</w:t>
      </w:r>
      <w:bookmarkEnd w:id="354"/>
      <w:r w:rsidR="008B06F2" w:rsidRPr="00CB502D">
        <w:t>.</w:t>
      </w:r>
      <w:bookmarkStart w:id="359" w:name="generallyretro"/>
      <w:bookmarkStart w:id="360" w:name="_Toc398033844"/>
      <w:bookmarkEnd w:id="355"/>
      <w:bookmarkEnd w:id="356"/>
      <w:bookmarkEnd w:id="357"/>
      <w:bookmarkEnd w:id="358"/>
    </w:p>
    <w:p w14:paraId="16FFFC51" w14:textId="135D741D" w:rsidR="00D9302F" w:rsidRDefault="00D9302F" w:rsidP="00364CCD">
      <w:pPr>
        <w:ind w:left="720"/>
        <w:rPr>
          <w:rStyle w:val="Heading2Char"/>
        </w:rPr>
      </w:pPr>
      <w:r w:rsidRPr="009C5835">
        <w:rPr>
          <w:rFonts w:eastAsia="Times New Roman"/>
        </w:rPr>
        <w:t xml:space="preserve">The United States Supreme Court has held that </w:t>
      </w:r>
      <w:r w:rsidRPr="009C5835">
        <w:rPr>
          <w:rFonts w:eastAsia="Times New Roman" w:cs="Arial"/>
          <w:i/>
          <w:iCs/>
        </w:rPr>
        <w:t>Crawford</w:t>
      </w:r>
      <w:r w:rsidRPr="009C5835">
        <w:rPr>
          <w:rFonts w:eastAsia="Times New Roman"/>
        </w:rPr>
        <w:t xml:space="preserve"> is not retroactive under the rule of </w:t>
      </w:r>
      <w:r w:rsidRPr="009C5835">
        <w:rPr>
          <w:rFonts w:eastAsia="Times New Roman" w:cs="Arial"/>
          <w:i/>
          <w:iCs/>
        </w:rPr>
        <w:t>Teague v. Lane</w:t>
      </w:r>
      <w:r w:rsidR="00AE664A">
        <w:rPr>
          <w:rFonts w:eastAsia="Times New Roman"/>
        </w:rPr>
        <w:t>.</w:t>
      </w:r>
      <w:r w:rsidRPr="009C5835">
        <w:rPr>
          <w:rFonts w:eastAsia="Times New Roman" w:cs="Arial"/>
          <w:vertAlign w:val="superscript"/>
        </w:rPr>
        <w:footnoteReference w:id="197"/>
      </w:r>
      <w:r w:rsidRPr="009C5835">
        <w:rPr>
          <w:rFonts w:eastAsia="Times New Roman"/>
        </w:rPr>
        <w:t xml:space="preserve"> </w:t>
      </w:r>
      <w:r>
        <w:rPr>
          <w:rFonts w:eastAsia="Times New Roman"/>
        </w:rPr>
        <w:t>Neither the United States Supreme Court nor the North Carolina appellate courts have conclusively decided whether the confrontation principles announced in the forensic report cases (</w:t>
      </w:r>
      <w:r>
        <w:rPr>
          <w:rFonts w:eastAsia="Times New Roman"/>
          <w:i/>
          <w:iCs/>
        </w:rPr>
        <w:t>Melendez-Diaz</w:t>
      </w:r>
      <w:r>
        <w:rPr>
          <w:rFonts w:eastAsia="Times New Roman"/>
        </w:rPr>
        <w:t xml:space="preserve">, </w:t>
      </w:r>
      <w:proofErr w:type="spellStart"/>
      <w:r>
        <w:rPr>
          <w:rFonts w:eastAsia="Times New Roman"/>
          <w:i/>
          <w:iCs/>
        </w:rPr>
        <w:t>Bullcoming</w:t>
      </w:r>
      <w:proofErr w:type="spellEnd"/>
      <w:r>
        <w:rPr>
          <w:rFonts w:eastAsia="Times New Roman"/>
        </w:rPr>
        <w:t xml:space="preserve">, and </w:t>
      </w:r>
      <w:r>
        <w:rPr>
          <w:rFonts w:eastAsia="Times New Roman"/>
          <w:i/>
          <w:iCs/>
        </w:rPr>
        <w:t>Smith</w:t>
      </w:r>
      <w:r>
        <w:rPr>
          <w:rFonts w:eastAsia="Times New Roman"/>
        </w:rPr>
        <w:t xml:space="preserve">) apply retroactively to cases that became final before they were decided. This issue turns on whether those cases announced new rules not dictated by precedent, in which case they almost certainly do not apply retroactively, or announced rules so clearly dictated by </w:t>
      </w:r>
      <w:r>
        <w:rPr>
          <w:rFonts w:eastAsia="Times New Roman"/>
          <w:i/>
          <w:iCs/>
        </w:rPr>
        <w:t>Crawford</w:t>
      </w:r>
      <w:r>
        <w:rPr>
          <w:rFonts w:eastAsia="Times New Roman"/>
        </w:rPr>
        <w:t xml:space="preserve"> that they were apparent to all reasonable jurists, in which case they do apply retroactively.</w:t>
      </w:r>
      <w:r w:rsidRPr="009C5835">
        <w:rPr>
          <w:rFonts w:eastAsia="Times New Roman" w:cs="Arial"/>
          <w:vertAlign w:val="superscript"/>
        </w:rPr>
        <w:footnoteReference w:id="198"/>
      </w:r>
      <w:r>
        <w:rPr>
          <w:rFonts w:eastAsia="Times New Roman"/>
        </w:rPr>
        <w:t xml:space="preserve"> </w:t>
      </w:r>
      <w:r w:rsidR="006D3E87">
        <w:rPr>
          <w:rFonts w:eastAsia="Times New Roman"/>
        </w:rPr>
        <w:t>T</w:t>
      </w:r>
      <w:r>
        <w:rPr>
          <w:rFonts w:eastAsia="Times New Roman"/>
        </w:rPr>
        <w:t>he publication cited in the footnote</w:t>
      </w:r>
      <w:r w:rsidR="006D3E87">
        <w:rPr>
          <w:rFonts w:eastAsia="Times New Roman"/>
        </w:rPr>
        <w:t xml:space="preserve"> discusses this issue in detail</w:t>
      </w:r>
      <w:r>
        <w:rPr>
          <w:rFonts w:eastAsia="Times New Roman"/>
        </w:rPr>
        <w:t>.</w:t>
      </w:r>
      <w:r w:rsidRPr="009C5835">
        <w:rPr>
          <w:rFonts w:eastAsia="Times New Roman" w:cs="Arial"/>
          <w:vertAlign w:val="superscript"/>
        </w:rPr>
        <w:footnoteReference w:id="199"/>
      </w:r>
    </w:p>
    <w:bookmarkEnd w:id="359"/>
    <w:bookmarkEnd w:id="360"/>
    <w:p w14:paraId="654C7744" w14:textId="77777777" w:rsidR="004A428C" w:rsidRPr="00CB502D" w:rsidRDefault="004A428C" w:rsidP="000452C7">
      <w:pPr>
        <w:ind w:left="1440"/>
      </w:pPr>
    </w:p>
    <w:p w14:paraId="4188514E" w14:textId="77777777" w:rsidR="00310065" w:rsidRPr="00CB502D" w:rsidRDefault="00310065" w:rsidP="00C42DC9">
      <w:pPr>
        <w:pStyle w:val="Heading1"/>
      </w:pPr>
      <w:bookmarkStart w:id="361" w:name="proceedingstowhich"/>
      <w:bookmarkStart w:id="362" w:name="_Toc398033847"/>
      <w:bookmarkStart w:id="363" w:name="_Toc223718285"/>
      <w:bookmarkStart w:id="364" w:name="_Toc223718541"/>
      <w:bookmarkStart w:id="365" w:name="_Toc223731931"/>
      <w:r w:rsidRPr="003D3377">
        <w:t>Proceedings to Which Crawford Applies</w:t>
      </w:r>
      <w:bookmarkEnd w:id="361"/>
      <w:r w:rsidR="008B06F2" w:rsidRPr="00CB502D">
        <w:t>.</w:t>
      </w:r>
      <w:bookmarkEnd w:id="362"/>
      <w:bookmarkEnd w:id="363"/>
      <w:bookmarkEnd w:id="364"/>
      <w:bookmarkEnd w:id="365"/>
    </w:p>
    <w:p w14:paraId="25A402DE" w14:textId="77777777" w:rsidR="00A41AD9" w:rsidRPr="00CB502D" w:rsidRDefault="00310065" w:rsidP="00A02AFF">
      <w:pPr>
        <w:pStyle w:val="Heading2"/>
        <w:numPr>
          <w:ilvl w:val="0"/>
          <w:numId w:val="97"/>
        </w:numPr>
      </w:pPr>
      <w:bookmarkStart w:id="366" w:name="crimtrials"/>
      <w:bookmarkStart w:id="367" w:name="_Toc223718286"/>
      <w:bookmarkStart w:id="368" w:name="_Toc223718542"/>
      <w:bookmarkStart w:id="369" w:name="_Toc223731932"/>
      <w:r w:rsidRPr="00CB502D">
        <w:t>Criminal Trials</w:t>
      </w:r>
      <w:bookmarkEnd w:id="366"/>
      <w:r w:rsidRPr="00CB502D">
        <w:t>.</w:t>
      </w:r>
      <w:bookmarkEnd w:id="367"/>
      <w:bookmarkEnd w:id="368"/>
      <w:bookmarkEnd w:id="369"/>
      <w:r w:rsidRPr="00CB502D">
        <w:t xml:space="preserve"> </w:t>
      </w:r>
    </w:p>
    <w:p w14:paraId="200EB6D9" w14:textId="77777777" w:rsidR="00310065" w:rsidRPr="00CB502D" w:rsidRDefault="00310065" w:rsidP="004A428C">
      <w:pPr>
        <w:ind w:left="1440"/>
      </w:pPr>
      <w:r w:rsidRPr="00CB502D">
        <w:t>By its terms, the Sixth Amendment applies to “criminal prosecutions.” It is thus clear that the confrontation protection applies in criminal trials.</w:t>
      </w:r>
      <w:r w:rsidRPr="00CB502D">
        <w:rPr>
          <w:rStyle w:val="00BTfootnotecallout"/>
          <w:rFonts w:ascii="Arial" w:hAnsi="Arial" w:cs="Arial"/>
        </w:rPr>
        <w:footnoteReference w:id="200"/>
      </w:r>
    </w:p>
    <w:p w14:paraId="6F895F26" w14:textId="77777777" w:rsidR="00310065" w:rsidRPr="00CB502D" w:rsidRDefault="00310065" w:rsidP="004A428C">
      <w:pPr>
        <w:pStyle w:val="NoParagraphStyle"/>
        <w:spacing w:line="240" w:lineRule="auto"/>
        <w:rPr>
          <w:rFonts w:ascii="Arial" w:hAnsi="Arial" w:cs="Arial"/>
          <w:sz w:val="22"/>
          <w:szCs w:val="22"/>
        </w:rPr>
      </w:pPr>
    </w:p>
    <w:p w14:paraId="0414171D" w14:textId="77777777" w:rsidR="009E593A" w:rsidRPr="00CB502D" w:rsidRDefault="009E593A" w:rsidP="00D23F31">
      <w:pPr>
        <w:pStyle w:val="Heading2"/>
        <w:numPr>
          <w:ilvl w:val="0"/>
          <w:numId w:val="99"/>
        </w:numPr>
      </w:pPr>
      <w:bookmarkStart w:id="370" w:name="_Toc223718287"/>
      <w:bookmarkStart w:id="371" w:name="_Toc223718543"/>
      <w:bookmarkStart w:id="372" w:name="_Toc223731933"/>
      <w:bookmarkStart w:id="373" w:name="sentencing"/>
      <w:r w:rsidRPr="00CB502D">
        <w:t>Pretrial</w:t>
      </w:r>
      <w:r w:rsidR="000C032D" w:rsidRPr="00CB502D">
        <w:t xml:space="preserve"> </w:t>
      </w:r>
      <w:r w:rsidRPr="00CB502D">
        <w:t>Proceedings.</w:t>
      </w:r>
      <w:bookmarkEnd w:id="370"/>
      <w:bookmarkEnd w:id="371"/>
      <w:bookmarkEnd w:id="372"/>
    </w:p>
    <w:p w14:paraId="11C77301" w14:textId="375CBD52" w:rsidR="009E593A" w:rsidRPr="00CB502D" w:rsidRDefault="009E593A" w:rsidP="009E593A">
      <w:pPr>
        <w:ind w:left="1440"/>
      </w:pPr>
      <w:r w:rsidRPr="00CB502D">
        <w:lastRenderedPageBreak/>
        <w:t xml:space="preserve">Neither </w:t>
      </w:r>
      <w:r w:rsidRPr="00CB502D">
        <w:rPr>
          <w:i/>
        </w:rPr>
        <w:t>Crawford</w:t>
      </w:r>
      <w:r w:rsidRPr="00CB502D">
        <w:t xml:space="preserve"> nor any of the Court’s subsequent cases address the question whether </w:t>
      </w:r>
      <w:r w:rsidRPr="00CB502D">
        <w:rPr>
          <w:i/>
        </w:rPr>
        <w:t xml:space="preserve">Crawford </w:t>
      </w:r>
      <w:r w:rsidRPr="00CB502D">
        <w:t xml:space="preserve">applies to pretrial proceedings. Nor </w:t>
      </w:r>
      <w:r w:rsidR="00E03E37" w:rsidRPr="00CB502D">
        <w:t xml:space="preserve">is there </w:t>
      </w:r>
      <w:r w:rsidRPr="00CB502D">
        <w:t>a North Carolina post-</w:t>
      </w:r>
      <w:r w:rsidRPr="00CB502D">
        <w:rPr>
          <w:i/>
        </w:rPr>
        <w:t>Crawford</w:t>
      </w:r>
      <w:r w:rsidRPr="00CB502D">
        <w:t xml:space="preserve"> published case on point. However, a look at post-</w:t>
      </w:r>
      <w:r w:rsidRPr="00CB502D">
        <w:rPr>
          <w:i/>
        </w:rPr>
        <w:t xml:space="preserve">Crawford </w:t>
      </w:r>
      <w:r w:rsidRPr="00CB502D">
        <w:t xml:space="preserve">published cases from other jurisdictions shows that the overwhelming weight of authority holds that </w:t>
      </w:r>
      <w:r w:rsidRPr="00CB502D">
        <w:rPr>
          <w:i/>
        </w:rPr>
        <w:t>Crawford</w:t>
      </w:r>
      <w:r w:rsidR="00180E56" w:rsidRPr="00CB502D">
        <w:t xml:space="preserve"> does not </w:t>
      </w:r>
      <w:r w:rsidRPr="00CB502D">
        <w:t>apply in pretrial proceedings.</w:t>
      </w:r>
      <w:r w:rsidR="00E03E37" w:rsidRPr="00CB502D">
        <w:rPr>
          <w:rStyle w:val="FootnoteReference"/>
        </w:rPr>
        <w:footnoteReference w:id="201"/>
      </w:r>
      <w:r w:rsidRPr="00CB502D">
        <w:t xml:space="preserve"> </w:t>
      </w:r>
    </w:p>
    <w:p w14:paraId="2B939B12" w14:textId="77777777" w:rsidR="009E593A" w:rsidRPr="00CB502D" w:rsidRDefault="009E593A" w:rsidP="009E593A"/>
    <w:p w14:paraId="58B0D3BC" w14:textId="77777777" w:rsidR="00A41AD9" w:rsidRPr="00CB502D" w:rsidRDefault="00310065" w:rsidP="00D23F31">
      <w:pPr>
        <w:pStyle w:val="Heading2"/>
        <w:numPr>
          <w:ilvl w:val="0"/>
          <w:numId w:val="99"/>
        </w:numPr>
      </w:pPr>
      <w:bookmarkStart w:id="374" w:name="_Toc223718288"/>
      <w:bookmarkStart w:id="375" w:name="_Toc223718544"/>
      <w:bookmarkStart w:id="376" w:name="_Toc223731934"/>
      <w:r w:rsidRPr="00CB502D">
        <w:t>Sentencing</w:t>
      </w:r>
      <w:bookmarkEnd w:id="373"/>
      <w:r w:rsidRPr="00CB502D">
        <w:t>.</w:t>
      </w:r>
      <w:bookmarkEnd w:id="374"/>
      <w:bookmarkEnd w:id="375"/>
      <w:bookmarkEnd w:id="376"/>
      <w:r w:rsidRPr="00CB502D">
        <w:t xml:space="preserve"> </w:t>
      </w:r>
    </w:p>
    <w:p w14:paraId="12B7B71B" w14:textId="75F1A6CD" w:rsidR="00E11D42" w:rsidRPr="00CB502D" w:rsidRDefault="00310065" w:rsidP="004A428C">
      <w:pPr>
        <w:ind w:left="1440"/>
      </w:pPr>
      <w:r w:rsidRPr="00CB502D">
        <w:rPr>
          <w:rStyle w:val="00BTitalic"/>
          <w:rFonts w:ascii="Arial" w:hAnsi="Arial" w:cs="Arial"/>
        </w:rPr>
        <w:t>Crawford</w:t>
      </w:r>
      <w:r w:rsidRPr="00CB502D">
        <w:t xml:space="preserve"> applies at the punishment phase of a capital trial.</w:t>
      </w:r>
      <w:r w:rsidRPr="00CB502D">
        <w:rPr>
          <w:rStyle w:val="00BTfootnotecallout"/>
          <w:rFonts w:ascii="Arial" w:hAnsi="Arial" w:cs="Arial"/>
        </w:rPr>
        <w:footnoteReference w:id="202"/>
      </w:r>
      <w:r w:rsidRPr="00CB502D">
        <w:t xml:space="preserve"> </w:t>
      </w:r>
      <w:r w:rsidR="00F87C26" w:rsidRPr="00CB502D">
        <w:t>T</w:t>
      </w:r>
      <w:r w:rsidR="0006530D" w:rsidRPr="00CB502D">
        <w:t>he N</w:t>
      </w:r>
      <w:r w:rsidRPr="00CB502D">
        <w:t>orth Carolina Court of Appeals h</w:t>
      </w:r>
      <w:r w:rsidR="0006530D" w:rsidRPr="00CB502D">
        <w:t xml:space="preserve">eld </w:t>
      </w:r>
      <w:r w:rsidRPr="00CB502D">
        <w:t xml:space="preserve">that </w:t>
      </w:r>
      <w:r w:rsidRPr="00CB502D">
        <w:rPr>
          <w:i/>
        </w:rPr>
        <w:t xml:space="preserve">Crawford </w:t>
      </w:r>
      <w:r w:rsidRPr="00CB502D">
        <w:t xml:space="preserve">applies to </w:t>
      </w:r>
      <w:r w:rsidRPr="00CB502D">
        <w:rPr>
          <w:i/>
        </w:rPr>
        <w:t>Blakely-</w:t>
      </w:r>
      <w:r w:rsidRPr="00CB502D">
        <w:t xml:space="preserve">style </w:t>
      </w:r>
      <w:r w:rsidR="007479CF" w:rsidRPr="00CB502D">
        <w:t xml:space="preserve">non-capital </w:t>
      </w:r>
      <w:r w:rsidRPr="00CB502D">
        <w:t>sentencing proceedings in which the jury makes a factual determination that increases the defendant’s sentence</w:t>
      </w:r>
      <w:r w:rsidR="0045138E">
        <w:t xml:space="preserve">, such as </w:t>
      </w:r>
      <w:r w:rsidR="00861763">
        <w:t>habitual felon proceedings or sentencing hearings regarding the existence of aggravated factors</w:t>
      </w:r>
      <w:r w:rsidR="00AF738F">
        <w:t>.</w:t>
      </w:r>
      <w:r w:rsidRPr="00CB502D">
        <w:rPr>
          <w:rStyle w:val="FootnoteReference"/>
          <w:rFonts w:cs="Arial"/>
        </w:rPr>
        <w:footnoteReference w:id="203"/>
      </w:r>
      <w:r w:rsidRPr="00CB502D">
        <w:t xml:space="preserve"> </w:t>
      </w:r>
      <w:bookmarkStart w:id="377" w:name="terminationofparental"/>
    </w:p>
    <w:p w14:paraId="2CF83830" w14:textId="77777777" w:rsidR="004A428C" w:rsidRPr="00CB502D" w:rsidRDefault="004A428C" w:rsidP="004A428C">
      <w:pPr>
        <w:ind w:left="1440"/>
        <w:rPr>
          <w:rFonts w:cs="Arial"/>
          <w:b/>
        </w:rPr>
      </w:pPr>
    </w:p>
    <w:p w14:paraId="499057D0" w14:textId="77777777" w:rsidR="00A41AD9" w:rsidRPr="00CB502D" w:rsidRDefault="00310065" w:rsidP="00D23F31">
      <w:pPr>
        <w:pStyle w:val="Heading2"/>
        <w:numPr>
          <w:ilvl w:val="0"/>
          <w:numId w:val="99"/>
        </w:numPr>
      </w:pPr>
      <w:bookmarkStart w:id="378" w:name="_Toc223718289"/>
      <w:bookmarkStart w:id="379" w:name="_Toc223718545"/>
      <w:bookmarkStart w:id="380" w:name="_Toc223731935"/>
      <w:r w:rsidRPr="00CB502D">
        <w:t>Termination of Parental Rights</w:t>
      </w:r>
      <w:bookmarkEnd w:id="377"/>
      <w:r w:rsidRPr="00CB502D">
        <w:t>.</w:t>
      </w:r>
      <w:bookmarkEnd w:id="378"/>
      <w:bookmarkEnd w:id="379"/>
      <w:bookmarkEnd w:id="380"/>
      <w:r w:rsidRPr="00CB502D">
        <w:t xml:space="preserve"> </w:t>
      </w:r>
    </w:p>
    <w:p w14:paraId="4185A040" w14:textId="77777777" w:rsidR="00310065" w:rsidRPr="00CB502D" w:rsidRDefault="00310065" w:rsidP="004A428C">
      <w:pPr>
        <w:ind w:left="1440"/>
        <w:rPr>
          <w:b/>
        </w:rPr>
      </w:pPr>
      <w:r w:rsidRPr="00CB502D">
        <w:rPr>
          <w:rStyle w:val="00BTitalic"/>
          <w:rFonts w:ascii="Arial" w:hAnsi="Arial" w:cs="Arial"/>
        </w:rPr>
        <w:t>Crawford</w:t>
      </w:r>
      <w:r w:rsidRPr="00CB502D">
        <w:t xml:space="preserve"> does not apply in proceedings to terminate parental rights.</w:t>
      </w:r>
      <w:r w:rsidRPr="00CB502D">
        <w:rPr>
          <w:rStyle w:val="00BTfootnotecallout"/>
          <w:rFonts w:ascii="Arial" w:hAnsi="Arial" w:cs="Arial"/>
        </w:rPr>
        <w:footnoteReference w:id="204"/>
      </w:r>
    </w:p>
    <w:p w14:paraId="3E61A159" w14:textId="77777777" w:rsidR="00310065" w:rsidRPr="00CB502D" w:rsidRDefault="00310065" w:rsidP="004A428C">
      <w:pPr>
        <w:pStyle w:val="00BheadafterAhead00Heads"/>
        <w:spacing w:line="240" w:lineRule="auto"/>
        <w:ind w:left="1440"/>
        <w:rPr>
          <w:rFonts w:ascii="Arial" w:hAnsi="Arial" w:cs="Arial"/>
          <w:b/>
        </w:rPr>
      </w:pPr>
    </w:p>
    <w:p w14:paraId="4277B4F7" w14:textId="77777777" w:rsidR="00A41AD9" w:rsidRPr="00CB502D" w:rsidRDefault="00310065" w:rsidP="00D23F31">
      <w:pPr>
        <w:pStyle w:val="Heading2"/>
        <w:numPr>
          <w:ilvl w:val="0"/>
          <w:numId w:val="99"/>
        </w:numPr>
      </w:pPr>
      <w:bookmarkStart w:id="381" w:name="juvdelinproceedings"/>
      <w:bookmarkStart w:id="382" w:name="_Toc223718290"/>
      <w:bookmarkStart w:id="383" w:name="_Toc223718546"/>
      <w:bookmarkStart w:id="384" w:name="_Toc223731936"/>
      <w:r w:rsidRPr="00CB502D">
        <w:t>Juvenile Delinquency Proceedings</w:t>
      </w:r>
      <w:bookmarkEnd w:id="381"/>
      <w:r w:rsidRPr="00CB502D">
        <w:t>.</w:t>
      </w:r>
      <w:bookmarkEnd w:id="382"/>
      <w:bookmarkEnd w:id="383"/>
      <w:bookmarkEnd w:id="384"/>
      <w:r w:rsidRPr="00CB502D">
        <w:t xml:space="preserve"> </w:t>
      </w:r>
    </w:p>
    <w:p w14:paraId="05663536" w14:textId="4857AC87" w:rsidR="00310065" w:rsidRPr="00CB502D" w:rsidRDefault="008F0C26" w:rsidP="006D3E87">
      <w:pPr>
        <w:widowControl w:val="0"/>
        <w:ind w:left="1440"/>
        <w:rPr>
          <w:b/>
        </w:rPr>
      </w:pPr>
      <w:r>
        <w:t>North Carolina courts have assumed that confrontation rights apply to the adjudication stage of a juvenile delinquency proceeding</w:t>
      </w:r>
      <w:r w:rsidR="00310065" w:rsidRPr="00CB502D">
        <w:t>.</w:t>
      </w:r>
      <w:r w:rsidR="00310065" w:rsidRPr="00CB502D">
        <w:rPr>
          <w:rStyle w:val="00BTfootnotecallout"/>
          <w:rFonts w:ascii="Arial" w:hAnsi="Arial" w:cs="Arial"/>
        </w:rPr>
        <w:footnoteReference w:id="205"/>
      </w:r>
      <w:r w:rsidR="00310065" w:rsidRPr="00CB502D">
        <w:t xml:space="preserve"> </w:t>
      </w:r>
      <w:r w:rsidR="00C50112">
        <w:t>T</w:t>
      </w:r>
      <w:r w:rsidR="00310065" w:rsidRPr="00CB502D">
        <w:t xml:space="preserve">he United States Supreme Court </w:t>
      </w:r>
      <w:r w:rsidR="00C50112">
        <w:t xml:space="preserve">has </w:t>
      </w:r>
      <w:proofErr w:type="gramStart"/>
      <w:r w:rsidR="00C50112">
        <w:t>taken</w:t>
      </w:r>
      <w:r w:rsidR="00310065" w:rsidRPr="00CB502D">
        <w:t xml:space="preserve"> action</w:t>
      </w:r>
      <w:proofErr w:type="gramEnd"/>
      <w:r w:rsidR="00310065" w:rsidRPr="00CB502D">
        <w:t xml:space="preserve"> indicating that </w:t>
      </w:r>
      <w:r w:rsidR="00310065" w:rsidRPr="00CB502D">
        <w:rPr>
          <w:rStyle w:val="00BTitalic"/>
          <w:rFonts w:ascii="Arial" w:hAnsi="Arial" w:cs="Arial"/>
        </w:rPr>
        <w:t>Crawford</w:t>
      </w:r>
      <w:r w:rsidR="00310065" w:rsidRPr="00CB502D">
        <w:t xml:space="preserve"> applies in these proceedings</w:t>
      </w:r>
      <w:r w:rsidR="000B3DF5" w:rsidRPr="00CB502D">
        <w:t>, and courts in other jurisdictions have so held</w:t>
      </w:r>
      <w:r w:rsidR="00310065" w:rsidRPr="00CB502D">
        <w:t>.</w:t>
      </w:r>
      <w:r w:rsidR="00310065" w:rsidRPr="00CB502D">
        <w:rPr>
          <w:vertAlign w:val="superscript"/>
        </w:rPr>
        <w:footnoteReference w:id="206"/>
      </w:r>
    </w:p>
    <w:p w14:paraId="79926319" w14:textId="77777777" w:rsidR="00005E89" w:rsidRPr="00CB502D" w:rsidRDefault="00005E89" w:rsidP="006D3E87">
      <w:pPr>
        <w:pStyle w:val="00Ahead1-line00Heads"/>
        <w:keepNext w:val="0"/>
        <w:spacing w:before="0" w:line="240" w:lineRule="auto"/>
        <w:rPr>
          <w:rFonts w:ascii="Arial" w:hAnsi="Arial" w:cs="Arial"/>
          <w:b/>
          <w:bCs/>
          <w:sz w:val="22"/>
          <w:szCs w:val="22"/>
        </w:rPr>
      </w:pPr>
    </w:p>
    <w:p w14:paraId="4412928C" w14:textId="77777777" w:rsidR="00A41AD9" w:rsidRPr="00CB502D" w:rsidRDefault="00721378" w:rsidP="006D3E87">
      <w:pPr>
        <w:pStyle w:val="Heading1"/>
        <w:widowControl w:val="0"/>
      </w:pPr>
      <w:bookmarkStart w:id="385" w:name="_Toc335046279"/>
      <w:bookmarkStart w:id="386" w:name="_Toc335046407"/>
      <w:bookmarkStart w:id="387" w:name="_Toc335046663"/>
      <w:bookmarkStart w:id="388" w:name="_Toc335047991"/>
      <w:bookmarkStart w:id="389" w:name="_Toc335046280"/>
      <w:bookmarkStart w:id="390" w:name="_Toc335046408"/>
      <w:bookmarkStart w:id="391" w:name="_Toc335046664"/>
      <w:bookmarkStart w:id="392" w:name="_Toc335047992"/>
      <w:bookmarkStart w:id="393" w:name="_Toc335046281"/>
      <w:bookmarkStart w:id="394" w:name="_Toc335046409"/>
      <w:bookmarkStart w:id="395" w:name="_Toc335046665"/>
      <w:bookmarkStart w:id="396" w:name="_Toc335047993"/>
      <w:bookmarkStart w:id="397" w:name="_Toc335046282"/>
      <w:bookmarkStart w:id="398" w:name="_Toc335046410"/>
      <w:bookmarkStart w:id="399" w:name="_Toc335046666"/>
      <w:bookmarkStart w:id="400" w:name="_Toc335047994"/>
      <w:bookmarkStart w:id="401" w:name="_Toc335046283"/>
      <w:bookmarkStart w:id="402" w:name="_Toc335046411"/>
      <w:bookmarkStart w:id="403" w:name="_Toc335046667"/>
      <w:bookmarkStart w:id="404" w:name="_Toc335047995"/>
      <w:bookmarkStart w:id="405" w:name="_Toc335046284"/>
      <w:bookmarkStart w:id="406" w:name="_Toc335046412"/>
      <w:bookmarkStart w:id="407" w:name="_Toc335046668"/>
      <w:bookmarkStart w:id="408" w:name="_Toc335047996"/>
      <w:bookmarkStart w:id="409" w:name="harmlesserror"/>
      <w:bookmarkStart w:id="410" w:name="_Toc398033848"/>
      <w:bookmarkStart w:id="411" w:name="_Toc223718291"/>
      <w:bookmarkStart w:id="412" w:name="_Toc223718547"/>
      <w:bookmarkStart w:id="413" w:name="_Toc223731937"/>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CB502D">
        <w:t>Harmless Error Analysis</w:t>
      </w:r>
      <w:bookmarkEnd w:id="409"/>
      <w:r w:rsidR="00514BF9" w:rsidRPr="00CB502D">
        <w:t>.</w:t>
      </w:r>
      <w:bookmarkEnd w:id="410"/>
      <w:bookmarkEnd w:id="411"/>
      <w:bookmarkEnd w:id="412"/>
      <w:bookmarkEnd w:id="413"/>
      <w:r w:rsidR="00514BF9" w:rsidRPr="00CB502D">
        <w:t xml:space="preserve"> </w:t>
      </w:r>
    </w:p>
    <w:p w14:paraId="178CE1FF" w14:textId="77777777" w:rsidR="00721378" w:rsidRPr="00CB502D" w:rsidRDefault="00721378" w:rsidP="006D3E87">
      <w:pPr>
        <w:widowControl w:val="0"/>
        <w:ind w:left="720"/>
      </w:pPr>
      <w:r w:rsidRPr="00CB502D">
        <w:t xml:space="preserve">If a </w:t>
      </w:r>
      <w:r w:rsidRPr="00CB502D">
        <w:rPr>
          <w:rStyle w:val="00BTitalic"/>
          <w:rFonts w:ascii="Arial" w:hAnsi="Arial" w:cs="Arial"/>
          <w:szCs w:val="22"/>
        </w:rPr>
        <w:t>Crawford</w:t>
      </w:r>
      <w:r w:rsidRPr="00CB502D">
        <w:t xml:space="preserve"> error occurs at trial, the error is not reversible if the </w:t>
      </w:r>
      <w:r w:rsidR="007C39F3" w:rsidRPr="00CB502D">
        <w:t xml:space="preserve">State </w:t>
      </w:r>
      <w:r w:rsidRPr="00CB502D">
        <w:t>can show that it was harmless beyond a reasonable doubt.</w:t>
      </w:r>
      <w:r w:rsidRPr="00CB502D">
        <w:rPr>
          <w:rStyle w:val="00BTfootnotecallout"/>
          <w:rFonts w:ascii="Arial" w:hAnsi="Arial" w:cs="Arial"/>
        </w:rPr>
        <w:footnoteReference w:id="207"/>
      </w:r>
      <w:r w:rsidRPr="00CB502D">
        <w:t xml:space="preserve"> This rule applies on appeal as well as in </w:t>
      </w:r>
      <w:r w:rsidRPr="00CB502D">
        <w:lastRenderedPageBreak/>
        <w:t>post</w:t>
      </w:r>
      <w:r w:rsidR="00F87C26" w:rsidRPr="00CB502D">
        <w:t>-</w:t>
      </w:r>
      <w:r w:rsidRPr="00CB502D">
        <w:t>conviction proceedings.</w:t>
      </w:r>
      <w:r w:rsidRPr="00CB502D">
        <w:rPr>
          <w:rStyle w:val="00BTfootnotecallout"/>
          <w:rFonts w:ascii="Arial" w:hAnsi="Arial" w:cs="Arial"/>
        </w:rPr>
        <w:footnoteReference w:id="208"/>
      </w:r>
    </w:p>
    <w:p w14:paraId="12C6C503" w14:textId="77777777" w:rsidR="00750880" w:rsidRPr="00CB502D" w:rsidRDefault="00750880" w:rsidP="007479CF"/>
    <w:p w14:paraId="6E80C19A" w14:textId="77777777" w:rsidR="00FD51C0" w:rsidRPr="00CB502D" w:rsidRDefault="00FD51C0" w:rsidP="007479CF"/>
    <w:p w14:paraId="5C903604" w14:textId="77777777" w:rsidR="00097E33" w:rsidRPr="00CB502D" w:rsidRDefault="00097E33" w:rsidP="007479CF"/>
    <w:p w14:paraId="5DBC668A" w14:textId="5925B1EF" w:rsidR="007161F5" w:rsidRPr="00CB502D" w:rsidRDefault="007161F5" w:rsidP="007479CF"/>
    <w:p w14:paraId="162800CF" w14:textId="29CDED04" w:rsidR="007161F5" w:rsidRPr="00CB502D" w:rsidRDefault="007161F5" w:rsidP="007479CF"/>
    <w:p w14:paraId="5C0A8373" w14:textId="3D18BD9A" w:rsidR="007161F5" w:rsidRPr="00CB502D" w:rsidRDefault="007161F5" w:rsidP="007479CF"/>
    <w:p w14:paraId="792E9CC7" w14:textId="512122A8" w:rsidR="007161F5" w:rsidRPr="00CB502D" w:rsidRDefault="007161F5" w:rsidP="007479CF"/>
    <w:p w14:paraId="7F3B6CDB" w14:textId="5C360E9B" w:rsidR="007161F5" w:rsidRPr="00CB502D" w:rsidRDefault="007161F5" w:rsidP="007479CF"/>
    <w:p w14:paraId="20DB2CEC" w14:textId="6041B380" w:rsidR="007161F5" w:rsidRPr="00CB502D" w:rsidRDefault="007161F5" w:rsidP="007479CF"/>
    <w:p w14:paraId="53902C2F" w14:textId="03727559" w:rsidR="007161F5" w:rsidRPr="00CB502D" w:rsidRDefault="007161F5" w:rsidP="007479CF"/>
    <w:p w14:paraId="590C906D" w14:textId="6596EE00" w:rsidR="007161F5" w:rsidRPr="00CB502D" w:rsidRDefault="007161F5" w:rsidP="007479CF"/>
    <w:p w14:paraId="6A356E7C" w14:textId="6C03E9B8" w:rsidR="007161F5" w:rsidRPr="00CB502D" w:rsidRDefault="007161F5" w:rsidP="007479CF"/>
    <w:p w14:paraId="6D2A2191" w14:textId="02892EE4" w:rsidR="007161F5" w:rsidRPr="00CB502D" w:rsidRDefault="007161F5" w:rsidP="007479CF"/>
    <w:p w14:paraId="63D89AE5" w14:textId="6939FA7F" w:rsidR="007161F5" w:rsidRPr="00CB502D" w:rsidRDefault="007161F5" w:rsidP="007479CF"/>
    <w:p w14:paraId="704BD7A4" w14:textId="6A7AE8A5" w:rsidR="007161F5" w:rsidRPr="00CB502D" w:rsidRDefault="007161F5" w:rsidP="007479CF"/>
    <w:p w14:paraId="083BE560" w14:textId="22B7E0E4" w:rsidR="007161F5" w:rsidRPr="00CB502D" w:rsidRDefault="007161F5" w:rsidP="007479CF"/>
    <w:p w14:paraId="033B3E62" w14:textId="0176362F" w:rsidR="007161F5" w:rsidRPr="00CB502D" w:rsidRDefault="007161F5" w:rsidP="007479CF"/>
    <w:p w14:paraId="2F09537C" w14:textId="33784B3D" w:rsidR="007161F5" w:rsidRPr="00CB502D" w:rsidRDefault="007161F5" w:rsidP="007479CF"/>
    <w:p w14:paraId="3781FF25" w14:textId="77777777" w:rsidR="007161F5" w:rsidRDefault="007161F5" w:rsidP="007479CF"/>
    <w:p w14:paraId="437717CF" w14:textId="77777777" w:rsidR="006D733D" w:rsidRDefault="006D733D" w:rsidP="007479CF"/>
    <w:p w14:paraId="086C7C24" w14:textId="77777777" w:rsidR="006D733D" w:rsidRDefault="006D733D" w:rsidP="007479CF"/>
    <w:p w14:paraId="56C506DD" w14:textId="77777777" w:rsidR="006D733D" w:rsidRDefault="006D733D" w:rsidP="007479CF"/>
    <w:p w14:paraId="5F2FDA39" w14:textId="77777777" w:rsidR="006D733D" w:rsidRDefault="006D733D" w:rsidP="007479CF"/>
    <w:p w14:paraId="59E954FD" w14:textId="77777777" w:rsidR="006D733D" w:rsidRDefault="006D733D" w:rsidP="007479CF"/>
    <w:p w14:paraId="0FBA4048" w14:textId="77777777" w:rsidR="006D733D" w:rsidRDefault="006D733D" w:rsidP="007479CF"/>
    <w:p w14:paraId="0D5557E2" w14:textId="77777777" w:rsidR="006D733D" w:rsidRDefault="006D733D" w:rsidP="007479CF"/>
    <w:p w14:paraId="491A610E" w14:textId="77777777" w:rsidR="006D733D" w:rsidRDefault="006D733D" w:rsidP="007479CF"/>
    <w:p w14:paraId="664AA3DA" w14:textId="77777777" w:rsidR="006D733D" w:rsidRDefault="006D733D" w:rsidP="007479CF"/>
    <w:p w14:paraId="497C3AEF" w14:textId="77777777" w:rsidR="006D733D" w:rsidRDefault="006D733D" w:rsidP="007479CF"/>
    <w:p w14:paraId="65404DDC" w14:textId="77777777" w:rsidR="006D733D" w:rsidRDefault="006D733D" w:rsidP="007479CF"/>
    <w:p w14:paraId="3363E9ED" w14:textId="77777777" w:rsidR="006D733D" w:rsidRDefault="006D733D" w:rsidP="007479CF"/>
    <w:p w14:paraId="1C1BCD77" w14:textId="77777777" w:rsidR="006D733D" w:rsidRDefault="006D733D" w:rsidP="007479CF"/>
    <w:p w14:paraId="0D3119AA" w14:textId="77777777" w:rsidR="006D733D" w:rsidRDefault="006D733D" w:rsidP="007479CF"/>
    <w:p w14:paraId="658F7EDD" w14:textId="77777777" w:rsidR="006D733D" w:rsidRDefault="006D733D" w:rsidP="007479CF"/>
    <w:p w14:paraId="7E4D1765" w14:textId="77777777" w:rsidR="006D733D" w:rsidRDefault="006D733D" w:rsidP="007479CF"/>
    <w:p w14:paraId="5F90C4F4" w14:textId="77777777" w:rsidR="006D733D" w:rsidRDefault="006D733D" w:rsidP="007479CF"/>
    <w:p w14:paraId="794ECDC8" w14:textId="77777777" w:rsidR="006D733D" w:rsidRDefault="006D733D" w:rsidP="007479CF"/>
    <w:p w14:paraId="6C8382A1" w14:textId="77777777" w:rsidR="00005E89" w:rsidRDefault="00005E89" w:rsidP="007479CF"/>
    <w:p w14:paraId="3EC23689" w14:textId="77777777" w:rsidR="00005E89" w:rsidRDefault="00005E89" w:rsidP="007479CF"/>
    <w:p w14:paraId="5DB9ED32" w14:textId="77777777" w:rsidR="00005E89" w:rsidRDefault="00005E89" w:rsidP="007479CF"/>
    <w:p w14:paraId="25B9D66C" w14:textId="77777777" w:rsidR="00005E89" w:rsidRDefault="00005E89" w:rsidP="007479CF"/>
    <w:p w14:paraId="3EFB9F88" w14:textId="77777777" w:rsidR="00005E89" w:rsidRDefault="00005E89" w:rsidP="007479CF"/>
    <w:p w14:paraId="0959167E" w14:textId="77777777" w:rsidR="00097E33" w:rsidRPr="00CB502D" w:rsidRDefault="00097E33" w:rsidP="007479CF"/>
    <w:p w14:paraId="39C084F0" w14:textId="08CA8CE1" w:rsidR="003A3638" w:rsidRPr="003A3638" w:rsidRDefault="00C719FC" w:rsidP="003A3638">
      <w:pPr>
        <w:jc w:val="center"/>
        <w:rPr>
          <w:rFonts w:cs="Arial"/>
          <w:sz w:val="16"/>
          <w:szCs w:val="16"/>
        </w:rPr>
      </w:pPr>
      <w:r w:rsidRPr="00CB502D">
        <w:rPr>
          <w:rFonts w:cs="Arial"/>
          <w:sz w:val="16"/>
          <w:szCs w:val="16"/>
        </w:rPr>
        <w:t xml:space="preserve">© </w:t>
      </w:r>
      <w:r w:rsidR="0028655B" w:rsidRPr="00CB502D">
        <w:rPr>
          <w:rFonts w:cs="Arial"/>
          <w:sz w:val="16"/>
          <w:szCs w:val="16"/>
        </w:rPr>
        <w:t>20</w:t>
      </w:r>
      <w:r w:rsidR="00DB0BDA">
        <w:rPr>
          <w:rFonts w:cs="Arial"/>
          <w:sz w:val="16"/>
          <w:szCs w:val="16"/>
        </w:rPr>
        <w:t>26</w:t>
      </w:r>
      <w:r w:rsidR="00A41AD9" w:rsidRPr="00CB502D">
        <w:rPr>
          <w:rFonts w:cs="Arial"/>
          <w:sz w:val="16"/>
          <w:szCs w:val="16"/>
        </w:rPr>
        <w:t xml:space="preserve"> </w:t>
      </w:r>
      <w:r w:rsidR="003A3638" w:rsidRPr="00CB502D">
        <w:rPr>
          <w:rFonts w:cs="Arial"/>
          <w:sz w:val="16"/>
          <w:szCs w:val="16"/>
        </w:rPr>
        <w:t xml:space="preserve">School of Government </w:t>
      </w:r>
      <w:proofErr w:type="gramStart"/>
      <w:r w:rsidR="003A3638" w:rsidRPr="00CB502D">
        <w:rPr>
          <w:rFonts w:cs="Arial"/>
          <w:sz w:val="16"/>
          <w:szCs w:val="16"/>
        </w:rPr>
        <w:t>The</w:t>
      </w:r>
      <w:proofErr w:type="gramEnd"/>
      <w:r w:rsidR="003A3638" w:rsidRPr="00CB502D">
        <w:rPr>
          <w:rFonts w:cs="Arial"/>
          <w:sz w:val="16"/>
          <w:szCs w:val="16"/>
        </w:rPr>
        <w:t xml:space="preserve"> University of North Carolina at Chapel Hill. This document may not be copied or posted online, nor transmitted, in printed or electronic form, without the written permission of the School of Government, except as allowed by fair use under United States copyright law. For questions about use of the document and permission for copying, contact the School of Government at </w:t>
      </w:r>
      <w:hyperlink r:id="rId9" w:history="1">
        <w:r w:rsidR="003A3638" w:rsidRPr="00CB502D">
          <w:rPr>
            <w:rStyle w:val="Hyperlink"/>
            <w:rFonts w:cs="Arial"/>
            <w:sz w:val="16"/>
            <w:szCs w:val="16"/>
          </w:rPr>
          <w:t>sales@sog.unc.edu</w:t>
        </w:r>
      </w:hyperlink>
      <w:r w:rsidR="003A3638" w:rsidRPr="00CB502D">
        <w:rPr>
          <w:rFonts w:cs="Arial"/>
          <w:sz w:val="16"/>
          <w:szCs w:val="16"/>
        </w:rPr>
        <w:t xml:space="preserve"> or call 919.966.4119.</w:t>
      </w:r>
    </w:p>
    <w:sectPr w:rsidR="003A3638" w:rsidRPr="003A3638" w:rsidSect="00972203">
      <w:headerReference w:type="default" r:id="rId10"/>
      <w:footerReference w:type="default" r:id="rId11"/>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8CAFB" w14:textId="77777777" w:rsidR="00E049FA" w:rsidRDefault="00E049FA" w:rsidP="00721378">
      <w:r>
        <w:separator/>
      </w:r>
    </w:p>
  </w:endnote>
  <w:endnote w:type="continuationSeparator" w:id="0">
    <w:p w14:paraId="07F9B66D" w14:textId="77777777" w:rsidR="00E049FA" w:rsidRDefault="00E049FA" w:rsidP="0072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20B0604020202020204"/>
    <w:charset w:val="4D"/>
    <w:family w:val="auto"/>
    <w:notTrueType/>
    <w:pitch w:val="default"/>
    <w:sig w:usb0="00000003" w:usb1="00000000" w:usb2="00000000" w:usb3="00000000" w:csb0="00000001" w:csb1="00000000"/>
  </w:font>
  <w:font w:name="MyriadPro-SemiboldSemiCn">
    <w:altName w:val="Arial"/>
    <w:panose1 w:val="020B0604020202020204"/>
    <w:charset w:val="4D"/>
    <w:family w:val="auto"/>
    <w:notTrueType/>
    <w:pitch w:val="default"/>
    <w:sig w:usb0="00000003" w:usb1="00000000" w:usb2="00000000" w:usb3="00000000" w:csb0="00000001" w:csb1="00000000"/>
  </w:font>
  <w:font w:name="MyriadPro-SemiCn">
    <w:altName w:val="Arial"/>
    <w:panose1 w:val="020B0604020202020204"/>
    <w:charset w:val="4D"/>
    <w:family w:val="auto"/>
    <w:notTrueType/>
    <w:pitch w:val="default"/>
    <w:sig w:usb0="00000003" w:usb1="00000000" w:usb2="00000000" w:usb3="00000000" w:csb0="00000001" w:csb1="00000000"/>
  </w:font>
  <w:font w:name="MyriadPro-SemiCnIt">
    <w:altName w:val="Arial"/>
    <w:panose1 w:val="020B0604020202020204"/>
    <w:charset w:val="4D"/>
    <w:family w:val="auto"/>
    <w:notTrueType/>
    <w:pitch w:val="default"/>
    <w:sig w:usb0="00000003" w:usb1="00000000" w:usb2="00000000" w:usb3="00000000" w:csb0="00000001" w:csb1="00000000"/>
  </w:font>
  <w:font w:name="WarnockPro-Regular">
    <w:altName w:val="Calibri"/>
    <w:panose1 w:val="020B0604020202020204"/>
    <w:charset w:val="4D"/>
    <w:family w:val="auto"/>
    <w:notTrueType/>
    <w:pitch w:val="default"/>
    <w:sig w:usb0="00000003" w:usb1="00000000" w:usb2="00000000" w:usb3="00000000" w:csb0="00000001" w:csb1="00000000"/>
  </w:font>
  <w:font w:name="MyriadPro-SemiboldSemiCnIt">
    <w:altName w:val="Arial"/>
    <w:panose1 w:val="020B0604020202020204"/>
    <w:charset w:val="4D"/>
    <w:family w:val="auto"/>
    <w:notTrueType/>
    <w:pitch w:val="default"/>
    <w:sig w:usb0="00000003" w:usb1="00000000" w:usb2="00000000" w:usb3="00000000" w:csb0="00000001" w:csb1="00000000"/>
  </w:font>
  <w:font w:name="WarnockPro-It">
    <w:altName w:val="Calibri"/>
    <w:panose1 w:val="020B0604020202020204"/>
    <w:charset w:val="4D"/>
    <w:family w:val="auto"/>
    <w:notTrueType/>
    <w:pitch w:val="default"/>
    <w:sig w:usb0="00000003" w:usb1="00000000" w:usb2="00000000" w:usb3="00000000" w:csb0="00000001" w:csb1="00000000"/>
  </w:font>
  <w:font w:name="Myriad Web Pro">
    <w:altName w:val="Corbel"/>
    <w:panose1 w:val="020B0604020202020204"/>
    <w:charset w:val="00"/>
    <w:family w:val="swiss"/>
    <w:pitch w:val="variable"/>
    <w:sig w:usb0="8000002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Headings)">
    <w:altName w:val="Calibri"/>
    <w:panose1 w:val="020B0604020202020204"/>
    <w:charset w:val="00"/>
    <w:family w:val="roman"/>
    <w:pitch w:val="default"/>
  </w:font>
  <w:font w:name="Times New Roman (Body CS)">
    <w:altName w:val="Times New Roman"/>
    <w:panose1 w:val="020B0604020202020204"/>
    <w:charset w:val="00"/>
    <w:family w:val="roman"/>
    <w:pitch w:val="default"/>
  </w:font>
  <w:font w:name="Warnock Pro">
    <w:altName w:val="Cambria"/>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6"/>
        <w:szCs w:val="16"/>
      </w:rPr>
      <w:id w:val="754938885"/>
      <w:docPartObj>
        <w:docPartGallery w:val="Page Numbers (Bottom of Page)"/>
        <w:docPartUnique/>
      </w:docPartObj>
    </w:sdtPr>
    <w:sdtEndPr>
      <w:rPr>
        <w:noProof/>
      </w:rPr>
    </w:sdtEndPr>
    <w:sdtContent>
      <w:p w14:paraId="2B78ADE4" w14:textId="174DC762" w:rsidR="00CB502D" w:rsidRPr="00E11D42" w:rsidRDefault="00CB502D">
        <w:pPr>
          <w:pStyle w:val="Footer"/>
          <w:jc w:val="center"/>
          <w:rPr>
            <w:rFonts w:cs="Arial"/>
            <w:sz w:val="16"/>
            <w:szCs w:val="16"/>
          </w:rPr>
        </w:pPr>
        <w:r w:rsidRPr="00E11D42">
          <w:rPr>
            <w:rFonts w:cs="Arial"/>
            <w:i/>
            <w:sz w:val="16"/>
            <w:szCs w:val="16"/>
          </w:rPr>
          <w:t>Crawford</w:t>
        </w:r>
        <w:r w:rsidRPr="00E11D42">
          <w:rPr>
            <w:rFonts w:cs="Arial"/>
            <w:sz w:val="16"/>
            <w:szCs w:val="16"/>
          </w:rPr>
          <w:t xml:space="preserve"> </w:t>
        </w:r>
        <w:r>
          <w:rPr>
            <w:rFonts w:cs="Arial"/>
            <w:sz w:val="16"/>
            <w:szCs w:val="16"/>
          </w:rPr>
          <w:t>&amp; the Confrontation Clause</w:t>
        </w:r>
        <w:r w:rsidRPr="00E11D42">
          <w:rPr>
            <w:rFonts w:cs="Arial"/>
            <w:sz w:val="16"/>
            <w:szCs w:val="16"/>
          </w:rPr>
          <w:t xml:space="preserve">- </w:t>
        </w:r>
        <w:r w:rsidRPr="00E11D42">
          <w:rPr>
            <w:rFonts w:cs="Arial"/>
            <w:sz w:val="16"/>
            <w:szCs w:val="16"/>
          </w:rPr>
          <w:fldChar w:fldCharType="begin"/>
        </w:r>
        <w:r w:rsidRPr="00E11D42">
          <w:rPr>
            <w:rFonts w:cs="Arial"/>
            <w:sz w:val="16"/>
            <w:szCs w:val="16"/>
          </w:rPr>
          <w:instrText xml:space="preserve"> PAGE   \* MERGEFORMAT </w:instrText>
        </w:r>
        <w:r w:rsidRPr="00E11D42">
          <w:rPr>
            <w:rFonts w:cs="Arial"/>
            <w:sz w:val="16"/>
            <w:szCs w:val="16"/>
          </w:rPr>
          <w:fldChar w:fldCharType="separate"/>
        </w:r>
        <w:r w:rsidR="008E5634">
          <w:rPr>
            <w:rFonts w:cs="Arial"/>
            <w:noProof/>
            <w:sz w:val="16"/>
            <w:szCs w:val="16"/>
          </w:rPr>
          <w:t>6</w:t>
        </w:r>
        <w:r w:rsidRPr="00E11D42">
          <w:rPr>
            <w:rFonts w:cs="Arial"/>
            <w:noProof/>
            <w:sz w:val="16"/>
            <w:szCs w:val="16"/>
          </w:rPr>
          <w:fldChar w:fldCharType="end"/>
        </w:r>
      </w:p>
    </w:sdtContent>
  </w:sdt>
  <w:p w14:paraId="4FB3C89D" w14:textId="77777777" w:rsidR="00CB502D" w:rsidRDefault="00CB5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C6536" w14:textId="77777777" w:rsidR="00E049FA" w:rsidRDefault="00E049FA" w:rsidP="00721378">
      <w:r>
        <w:separator/>
      </w:r>
    </w:p>
  </w:footnote>
  <w:footnote w:type="continuationSeparator" w:id="0">
    <w:p w14:paraId="5E910BB6" w14:textId="77777777" w:rsidR="00E049FA" w:rsidRDefault="00E049FA" w:rsidP="00721378">
      <w:r>
        <w:continuationSeparator/>
      </w:r>
    </w:p>
  </w:footnote>
  <w:footnote w:id="1">
    <w:p w14:paraId="5AA44F9B" w14:textId="76F3E144" w:rsidR="00CB502D" w:rsidRPr="00CB502D" w:rsidRDefault="00CB502D" w:rsidP="006906C0">
      <w:pPr>
        <w:pStyle w:val="FootnoteText"/>
      </w:pPr>
      <w:r w:rsidRPr="00CB502D">
        <w:footnoteRef/>
      </w:r>
      <w:r w:rsidRPr="00CB502D">
        <w:rPr>
          <w:rStyle w:val="FootnoteSmallCaps"/>
          <w:rFonts w:ascii="Arial" w:hAnsi="Arial" w:cs="Arial"/>
          <w:sz w:val="18"/>
          <w:szCs w:val="18"/>
        </w:rPr>
        <w:t xml:space="preserve">. </w:t>
      </w:r>
      <w:r w:rsidRPr="001E7C4E">
        <w:rPr>
          <w:smallCaps/>
        </w:rPr>
        <w:t>U.S. Const. amend. VI.</w:t>
      </w:r>
    </w:p>
  </w:footnote>
  <w:footnote w:id="2">
    <w:p w14:paraId="6C8EC98B" w14:textId="77777777" w:rsidR="00CB502D" w:rsidRPr="00CB502D" w:rsidRDefault="00CB502D" w:rsidP="006906C0">
      <w:pPr>
        <w:pStyle w:val="FootnoteText"/>
      </w:pPr>
      <w:r w:rsidRPr="00CB502D">
        <w:footnoteRef/>
      </w:r>
      <w:r w:rsidRPr="00CB502D">
        <w:t>. Melendez-Diaz v. Massachusetts, 557 U.S. 305, 309 (2009).</w:t>
      </w:r>
    </w:p>
  </w:footnote>
  <w:footnote w:id="3">
    <w:p w14:paraId="3CD6CA57" w14:textId="77777777" w:rsidR="00CB502D" w:rsidRPr="00CB502D" w:rsidRDefault="00CB502D" w:rsidP="006906C0">
      <w:pPr>
        <w:pStyle w:val="FootnoteText"/>
      </w:pPr>
      <w:r w:rsidRPr="00CB502D">
        <w:rPr>
          <w:rStyle w:val="FootnoteReference"/>
          <w:rFonts w:cs="Arial"/>
          <w:szCs w:val="18"/>
          <w:vertAlign w:val="baseline"/>
        </w:rPr>
        <w:footnoteRef/>
      </w:r>
      <w:r w:rsidRPr="00CB502D">
        <w:t>. 541 U.S. 36 (2004).</w:t>
      </w:r>
    </w:p>
  </w:footnote>
  <w:footnote w:id="4">
    <w:p w14:paraId="171D345D" w14:textId="77777777" w:rsidR="00CB502D" w:rsidRPr="00CB502D" w:rsidRDefault="00CB502D" w:rsidP="006906C0">
      <w:pPr>
        <w:pStyle w:val="FootnoteText"/>
      </w:pPr>
      <w:r w:rsidRPr="00CB502D">
        <w:footnoteRef/>
      </w:r>
      <w:r w:rsidRPr="00CB502D">
        <w:t>. 448 U.S. 56 (1980).</w:t>
      </w:r>
    </w:p>
  </w:footnote>
  <w:footnote w:id="5">
    <w:p w14:paraId="566E9592" w14:textId="77777777" w:rsidR="00CB502D" w:rsidRPr="00CB502D" w:rsidRDefault="00CB502D" w:rsidP="006906C0">
      <w:pPr>
        <w:pStyle w:val="FootnoteText"/>
      </w:pPr>
      <w:r w:rsidRPr="00CB502D">
        <w:footnoteRef/>
      </w:r>
      <w:r w:rsidRPr="00CB502D">
        <w:t xml:space="preserve">. </w:t>
      </w:r>
      <w:r w:rsidRPr="00CB502D">
        <w:rPr>
          <w:rStyle w:val="FootnoteItalic"/>
          <w:rFonts w:ascii="Arial" w:hAnsi="Arial" w:cs="Arial"/>
          <w:sz w:val="18"/>
          <w:szCs w:val="18"/>
        </w:rPr>
        <w:t>Crawford</w:t>
      </w:r>
      <w:r w:rsidRPr="00CB502D">
        <w:t xml:space="preserve">, 541 U.S. at 40 (quotation omitted) (describing the </w:t>
      </w:r>
      <w:r w:rsidRPr="00CB502D">
        <w:rPr>
          <w:rStyle w:val="FootnoteItalic"/>
          <w:rFonts w:ascii="Arial" w:hAnsi="Arial" w:cs="Arial"/>
          <w:sz w:val="18"/>
          <w:szCs w:val="18"/>
        </w:rPr>
        <w:t xml:space="preserve">Roberts </w:t>
      </w:r>
      <w:r w:rsidRPr="00CB502D">
        <w:t>test).</w:t>
      </w:r>
    </w:p>
  </w:footnote>
  <w:footnote w:id="6">
    <w:p w14:paraId="6B6CEE4F" w14:textId="77777777" w:rsidR="00CB502D" w:rsidRPr="00CB502D" w:rsidRDefault="00CB502D" w:rsidP="006906C0">
      <w:pPr>
        <w:pStyle w:val="FootnoteText"/>
      </w:pPr>
      <w:r w:rsidRPr="00CB502D">
        <w:footnoteRef/>
      </w:r>
      <w:r w:rsidRPr="00CB502D">
        <w:t xml:space="preserve">. </w:t>
      </w:r>
      <w:r w:rsidRPr="00CB502D">
        <w:rPr>
          <w:rStyle w:val="FootnoteItalic"/>
          <w:rFonts w:ascii="Arial" w:hAnsi="Arial" w:cs="Arial"/>
          <w:sz w:val="18"/>
          <w:szCs w:val="18"/>
        </w:rPr>
        <w:t>Id</w:t>
      </w:r>
      <w:r w:rsidRPr="00CB502D">
        <w:t>.</w:t>
      </w:r>
    </w:p>
  </w:footnote>
  <w:footnote w:id="7">
    <w:p w14:paraId="4CFF3898" w14:textId="77777777" w:rsidR="00CB502D" w:rsidRPr="00CB502D" w:rsidRDefault="00CB502D" w:rsidP="006906C0">
      <w:pPr>
        <w:pStyle w:val="FootnoteText"/>
      </w:pPr>
      <w:r w:rsidRPr="00CB502D">
        <w:footnoteRef/>
      </w:r>
      <w:r w:rsidRPr="00CB502D">
        <w:t>.</w:t>
      </w:r>
      <w:r w:rsidRPr="00CB502D">
        <w:rPr>
          <w:rStyle w:val="FootnoteItalic"/>
          <w:rFonts w:ascii="Arial" w:hAnsi="Arial" w:cs="Arial"/>
          <w:sz w:val="18"/>
          <w:szCs w:val="18"/>
        </w:rPr>
        <w:t xml:space="preserve"> Id</w:t>
      </w:r>
      <w:r w:rsidRPr="00CB502D">
        <w:t>. at 61.</w:t>
      </w:r>
    </w:p>
  </w:footnote>
  <w:footnote w:id="8">
    <w:p w14:paraId="762B0EA2" w14:textId="77777777" w:rsidR="00CB502D" w:rsidRPr="00CB502D" w:rsidRDefault="00CB502D" w:rsidP="006906C0">
      <w:pPr>
        <w:pStyle w:val="FootnoteText"/>
      </w:pPr>
      <w:r w:rsidRPr="00CB502D">
        <w:footnoteRef/>
      </w:r>
      <w:r w:rsidRPr="00CB502D">
        <w:t xml:space="preserve">. </w:t>
      </w:r>
      <w:r w:rsidRPr="00CB502D">
        <w:rPr>
          <w:rStyle w:val="FootnoteItalic"/>
          <w:rFonts w:ascii="Arial" w:hAnsi="Arial" w:cs="Arial"/>
          <w:sz w:val="18"/>
          <w:szCs w:val="18"/>
        </w:rPr>
        <w:t>Id</w:t>
      </w:r>
      <w:r w:rsidRPr="00CB502D">
        <w:t>.</w:t>
      </w:r>
    </w:p>
  </w:footnote>
  <w:footnote w:id="9">
    <w:p w14:paraId="6CDD60DF" w14:textId="5949DAB2" w:rsidR="00CB502D" w:rsidRPr="00CB502D" w:rsidRDefault="00CB502D" w:rsidP="006906C0">
      <w:pPr>
        <w:pStyle w:val="FootnoteText"/>
      </w:pPr>
      <w:r w:rsidRPr="00CB502D">
        <w:footnoteRef/>
      </w:r>
      <w:r w:rsidRPr="00CB502D">
        <w:t xml:space="preserve">. </w:t>
      </w:r>
      <w:r w:rsidRPr="00CB502D">
        <w:rPr>
          <w:i/>
        </w:rPr>
        <w:t xml:space="preserve">Id. </w:t>
      </w:r>
      <w:r w:rsidRPr="00CB502D">
        <w:t>at 68.</w:t>
      </w:r>
    </w:p>
  </w:footnote>
  <w:footnote w:id="10">
    <w:p w14:paraId="03DA4D51" w14:textId="3CC7352F" w:rsidR="00CB502D" w:rsidRPr="00CB502D" w:rsidRDefault="00CB502D" w:rsidP="00531CD5">
      <w:pPr>
        <w:pStyle w:val="FootnoteText"/>
      </w:pPr>
      <w:r w:rsidRPr="00CB502D">
        <w:rPr>
          <w:rStyle w:val="FootnoteReference"/>
          <w:vertAlign w:val="baseline"/>
        </w:rPr>
        <w:footnoteRef/>
      </w:r>
      <w:r w:rsidRPr="00CB502D">
        <w:t xml:space="preserve">. When no out-of-court statement is offered, the </w:t>
      </w:r>
      <w:r w:rsidR="00AE664A">
        <w:t>Confrontation Clause</w:t>
      </w:r>
      <w:r w:rsidRPr="00CB502D">
        <w:t xml:space="preserve"> is not implicated. State v. Carter, 237 N.C. App. 274, 280-81 (2014) (where the defendant failed to identify any testimony by the investigating officer that repeated an out-of-court statement of the confidential source, the defendant’s </w:t>
      </w:r>
      <w:r w:rsidR="00AE664A">
        <w:t>Confrontation Clause</w:t>
      </w:r>
      <w:r w:rsidRPr="00CB502D">
        <w:t xml:space="preserve"> argument was without merit).</w:t>
      </w:r>
    </w:p>
  </w:footnote>
  <w:footnote w:id="11">
    <w:p w14:paraId="68D4CB1B" w14:textId="5974DD90" w:rsidR="00CB502D" w:rsidRPr="00CB502D" w:rsidRDefault="00CB502D" w:rsidP="008052E3">
      <w:pPr>
        <w:pStyle w:val="FootnoteText"/>
      </w:pPr>
      <w:r w:rsidRPr="00CB502D">
        <w:rPr>
          <w:rStyle w:val="FootnoteReference"/>
          <w:rFonts w:cs="Arial"/>
          <w:szCs w:val="18"/>
          <w:vertAlign w:val="baseline"/>
        </w:rPr>
        <w:footnoteRef/>
      </w:r>
      <w:r w:rsidRPr="00CB502D">
        <w:rPr>
          <w:i/>
        </w:rPr>
        <w:t xml:space="preserve">. Crawford, </w:t>
      </w:r>
      <w:r w:rsidRPr="00CB502D">
        <w:t xml:space="preserve">541 U.S. at 59 n.9 (“The [Confrontation] Clause . . . does not bar the use of testimonial statements for purposes </w:t>
      </w:r>
      <w:r w:rsidRPr="00CB502D">
        <w:rPr>
          <w:i/>
        </w:rPr>
        <w:t>other than</w:t>
      </w:r>
      <w:r w:rsidRPr="00CB502D">
        <w:t xml:space="preserve"> establishing the truth of the matter asserted.” (emphasis added)).</w:t>
      </w:r>
    </w:p>
  </w:footnote>
  <w:footnote w:id="12">
    <w:p w14:paraId="4680AADE" w14:textId="320C4602" w:rsidR="00CB502D" w:rsidRPr="00CB502D" w:rsidRDefault="00CB502D" w:rsidP="00E84EC2">
      <w:pPr>
        <w:pStyle w:val="FootnoteText"/>
      </w:pPr>
      <w:r w:rsidRPr="00CB502D">
        <w:rPr>
          <w:rStyle w:val="FootnoteReference"/>
          <w:rFonts w:cs="Arial"/>
          <w:szCs w:val="18"/>
          <w:vertAlign w:val="baseline"/>
        </w:rPr>
        <w:footnoteRef/>
      </w:r>
      <w:r w:rsidRPr="00CB502D">
        <w:t xml:space="preserve">. </w:t>
      </w:r>
      <w:r w:rsidRPr="00CB502D">
        <w:rPr>
          <w:smallCaps/>
        </w:rPr>
        <w:t>N.C. R</w:t>
      </w:r>
      <w:r w:rsidRPr="00CB502D">
        <w:t xml:space="preserve">. </w:t>
      </w:r>
      <w:r w:rsidRPr="00CB502D">
        <w:rPr>
          <w:smallCaps/>
        </w:rPr>
        <w:t>Evid</w:t>
      </w:r>
      <w:r w:rsidRPr="00CB502D">
        <w:t>. 801(c).</w:t>
      </w:r>
      <w:r w:rsidR="00ED730F">
        <w:t xml:space="preserve"> Nontestimonial hearsay statements do not implicate the Confrontation </w:t>
      </w:r>
      <w:r w:rsidR="00AE664A">
        <w:t>C</w:t>
      </w:r>
      <w:r w:rsidR="00ED730F">
        <w:t>lause and are controlled solely by the evidence rules.</w:t>
      </w:r>
    </w:p>
  </w:footnote>
  <w:footnote w:id="13">
    <w:p w14:paraId="5127DB3E" w14:textId="0F5974EE" w:rsidR="00CB502D" w:rsidRPr="00CB502D" w:rsidRDefault="00CB502D" w:rsidP="00E84EC2">
      <w:pPr>
        <w:pStyle w:val="FootnoteText"/>
      </w:pPr>
      <w:r w:rsidRPr="00CB502D">
        <w:rPr>
          <w:rStyle w:val="FootnoteReference"/>
          <w:rFonts w:cs="Arial"/>
          <w:szCs w:val="18"/>
          <w:vertAlign w:val="baseline"/>
        </w:rPr>
        <w:footnoteRef/>
      </w:r>
      <w:r w:rsidRPr="00CB502D">
        <w:t xml:space="preserve">. </w:t>
      </w:r>
      <w:r w:rsidRPr="00CB502D">
        <w:rPr>
          <w:i/>
        </w:rPr>
        <w:t>Crawford</w:t>
      </w:r>
      <w:r w:rsidRPr="00CB502D">
        <w:t>, 541 U.S. at 50-51</w:t>
      </w:r>
      <w:r w:rsidR="00BC20B6">
        <w:t>, 61</w:t>
      </w:r>
      <w:r w:rsidRPr="00CB502D">
        <w:t xml:space="preserve"> (</w:t>
      </w:r>
      <w:r w:rsidR="00BC20B6">
        <w:t xml:space="preserve">overruling the Court’s prior approach under </w:t>
      </w:r>
      <w:r w:rsidR="00BC20B6">
        <w:rPr>
          <w:i/>
          <w:iCs/>
        </w:rPr>
        <w:t xml:space="preserve">Ohio v. </w:t>
      </w:r>
      <w:r w:rsidR="00BC20B6" w:rsidRPr="00BC20B6">
        <w:rPr>
          <w:i/>
          <w:iCs/>
        </w:rPr>
        <w:t>Roberts</w:t>
      </w:r>
      <w:r w:rsidR="00BC20B6">
        <w:t xml:space="preserve"> where</w:t>
      </w:r>
      <w:r w:rsidRPr="00CB502D">
        <w:t xml:space="preserve"> confrontation analysis depend</w:t>
      </w:r>
      <w:r w:rsidR="00BC20B6">
        <w:t>ed</w:t>
      </w:r>
      <w:r w:rsidRPr="00CB502D">
        <w:t xml:space="preserve"> on </w:t>
      </w:r>
      <w:r w:rsidR="00BC20B6">
        <w:t xml:space="preserve">hearsay exceptions under </w:t>
      </w:r>
      <w:r w:rsidRPr="00CB502D">
        <w:t>the law of evidence</w:t>
      </w:r>
      <w:r w:rsidR="00BC20B6">
        <w:t xml:space="preserve">; </w:t>
      </w:r>
      <w:r w:rsidR="00BC20B6" w:rsidRPr="00CB502D">
        <w:t>the Framers did not intend to leave the Sixth Amendment protection “to the vagaries of the rules of evidence”</w:t>
      </w:r>
      <w:r w:rsidRPr="00CB502D">
        <w:t>).</w:t>
      </w:r>
    </w:p>
  </w:footnote>
  <w:footnote w:id="14">
    <w:p w14:paraId="0F7F57DA" w14:textId="7BCF05D7" w:rsidR="00CB502D" w:rsidRPr="00CB502D" w:rsidRDefault="00CB502D">
      <w:pPr>
        <w:pStyle w:val="FootnoteText"/>
      </w:pPr>
      <w:r w:rsidRPr="00CB502D">
        <w:rPr>
          <w:rStyle w:val="FootnoteReference"/>
          <w:szCs w:val="18"/>
          <w:vertAlign w:val="baseline"/>
        </w:rPr>
        <w:footnoteRef/>
      </w:r>
      <w:r w:rsidRPr="00CB502D">
        <w:t xml:space="preserve">. Ohio v. Clark, </w:t>
      </w:r>
      <w:r w:rsidR="00B27BED">
        <w:t>576</w:t>
      </w:r>
      <w:r w:rsidR="00B27BED" w:rsidRPr="00CB502D">
        <w:t xml:space="preserve"> </w:t>
      </w:r>
      <w:r w:rsidRPr="00CB502D">
        <w:t xml:space="preserve">U.S. </w:t>
      </w:r>
      <w:r w:rsidR="00F13D6F">
        <w:t xml:space="preserve">237, </w:t>
      </w:r>
      <w:r w:rsidR="005C60D9">
        <w:t>245</w:t>
      </w:r>
      <w:r w:rsidRPr="00CB502D">
        <w:t xml:space="preserve"> (2015) (quoting Michigan v. Bryant, 562 U.S. 344, 358-59 (2011)).</w:t>
      </w:r>
      <w:r w:rsidR="00BC20B6">
        <w:t xml:space="preserve"> </w:t>
      </w:r>
    </w:p>
  </w:footnote>
  <w:footnote w:id="15">
    <w:p w14:paraId="235A0763" w14:textId="01E44684" w:rsidR="00CB502D" w:rsidRPr="00CB502D" w:rsidRDefault="00CB502D" w:rsidP="00C6660A">
      <w:pPr>
        <w:pStyle w:val="FootnoteText"/>
      </w:pPr>
      <w:r w:rsidRPr="00CB502D">
        <w:footnoteRef/>
      </w:r>
      <w:r w:rsidRPr="00CB502D">
        <w:t>.</w:t>
      </w:r>
      <w:r w:rsidRPr="00CB502D">
        <w:rPr>
          <w:i/>
        </w:rPr>
        <w:t xml:space="preserve"> Crawford, </w:t>
      </w:r>
      <w:r w:rsidRPr="00CB502D">
        <w:t>541 U.S. at 59 n.9 (“The [Confrontation] Clause . . . does not bar the use of testimonial statements for purposes other than establishing the truth of the matter asserted.”).</w:t>
      </w:r>
    </w:p>
  </w:footnote>
  <w:footnote w:id="16">
    <w:p w14:paraId="4FDA157D" w14:textId="3F0F2C78" w:rsidR="00CB502D" w:rsidRPr="00CB502D" w:rsidRDefault="00CB502D" w:rsidP="006906C0">
      <w:pPr>
        <w:pStyle w:val="FootnoteText"/>
      </w:pPr>
      <w:r w:rsidRPr="00CB502D">
        <w:rPr>
          <w:rStyle w:val="FootnoteReference"/>
          <w:rFonts w:cs="Arial"/>
          <w:szCs w:val="18"/>
          <w:vertAlign w:val="baseline"/>
        </w:rPr>
        <w:footnoteRef/>
      </w:r>
      <w:r w:rsidRPr="00CB502D">
        <w:t xml:space="preserve">. Five Justices agreed on this issue in </w:t>
      </w:r>
      <w:r w:rsidRPr="00CB502D">
        <w:rPr>
          <w:i/>
        </w:rPr>
        <w:t>Williams v. Illinois</w:t>
      </w:r>
      <w:r w:rsidRPr="00CB502D">
        <w:t xml:space="preserve">, 567 U.S. 50 (2012); </w:t>
      </w:r>
      <w:r w:rsidRPr="00CB502D">
        <w:rPr>
          <w:i/>
        </w:rPr>
        <w:t>id.</w:t>
      </w:r>
      <w:r w:rsidRPr="00CB502D">
        <w:t xml:space="preserve"> at 105-06 (Thomas, J., concurring) (calling this a “</w:t>
      </w:r>
      <w:r w:rsidRPr="00CB502D">
        <w:rPr>
          <w:i/>
        </w:rPr>
        <w:t>legitimate</w:t>
      </w:r>
      <w:r w:rsidRPr="00CB502D">
        <w:t xml:space="preserve"> </w:t>
      </w:r>
      <w:proofErr w:type="spellStart"/>
      <w:r w:rsidRPr="00CB502D">
        <w:t>nonhearsay</w:t>
      </w:r>
      <w:proofErr w:type="spellEnd"/>
      <w:r w:rsidRPr="00CB502D">
        <w:t xml:space="preserve"> purpose”); </w:t>
      </w:r>
      <w:r w:rsidRPr="00CB502D">
        <w:rPr>
          <w:i/>
        </w:rPr>
        <w:t>id</w:t>
      </w:r>
      <w:r w:rsidRPr="00CB502D">
        <w:t>. at 127 (Kagan, J., dissenting).</w:t>
      </w:r>
    </w:p>
  </w:footnote>
  <w:footnote w:id="17">
    <w:p w14:paraId="18B74CB9" w14:textId="4AA010C0" w:rsidR="00CB502D" w:rsidRPr="00CB502D" w:rsidRDefault="00CB502D" w:rsidP="008546B1">
      <w:pPr>
        <w:pStyle w:val="FootnoteText"/>
      </w:pPr>
      <w:r w:rsidRPr="00CB502D">
        <w:footnoteRef/>
      </w:r>
      <w:r w:rsidRPr="00CB502D">
        <w:t xml:space="preserve">. </w:t>
      </w:r>
      <w:r w:rsidRPr="00CB502D">
        <w:rPr>
          <w:i/>
        </w:rPr>
        <w:t>See, e.g.</w:t>
      </w:r>
      <w:r w:rsidRPr="00CB502D">
        <w:t>,</w:t>
      </w:r>
      <w:r w:rsidRPr="00CB502D">
        <w:rPr>
          <w:i/>
        </w:rPr>
        <w:t xml:space="preserve"> </w:t>
      </w:r>
      <w:r w:rsidR="00DF57DE" w:rsidRPr="00DF57DE">
        <w:rPr>
          <w:iCs/>
        </w:rPr>
        <w:t>State v. Lindsay, 292 N.C. App. 641, 651 (2024) (out of court statements offered to corroborate the victim’s in-court testimony were not hearsay and did not implicate the defendant’s confrontation rights)</w:t>
      </w:r>
      <w:r w:rsidR="00CB75F3">
        <w:rPr>
          <w:iCs/>
        </w:rPr>
        <w:t>.</w:t>
      </w:r>
    </w:p>
  </w:footnote>
  <w:footnote w:id="18">
    <w:p w14:paraId="6AEFF032" w14:textId="695CE887" w:rsidR="00CB502D" w:rsidRPr="00CB502D" w:rsidRDefault="00CB502D" w:rsidP="006906C0">
      <w:pPr>
        <w:pStyle w:val="FootnoteText"/>
      </w:pPr>
      <w:r w:rsidRPr="00CB502D">
        <w:footnoteRef/>
      </w:r>
      <w:r w:rsidRPr="00CB502D">
        <w:t xml:space="preserve">. </w:t>
      </w:r>
      <w:r w:rsidRPr="00CB502D">
        <w:rPr>
          <w:i/>
        </w:rPr>
        <w:t>See, e.g.</w:t>
      </w:r>
      <w:r w:rsidRPr="00CB502D">
        <w:t xml:space="preserve">, </w:t>
      </w:r>
      <w:r w:rsidR="00EE72B5" w:rsidRPr="00EE72B5">
        <w:t>State v. Steele, 260 N.C. App. 315, 320 (2018) (statements of confidential informant to law enforcement used explain the course of the officer’s subsequent conduct were not offered for the</w:t>
      </w:r>
      <w:r w:rsidR="00CB75F3">
        <w:t>ir</w:t>
      </w:r>
      <w:r w:rsidR="00EE72B5" w:rsidRPr="00EE72B5">
        <w:t xml:space="preserve"> truth)</w:t>
      </w:r>
      <w:r w:rsidR="00EE72B5">
        <w:t xml:space="preserve">; </w:t>
      </w:r>
      <w:r w:rsidRPr="00CB502D">
        <w:t xml:space="preserve">State v. Garner, </w:t>
      </w:r>
      <w:r w:rsidR="00001D28">
        <w:t>252</w:t>
      </w:r>
      <w:r w:rsidR="00001D28" w:rsidRPr="00CB502D">
        <w:t xml:space="preserve"> </w:t>
      </w:r>
      <w:r w:rsidRPr="00CB502D">
        <w:t xml:space="preserve">N.C. App. </w:t>
      </w:r>
      <w:r w:rsidR="004A0E8C">
        <w:t xml:space="preserve">393 </w:t>
      </w:r>
      <w:r w:rsidRPr="00CB502D">
        <w:t>(2017) (</w:t>
      </w:r>
      <w:r w:rsidR="00CB75F3">
        <w:t>similar</w:t>
      </w:r>
      <w:r w:rsidRPr="00CB502D">
        <w:t>)</w:t>
      </w:r>
      <w:r w:rsidR="003E3C62">
        <w:t>.</w:t>
      </w:r>
    </w:p>
  </w:footnote>
  <w:footnote w:id="19">
    <w:p w14:paraId="261F05F8" w14:textId="35EDC680" w:rsidR="00CB502D" w:rsidRPr="00CB502D" w:rsidRDefault="00CB502D">
      <w:pPr>
        <w:pStyle w:val="FootnoteText"/>
      </w:pPr>
      <w:r w:rsidRPr="00CB502D">
        <w:rPr>
          <w:rStyle w:val="FootnoteReference"/>
          <w:vertAlign w:val="baseline"/>
        </w:rPr>
        <w:footnoteRef/>
      </w:r>
      <w:r w:rsidRPr="00CB502D">
        <w:t xml:space="preserve">. State v. Hayes, 239 N.C. App. 539, 544 (2015) (the trial court did not err by admitting into evidence a forensic psychologist’s report prepared in connection with a custody proceeding regarding the defendant’s and the victim’s children or by allowing the psychologist to testify about her report; although the psychologist’s report and testimony contained third party statements from non-testifying witnesses who were not subject to cross-examination at trial, the evidence was not admitted for the truth of the matter asserted but rather to show </w:t>
      </w:r>
      <w:r w:rsidR="00690316">
        <w:t xml:space="preserve">how reading it affected </w:t>
      </w:r>
      <w:r w:rsidRPr="00CB502D">
        <w:t>the defendant’s state of mind with respect to a custody dispute with his wife); State v. Castaneda, 215 N.C. App. 144, 148 (2011) (officer's statements during an interrogation repeating what others had told the police were not admitted for their truth but rather to provide context for the defendant's responses).</w:t>
      </w:r>
    </w:p>
  </w:footnote>
  <w:footnote w:id="20">
    <w:p w14:paraId="71B96B5D" w14:textId="77777777" w:rsidR="00983CFA" w:rsidRPr="00CB502D" w:rsidRDefault="00983CFA" w:rsidP="00983CFA">
      <w:pPr>
        <w:pStyle w:val="FootnoteText"/>
      </w:pPr>
      <w:r w:rsidRPr="00CB502D">
        <w:rPr>
          <w:rStyle w:val="FootnoteReference"/>
          <w:vertAlign w:val="baseline"/>
        </w:rPr>
        <w:footnoteRef/>
      </w:r>
      <w:r w:rsidRPr="00CB502D">
        <w:t xml:space="preserve">. </w:t>
      </w:r>
      <w:r w:rsidRPr="00BF2264">
        <w:t>602 U.S. 779</w:t>
      </w:r>
      <w:r>
        <w:t xml:space="preserve"> </w:t>
      </w:r>
      <w:r w:rsidRPr="00BF2264">
        <w:t>(2024)</w:t>
      </w:r>
      <w:r w:rsidRPr="00CB502D">
        <w:t xml:space="preserve">. </w:t>
      </w:r>
    </w:p>
  </w:footnote>
  <w:footnote w:id="21">
    <w:p w14:paraId="78737B31" w14:textId="461D9D24" w:rsidR="00CB502D" w:rsidRPr="00CB502D" w:rsidRDefault="00CB502D" w:rsidP="000A4ED5">
      <w:pPr>
        <w:pStyle w:val="FootnoteText"/>
      </w:pPr>
      <w:r w:rsidRPr="00CB502D">
        <w:footnoteRef/>
      </w:r>
      <w:r w:rsidRPr="00CB502D">
        <w:t xml:space="preserve">. </w:t>
      </w:r>
      <w:r w:rsidRPr="00CB502D">
        <w:rPr>
          <w:i/>
        </w:rPr>
        <w:t>See, e.g.</w:t>
      </w:r>
      <w:r w:rsidRPr="00CB502D">
        <w:t>, State v. Mobley, 200 N.C. App. 570, 576 (2009) (</w:t>
      </w:r>
      <w:r w:rsidR="00CF6A92">
        <w:t xml:space="preserve">holding, prior to </w:t>
      </w:r>
      <w:r w:rsidR="00CF6A92">
        <w:rPr>
          <w:i/>
          <w:iCs/>
        </w:rPr>
        <w:t>Smith</w:t>
      </w:r>
      <w:r w:rsidR="00CF6A92">
        <w:t>,</w:t>
      </w:r>
      <w:r w:rsidR="00CF6A92">
        <w:rPr>
          <w:i/>
          <w:iCs/>
        </w:rPr>
        <w:t xml:space="preserve"> </w:t>
      </w:r>
      <w:r w:rsidR="00CF6A92">
        <w:t xml:space="preserve">that </w:t>
      </w:r>
      <w:r w:rsidRPr="00CB502D">
        <w:t xml:space="preserve">no </w:t>
      </w:r>
      <w:r w:rsidRPr="00CB502D">
        <w:rPr>
          <w:rStyle w:val="FootnoteItalic"/>
          <w:rFonts w:ascii="Arial" w:hAnsi="Arial" w:cs="Arial"/>
          <w:sz w:val="18"/>
          <w:szCs w:val="18"/>
        </w:rPr>
        <w:t>Crawford</w:t>
      </w:r>
      <w:r w:rsidRPr="00CB502D">
        <w:t xml:space="preserve"> violation occurred when a substitute analyst testified to her own expert opinion, formed after reviewing data and reports prepared by </w:t>
      </w:r>
      <w:proofErr w:type="spellStart"/>
      <w:r w:rsidRPr="00CB502D">
        <w:t>nontestifying</w:t>
      </w:r>
      <w:proofErr w:type="spellEnd"/>
      <w:r w:rsidRPr="00CB502D">
        <w:t xml:space="preserve"> expert)</w:t>
      </w:r>
      <w:r w:rsidR="00983CFA">
        <w:t>.</w:t>
      </w:r>
    </w:p>
  </w:footnote>
  <w:footnote w:id="22">
    <w:p w14:paraId="218FD789" w14:textId="23A44B5D" w:rsidR="00983CFA" w:rsidRPr="00CB502D" w:rsidRDefault="00983CFA" w:rsidP="00983CFA">
      <w:pPr>
        <w:pStyle w:val="FootnoteText"/>
      </w:pPr>
      <w:r w:rsidRPr="00CB502D">
        <w:rPr>
          <w:rStyle w:val="FootnoteReference"/>
          <w:vertAlign w:val="baseline"/>
        </w:rPr>
        <w:footnoteRef/>
      </w:r>
      <w:r w:rsidRPr="00CB502D">
        <w:t xml:space="preserve">. </w:t>
      </w:r>
      <w:r>
        <w:t>567</w:t>
      </w:r>
      <w:r w:rsidRPr="00BF2264">
        <w:t xml:space="preserve"> U.S. </w:t>
      </w:r>
      <w:r>
        <w:t xml:space="preserve">50 </w:t>
      </w:r>
      <w:r w:rsidRPr="00BF2264">
        <w:t>(20</w:t>
      </w:r>
      <w:r>
        <w:t>12</w:t>
      </w:r>
      <w:r w:rsidRPr="00BF2264">
        <w:t>)</w:t>
      </w:r>
      <w:r w:rsidRPr="00CB502D">
        <w:t xml:space="preserve">. </w:t>
      </w:r>
    </w:p>
  </w:footnote>
  <w:footnote w:id="23">
    <w:p w14:paraId="0149F2ED" w14:textId="46F9F473" w:rsidR="00CB502D" w:rsidRPr="00CB502D" w:rsidRDefault="00CB502D" w:rsidP="006906C0">
      <w:pPr>
        <w:pStyle w:val="FootnoteText"/>
      </w:pPr>
      <w:r w:rsidRPr="00CB502D">
        <w:footnoteRef/>
      </w:r>
      <w:r w:rsidRPr="00CB502D">
        <w:t xml:space="preserve">. </w:t>
      </w:r>
      <w:r w:rsidRPr="00CB502D">
        <w:rPr>
          <w:rStyle w:val="FootnoteSmallCaps"/>
          <w:rFonts w:ascii="Arial" w:hAnsi="Arial" w:cs="Arial"/>
          <w:sz w:val="18"/>
          <w:szCs w:val="18"/>
        </w:rPr>
        <w:t xml:space="preserve">N.C. R. Evid. </w:t>
      </w:r>
      <w:r w:rsidRPr="00CB502D">
        <w:t xml:space="preserve">105; </w:t>
      </w:r>
      <w:r w:rsidRPr="00CB502D">
        <w:rPr>
          <w:rStyle w:val="FootnoteItalic"/>
          <w:rFonts w:ascii="Arial" w:hAnsi="Arial" w:cs="Arial"/>
          <w:sz w:val="18"/>
          <w:szCs w:val="18"/>
        </w:rPr>
        <w:t>see also</w:t>
      </w:r>
      <w:r w:rsidRPr="00CB502D">
        <w:t xml:space="preserve"> State v. Garner, </w:t>
      </w:r>
      <w:r w:rsidR="007B22D6">
        <w:t>252</w:t>
      </w:r>
      <w:r w:rsidR="007B22D6" w:rsidRPr="00CB502D">
        <w:t xml:space="preserve"> </w:t>
      </w:r>
      <w:r w:rsidRPr="00CB502D">
        <w:t xml:space="preserve">N.C. App. </w:t>
      </w:r>
      <w:r w:rsidR="007B22D6">
        <w:t>393,</w:t>
      </w:r>
      <w:r w:rsidR="006114BE">
        <w:t xml:space="preserve"> 400</w:t>
      </w:r>
      <w:r w:rsidRPr="00CB502D">
        <w:t xml:space="preserve"> (2017) (noting that a limiting instruction was given); </w:t>
      </w:r>
      <w:r w:rsidRPr="00CB502D">
        <w:rPr>
          <w:rStyle w:val="FootnoteItalic"/>
          <w:rFonts w:ascii="Arial" w:hAnsi="Arial" w:cs="Arial"/>
          <w:sz w:val="18"/>
          <w:szCs w:val="18"/>
        </w:rPr>
        <w:t>Wiggins</w:t>
      </w:r>
      <w:r w:rsidRPr="00CB502D">
        <w:t xml:space="preserve">, 185 N.C. App. at 384 (same). </w:t>
      </w:r>
    </w:p>
  </w:footnote>
  <w:footnote w:id="24">
    <w:p w14:paraId="0CF925C6" w14:textId="5AB0D1AC" w:rsidR="00CB502D" w:rsidRPr="00CB502D" w:rsidRDefault="00CB502D" w:rsidP="006906C0">
      <w:pPr>
        <w:pStyle w:val="FootnoteText"/>
      </w:pPr>
      <w:r w:rsidRPr="00CB502D">
        <w:footnoteRef/>
      </w:r>
      <w:r w:rsidRPr="00CB502D">
        <w:t>. State v. Richardson, 195 N.C. App. 786, *5 (2009) (unpublished) (</w:t>
      </w:r>
      <w:r w:rsidRPr="00CB502D">
        <w:rPr>
          <w:rStyle w:val="FootnoteItalic"/>
          <w:rFonts w:ascii="Arial" w:hAnsi="Arial" w:cs="Arial"/>
          <w:i w:val="0"/>
          <w:sz w:val="18"/>
          <w:szCs w:val="18"/>
        </w:rPr>
        <w:t>“</w:t>
      </w:r>
      <w:r w:rsidRPr="00CB502D">
        <w:rPr>
          <w:rStyle w:val="FootnoteItalic"/>
          <w:rFonts w:ascii="Arial" w:hAnsi="Arial" w:cs="Arial"/>
          <w:sz w:val="18"/>
          <w:szCs w:val="18"/>
        </w:rPr>
        <w:t>Crawford</w:t>
      </w:r>
      <w:r w:rsidRPr="00CB502D">
        <w:t xml:space="preserve"> is not applicable if the statement is that of the defendant </w:t>
      </w:r>
      <w:proofErr w:type="gramStart"/>
      <w:r w:rsidRPr="00CB502D">
        <w:t>. . . .</w:t>
      </w:r>
      <w:proofErr w:type="gramEnd"/>
      <w:r w:rsidRPr="00CB502D">
        <w:t>”)</w:t>
      </w:r>
      <w:r w:rsidR="004A7E76">
        <w:t>.</w:t>
      </w:r>
    </w:p>
  </w:footnote>
  <w:footnote w:id="25">
    <w:p w14:paraId="4D2ACED5" w14:textId="331EC668" w:rsidR="00CB502D" w:rsidRPr="00CB502D" w:rsidRDefault="00CB502D" w:rsidP="006906C0">
      <w:pPr>
        <w:pStyle w:val="FootnoteText"/>
      </w:pPr>
      <w:r w:rsidRPr="00CB502D">
        <w:footnoteRef/>
      </w:r>
      <w:r w:rsidRPr="00CB502D">
        <w:t>. Giles v. California, 554 U.S. 353, 376 n.7 (2008) (</w:t>
      </w:r>
      <w:r w:rsidR="00AE664A">
        <w:t>Confrontation Clause</w:t>
      </w:r>
      <w:r w:rsidRPr="00CB502D">
        <w:t xml:space="preserve"> limits the evidence that the state may introduce but does not limit the evidence that a defendant may introduce)</w:t>
      </w:r>
      <w:r w:rsidR="00C44A6D">
        <w:t xml:space="preserve">; State v. Womble, </w:t>
      </w:r>
      <w:r w:rsidR="00C735E0">
        <w:t>297</w:t>
      </w:r>
      <w:r w:rsidR="00B90459">
        <w:t xml:space="preserve"> </w:t>
      </w:r>
      <w:r w:rsidR="00C44A6D">
        <w:t xml:space="preserve">N.C. App. </w:t>
      </w:r>
      <w:r w:rsidR="00721A4E">
        <w:t>547</w:t>
      </w:r>
      <w:r w:rsidR="004A7E76">
        <w:t>, 557</w:t>
      </w:r>
      <w:r w:rsidR="00C44A6D">
        <w:t xml:space="preserve">(2024) (no </w:t>
      </w:r>
      <w:r w:rsidR="00AE664A">
        <w:t>Confrontation Clause</w:t>
      </w:r>
      <w:r w:rsidR="00C44A6D">
        <w:t xml:space="preserve"> error where challenged statement came from defendant’s witness)</w:t>
      </w:r>
      <w:r w:rsidR="004A7E76">
        <w:t>.</w:t>
      </w:r>
    </w:p>
  </w:footnote>
  <w:footnote w:id="26">
    <w:p w14:paraId="7E4DA5AB" w14:textId="1B550997" w:rsidR="00CB502D" w:rsidRPr="00CB502D" w:rsidRDefault="00CB502D" w:rsidP="006906C0">
      <w:pPr>
        <w:pStyle w:val="FootnoteText"/>
      </w:pPr>
      <w:r w:rsidRPr="00CB502D">
        <w:footnoteRef/>
      </w:r>
      <w:r w:rsidRPr="00CB502D">
        <w:t xml:space="preserve">. </w:t>
      </w:r>
      <w:r w:rsidRPr="00CB502D">
        <w:rPr>
          <w:i/>
        </w:rPr>
        <w:t>See, e.g</w:t>
      </w:r>
      <w:r w:rsidRPr="00CB502D">
        <w:t xml:space="preserve">., </w:t>
      </w:r>
      <w:r w:rsidRPr="00CB502D">
        <w:rPr>
          <w:rStyle w:val="FootnoteItalic"/>
          <w:rFonts w:ascii="Arial" w:hAnsi="Arial" w:cs="Arial"/>
          <w:sz w:val="18"/>
          <w:szCs w:val="18"/>
        </w:rPr>
        <w:t>Crawford</w:t>
      </w:r>
      <w:r w:rsidRPr="00CB502D">
        <w:t>, 541 U.S. at 59 n.9 (“[W]hen the declarant appears for cross-examination at trial, the Confrontation Clause places no constraints at all on the use of his prior testimonial statements.”)</w:t>
      </w:r>
      <w:r w:rsidRPr="00CB502D">
        <w:rPr>
          <w:rStyle w:val="FootnoteItalic"/>
          <w:rFonts w:ascii="Arial" w:hAnsi="Arial" w:cs="Arial"/>
          <w:sz w:val="18"/>
          <w:szCs w:val="18"/>
        </w:rPr>
        <w:t>.</w:t>
      </w:r>
    </w:p>
  </w:footnote>
  <w:footnote w:id="27">
    <w:p w14:paraId="03D98304" w14:textId="53D4E3A2" w:rsidR="00CB502D" w:rsidRPr="00A34895" w:rsidRDefault="00CB502D" w:rsidP="006906C0">
      <w:pPr>
        <w:pStyle w:val="FootnoteText"/>
      </w:pPr>
      <w:r w:rsidRPr="00CB502D">
        <w:footnoteRef/>
      </w:r>
      <w:r w:rsidRPr="00CB502D">
        <w:t xml:space="preserve">. </w:t>
      </w:r>
      <w:r w:rsidR="00A34895" w:rsidRPr="001E7C4E">
        <w:t>U</w:t>
      </w:r>
      <w:r w:rsidR="00867363" w:rsidRPr="001E7C4E">
        <w:t xml:space="preserve">nited </w:t>
      </w:r>
      <w:r w:rsidR="00A34895" w:rsidRPr="001E7C4E">
        <w:t>S</w:t>
      </w:r>
      <w:r w:rsidR="00867363" w:rsidRPr="001E7C4E">
        <w:t>tates</w:t>
      </w:r>
      <w:r w:rsidR="00A34895" w:rsidRPr="001E7C4E">
        <w:t xml:space="preserve"> v. Kappell, 418 F.3d 550 (6th Cir. 2005) (rejecting defendant’s argument that because the child witnesses were unresponsive or inarticulate at times, the defendant could not effectively cross-examine them); State v. Price, 146 P.3d 1183 (Wash. 2006) (</w:t>
      </w:r>
      <w:proofErr w:type="spellStart"/>
      <w:r w:rsidR="00A34895" w:rsidRPr="001E7C4E">
        <w:t>en</w:t>
      </w:r>
      <w:proofErr w:type="spellEnd"/>
      <w:r w:rsidR="00A34895" w:rsidRPr="001E7C4E">
        <w:t xml:space="preserve"> banc) (notwithstanding memory lapses, child witness was available for cross examination at trial); Patano v. State, 138 P.3d 477 (Nev. 2006) (child victim’s negative answers or “I don’t know” responses when asked to identify to whom she spoke did not render cross-examination ineffective).</w:t>
      </w:r>
    </w:p>
  </w:footnote>
  <w:footnote w:id="28">
    <w:p w14:paraId="4A83E786" w14:textId="77777777" w:rsidR="00CB502D" w:rsidRPr="00CB502D" w:rsidRDefault="00CB502D" w:rsidP="006906C0">
      <w:pPr>
        <w:pStyle w:val="FootnoteText"/>
      </w:pPr>
      <w:r w:rsidRPr="00CB502D">
        <w:footnoteRef/>
      </w:r>
      <w:r w:rsidRPr="00CB502D">
        <w:t xml:space="preserve">. </w:t>
      </w:r>
      <w:r w:rsidRPr="001E7C4E">
        <w:rPr>
          <w:i/>
          <w:iCs/>
        </w:rPr>
        <w:t>Crawford</w:t>
      </w:r>
      <w:r w:rsidRPr="001E7C4E">
        <w:t>, 541 U.S. at 40.</w:t>
      </w:r>
      <w:r w:rsidRPr="00CB502D">
        <w:rPr>
          <w:i/>
        </w:rPr>
        <w:t xml:space="preserve"> </w:t>
      </w:r>
    </w:p>
  </w:footnote>
  <w:footnote w:id="29">
    <w:p w14:paraId="4155ECED" w14:textId="77777777" w:rsidR="00CB502D" w:rsidRPr="00CB502D" w:rsidRDefault="00CB502D">
      <w:pPr>
        <w:pStyle w:val="FootnoteText"/>
      </w:pPr>
      <w:r w:rsidRPr="00CB502D">
        <w:rPr>
          <w:rStyle w:val="FootnoteReference"/>
          <w:vertAlign w:val="baseline"/>
        </w:rPr>
        <w:footnoteRef/>
      </w:r>
      <w:r w:rsidRPr="00CB502D">
        <w:t xml:space="preserve">. 497 U.S. 836 (1990). </w:t>
      </w:r>
    </w:p>
  </w:footnote>
  <w:footnote w:id="30">
    <w:p w14:paraId="186F137F" w14:textId="4727A49E" w:rsidR="00CB502D" w:rsidRPr="00CB502D" w:rsidRDefault="00CB502D">
      <w:pPr>
        <w:pStyle w:val="FootnoteText"/>
      </w:pPr>
      <w:r w:rsidRPr="00CB502D">
        <w:rPr>
          <w:rStyle w:val="FootnoteReference"/>
          <w:vertAlign w:val="baseline"/>
        </w:rPr>
        <w:footnoteRef/>
      </w:r>
      <w:r w:rsidRPr="00CB502D">
        <w:t xml:space="preserve">. </w:t>
      </w:r>
      <w:r w:rsidRPr="00CB502D">
        <w:rPr>
          <w:rFonts w:cs="Warnock Pro"/>
          <w:i/>
          <w:iCs/>
          <w:color w:val="221E1F"/>
          <w:sz w:val="20"/>
        </w:rPr>
        <w:t>Id</w:t>
      </w:r>
      <w:r w:rsidRPr="00CB502D">
        <w:rPr>
          <w:rFonts w:cs="Warnock Pro"/>
          <w:color w:val="221E1F"/>
          <w:sz w:val="20"/>
        </w:rPr>
        <w:t xml:space="preserve">. at 841–42. </w:t>
      </w:r>
    </w:p>
  </w:footnote>
  <w:footnote w:id="31">
    <w:p w14:paraId="21C94BED" w14:textId="56E30A01" w:rsidR="00CB502D" w:rsidRPr="00CB502D" w:rsidRDefault="00CB502D">
      <w:pPr>
        <w:pStyle w:val="FootnoteText"/>
      </w:pPr>
      <w:r w:rsidRPr="00CB502D">
        <w:rPr>
          <w:rStyle w:val="FootnoteReference"/>
          <w:vertAlign w:val="baseline"/>
        </w:rPr>
        <w:footnoteRef/>
      </w:r>
      <w:r w:rsidRPr="00CB502D">
        <w:t xml:space="preserve">. </w:t>
      </w:r>
      <w:r w:rsidRPr="00CB502D">
        <w:rPr>
          <w:rFonts w:cs="Warnock Pro"/>
          <w:i/>
          <w:iCs/>
          <w:color w:val="221E1F"/>
          <w:sz w:val="20"/>
        </w:rPr>
        <w:t xml:space="preserve">Id. </w:t>
      </w:r>
      <w:r w:rsidRPr="00CB502D">
        <w:rPr>
          <w:rFonts w:cs="Warnock Pro"/>
          <w:color w:val="221E1F"/>
          <w:sz w:val="20"/>
        </w:rPr>
        <w:t xml:space="preserve">at 842. </w:t>
      </w:r>
    </w:p>
  </w:footnote>
  <w:footnote w:id="32">
    <w:p w14:paraId="427291C6" w14:textId="5F03A293" w:rsidR="00CB502D" w:rsidRPr="00CB502D" w:rsidRDefault="00CB502D">
      <w:pPr>
        <w:pStyle w:val="FootnoteText"/>
      </w:pPr>
      <w:r w:rsidRPr="00CB502D">
        <w:rPr>
          <w:rStyle w:val="FootnoteReference"/>
          <w:vertAlign w:val="baseline"/>
        </w:rPr>
        <w:footnoteRef/>
      </w:r>
      <w:r w:rsidRPr="00CB502D">
        <w:t xml:space="preserve">. </w:t>
      </w:r>
      <w:r w:rsidRPr="00CB502D">
        <w:rPr>
          <w:rFonts w:cs="Warnock Pro"/>
          <w:i/>
          <w:iCs/>
          <w:color w:val="221E1F"/>
          <w:sz w:val="20"/>
        </w:rPr>
        <w:t>Id</w:t>
      </w:r>
      <w:r w:rsidRPr="00CB502D">
        <w:rPr>
          <w:rFonts w:cs="Warnock Pro"/>
          <w:color w:val="221E1F"/>
          <w:sz w:val="20"/>
        </w:rPr>
        <w:t xml:space="preserve">. at 849 (citations and internal quotation marks omitted). </w:t>
      </w:r>
    </w:p>
  </w:footnote>
  <w:footnote w:id="33">
    <w:p w14:paraId="404F2821" w14:textId="75C5FA7E" w:rsidR="00CB502D" w:rsidRPr="00CB502D" w:rsidRDefault="00CB502D">
      <w:pPr>
        <w:pStyle w:val="FootnoteText"/>
      </w:pPr>
      <w:r w:rsidRPr="00CB502D">
        <w:rPr>
          <w:rStyle w:val="FootnoteReference"/>
          <w:vertAlign w:val="baseline"/>
        </w:rPr>
        <w:footnoteRef/>
      </w:r>
      <w:r w:rsidRPr="00CB502D">
        <w:t xml:space="preserve">. </w:t>
      </w:r>
      <w:r w:rsidRPr="00CB502D">
        <w:rPr>
          <w:rFonts w:cs="Warnock Pro"/>
          <w:i/>
          <w:iCs/>
          <w:color w:val="221E1F"/>
          <w:sz w:val="20"/>
        </w:rPr>
        <w:t xml:space="preserve">Id. </w:t>
      </w:r>
      <w:r w:rsidRPr="00CB502D">
        <w:rPr>
          <w:rFonts w:cs="Warnock Pro"/>
          <w:color w:val="221E1F"/>
          <w:sz w:val="20"/>
        </w:rPr>
        <w:t xml:space="preserve">at 850. </w:t>
      </w:r>
    </w:p>
  </w:footnote>
  <w:footnote w:id="34">
    <w:p w14:paraId="5B6B1E13" w14:textId="2980D5EB" w:rsidR="00CB502D" w:rsidRPr="00CB502D" w:rsidRDefault="00CB502D">
      <w:pPr>
        <w:pStyle w:val="FootnoteText"/>
      </w:pPr>
      <w:r w:rsidRPr="00CB502D">
        <w:rPr>
          <w:rStyle w:val="FootnoteReference"/>
          <w:vertAlign w:val="baseline"/>
        </w:rPr>
        <w:footnoteRef/>
      </w:r>
      <w:r w:rsidRPr="00CB502D">
        <w:t xml:space="preserve">. </w:t>
      </w:r>
      <w:r w:rsidRPr="00CB502D">
        <w:rPr>
          <w:rFonts w:cs="Warnock Pro"/>
          <w:i/>
          <w:iCs/>
          <w:color w:val="221E1F"/>
          <w:sz w:val="20"/>
        </w:rPr>
        <w:t xml:space="preserve">Id. </w:t>
      </w:r>
      <w:r w:rsidRPr="00CB502D">
        <w:rPr>
          <w:rFonts w:cs="Warnock Pro"/>
          <w:color w:val="201C1D"/>
          <w:sz w:val="20"/>
        </w:rPr>
        <w:t xml:space="preserve">at 855–56 (citations and internal quotation marks omitted). </w:t>
      </w:r>
    </w:p>
  </w:footnote>
  <w:footnote w:id="35">
    <w:p w14:paraId="6E2384AB" w14:textId="711742C6" w:rsidR="00CB502D" w:rsidRPr="00CB502D" w:rsidRDefault="00CB502D" w:rsidP="006906C0">
      <w:pPr>
        <w:pStyle w:val="FootnoteText"/>
      </w:pPr>
      <w:r w:rsidRPr="00CB502D">
        <w:rPr>
          <w:rStyle w:val="FootnoteReference"/>
          <w:rFonts w:cs="Arial"/>
          <w:szCs w:val="18"/>
          <w:vertAlign w:val="baseline"/>
        </w:rPr>
        <w:footnoteRef/>
      </w:r>
      <w:r w:rsidRPr="00CB502D">
        <w:t xml:space="preserve">. State v. Jackson, 216 N.C. App. 238, 244-47 (2011) (in a child sexual assault case, the defendant’s confrontation rights were not violated when the trial court permitted the child victim to testify by way of a one-way closed circuit television system; the court held that </w:t>
      </w:r>
      <w:r w:rsidRPr="00CB502D">
        <w:rPr>
          <w:i/>
        </w:rPr>
        <w:t>Craig</w:t>
      </w:r>
      <w:r w:rsidRPr="00CB502D">
        <w:t xml:space="preserve"> survived </w:t>
      </w:r>
      <w:r w:rsidRPr="00CB502D">
        <w:rPr>
          <w:i/>
        </w:rPr>
        <w:t>Crawford</w:t>
      </w:r>
      <w:r w:rsidRPr="00CB502D">
        <w:t xml:space="preserve"> and that the procedure satisfied </w:t>
      </w:r>
      <w:r w:rsidRPr="00CB502D">
        <w:rPr>
          <w:i/>
        </w:rPr>
        <w:t>Craig</w:t>
      </w:r>
      <w:r w:rsidRPr="00CB502D">
        <w:t xml:space="preserve">’s procedural requirements; the court also held that the child’s remote testimony complied with the statutory requirements of G.S. 15A-1225.1); State v. Lanford, 225 N.C. App. 189, 204-08 (2013) (following </w:t>
      </w:r>
      <w:r w:rsidRPr="00CB502D">
        <w:rPr>
          <w:i/>
        </w:rPr>
        <w:t>Jackson</w:t>
      </w:r>
      <w:r w:rsidRPr="00CB502D">
        <w:t>, the court held that the trial court did not err by removing the defendant from the courtroom and putting him in another room where he could watch the child victim testify on a closed circuit television while staying connected with counsel through a phone line; the trial court’s findings of fact about the trauma that the child would suffer and the impairment to his ability to communicate if required to face the defendant in open court were supported by the evidence)</w:t>
      </w:r>
      <w:r w:rsidR="00AA3AD8">
        <w:t xml:space="preserve">; </w:t>
      </w:r>
      <w:r w:rsidR="00AA3AD8" w:rsidRPr="00EF071F">
        <w:rPr>
          <w:i/>
          <w:iCs/>
        </w:rPr>
        <w:t>see also</w:t>
      </w:r>
      <w:r w:rsidR="00760434">
        <w:t xml:space="preserve"> </w:t>
      </w:r>
      <w:r w:rsidR="000D3D74">
        <w:t xml:space="preserve">United States </w:t>
      </w:r>
      <w:r w:rsidR="00760434">
        <w:t>v. Maynard, 90 F.4th 706</w:t>
      </w:r>
      <w:r w:rsidR="00656F42">
        <w:t>, 711</w:t>
      </w:r>
      <w:r w:rsidR="00760434">
        <w:t xml:space="preserve"> (4th Cir. 2024) (rejecting the argument that </w:t>
      </w:r>
      <w:r w:rsidR="00760434" w:rsidRPr="00EF071F">
        <w:rPr>
          <w:i/>
          <w:iCs/>
        </w:rPr>
        <w:t>Crawford</w:t>
      </w:r>
      <w:r w:rsidR="00760434">
        <w:t xml:space="preserve"> overruled </w:t>
      </w:r>
      <w:r w:rsidR="00760434" w:rsidRPr="00EF071F">
        <w:rPr>
          <w:i/>
          <w:iCs/>
        </w:rPr>
        <w:t>Craig</w:t>
      </w:r>
      <w:r w:rsidR="00760434">
        <w:t>).</w:t>
      </w:r>
    </w:p>
  </w:footnote>
  <w:footnote w:id="36">
    <w:p w14:paraId="30A852E6" w14:textId="129371B6" w:rsidR="00CB502D" w:rsidRPr="00CB502D" w:rsidRDefault="00CB502D">
      <w:pPr>
        <w:pStyle w:val="FootnoteText"/>
      </w:pPr>
      <w:r w:rsidRPr="00CB502D">
        <w:rPr>
          <w:rStyle w:val="FootnoteReference"/>
          <w:szCs w:val="18"/>
          <w:vertAlign w:val="baseline"/>
        </w:rPr>
        <w:footnoteRef/>
      </w:r>
      <w:r w:rsidRPr="00CB502D">
        <w:t xml:space="preserve">. </w:t>
      </w:r>
      <w:r w:rsidRPr="00CB502D">
        <w:rPr>
          <w:i/>
        </w:rPr>
        <w:t xml:space="preserve">See generally </w:t>
      </w:r>
      <w:r w:rsidRPr="00CB502D">
        <w:t>Section V</w:t>
      </w:r>
      <w:r w:rsidR="007C7841">
        <w:t>I</w:t>
      </w:r>
      <w:r w:rsidRPr="00CB502D">
        <w:t>I.B. below, discussing notice and demand statutes</w:t>
      </w:r>
      <w:r w:rsidR="000C3EFD">
        <w:t>.15A-122</w:t>
      </w:r>
      <w:r w:rsidR="001E7C4E">
        <w:t>5</w:t>
      </w:r>
      <w:r w:rsidR="000C3EFD">
        <w:t>.3</w:t>
      </w:r>
      <w:r w:rsidR="0014788C">
        <w:t>(b1) also permits remote forensic analyst testimony in district court proc</w:t>
      </w:r>
      <w:r w:rsidR="00A4087F">
        <w:t xml:space="preserve">eedings without regard to the defendant’s waiver </w:t>
      </w:r>
      <w:r w:rsidR="00393977">
        <w:t xml:space="preserve">when the prosecution </w:t>
      </w:r>
      <w:r w:rsidR="00AB56C1">
        <w:t>complies with certain notice and disclosure requirements</w:t>
      </w:r>
      <w:r w:rsidRPr="00CB502D">
        <w:t>.</w:t>
      </w:r>
      <w:r w:rsidR="00A1294A">
        <w:t xml:space="preserve"> </w:t>
      </w:r>
      <w:r w:rsidR="00963B97">
        <w:rPr>
          <w:i/>
          <w:iCs/>
        </w:rPr>
        <w:t>S</w:t>
      </w:r>
      <w:r w:rsidR="00A1294A" w:rsidRPr="006F14A7">
        <w:rPr>
          <w:i/>
          <w:iCs/>
        </w:rPr>
        <w:t>ee</w:t>
      </w:r>
      <w:r w:rsidR="00A1294A">
        <w:t xml:space="preserve"> Shea Denning</w:t>
      </w:r>
      <w:r w:rsidR="00665BDE" w:rsidRPr="00CB502D">
        <w:t>,</w:t>
      </w:r>
      <w:r w:rsidR="00665BDE" w:rsidRPr="00CB502D">
        <w:rPr>
          <w:i/>
        </w:rPr>
        <w:t xml:space="preserve"> </w:t>
      </w:r>
      <w:hyperlink r:id="rId1" w:history="1">
        <w:r w:rsidR="00A1294A" w:rsidRPr="00510D20">
          <w:rPr>
            <w:rStyle w:val="Hyperlink"/>
            <w:i/>
          </w:rPr>
          <w:t>Remote Testimony by Lab Analysts Authorized in District Court – Even Without the Defendant’s Consent</w:t>
        </w:r>
      </w:hyperlink>
      <w:r w:rsidR="00A1294A">
        <w:rPr>
          <w:i/>
        </w:rPr>
        <w:t>,</w:t>
      </w:r>
      <w:r w:rsidR="00665BDE" w:rsidRPr="00CB502D">
        <w:t xml:space="preserve"> </w:t>
      </w:r>
      <w:r w:rsidR="00665BDE" w:rsidRPr="00CB502D">
        <w:rPr>
          <w:smallCaps/>
        </w:rPr>
        <w:t>N.C. Crim. L., UNC Sch. of Gov’t Blog</w:t>
      </w:r>
      <w:r w:rsidR="00665BDE" w:rsidRPr="00CB502D">
        <w:t xml:space="preserve"> (</w:t>
      </w:r>
      <w:r w:rsidR="00A1294A">
        <w:t>Dec. 6, 2021</w:t>
      </w:r>
      <w:r w:rsidR="00665BDE" w:rsidRPr="00CB502D">
        <w:t>)</w:t>
      </w:r>
      <w:r w:rsidR="00963B97">
        <w:t>.</w:t>
      </w:r>
    </w:p>
  </w:footnote>
  <w:footnote w:id="37">
    <w:p w14:paraId="44811540" w14:textId="5CDA587E" w:rsidR="00CB502D" w:rsidRPr="00CB502D" w:rsidRDefault="00CB502D" w:rsidP="00F604C3">
      <w:pPr>
        <w:pStyle w:val="FootnoteText"/>
      </w:pPr>
      <w:r w:rsidRPr="00CB502D">
        <w:rPr>
          <w:rStyle w:val="FootnoteReference"/>
          <w:vertAlign w:val="baseline"/>
        </w:rPr>
        <w:footnoteRef/>
      </w:r>
      <w:r w:rsidRPr="00CB502D">
        <w:t xml:space="preserve">. G.S. 15A-1225.1; </w:t>
      </w:r>
      <w:r w:rsidRPr="00CB502D">
        <w:rPr>
          <w:i/>
        </w:rPr>
        <w:t xml:space="preserve">see generally </w:t>
      </w:r>
      <w:r w:rsidRPr="00CB502D">
        <w:t xml:space="preserve">State v. </w:t>
      </w:r>
      <w:proofErr w:type="spellStart"/>
      <w:r w:rsidRPr="00CB502D">
        <w:t>Phachoumphone</w:t>
      </w:r>
      <w:proofErr w:type="spellEnd"/>
      <w:r w:rsidRPr="00CB502D">
        <w:t xml:space="preserve">, </w:t>
      </w:r>
      <w:r w:rsidR="00DE6174">
        <w:t>257</w:t>
      </w:r>
      <w:r w:rsidR="00DE6174" w:rsidRPr="00CB502D">
        <w:t xml:space="preserve"> </w:t>
      </w:r>
      <w:r w:rsidRPr="00CB502D">
        <w:t xml:space="preserve">N.C. App. </w:t>
      </w:r>
      <w:r w:rsidR="00DE6174">
        <w:t xml:space="preserve">848, </w:t>
      </w:r>
      <w:r w:rsidR="00153B5C">
        <w:t>853</w:t>
      </w:r>
      <w:r w:rsidRPr="00CB502D">
        <w:t xml:space="preserve"> (2018) (although the trial court erred by failing to follow the statutory procedure, the defendant failed to show prejudice).</w:t>
      </w:r>
    </w:p>
  </w:footnote>
  <w:footnote w:id="38">
    <w:p w14:paraId="27190DF8" w14:textId="65DF453E" w:rsidR="00CB502D" w:rsidRPr="00CB502D" w:rsidRDefault="00CB502D">
      <w:pPr>
        <w:pStyle w:val="FootnoteText"/>
      </w:pPr>
      <w:r w:rsidRPr="00CB502D">
        <w:rPr>
          <w:rStyle w:val="FootnoteReference"/>
          <w:vertAlign w:val="baseline"/>
        </w:rPr>
        <w:footnoteRef/>
      </w:r>
      <w:r w:rsidRPr="00CB502D">
        <w:t>. G.S. 15A-1225.2.</w:t>
      </w:r>
    </w:p>
  </w:footnote>
  <w:footnote w:id="39">
    <w:p w14:paraId="6F7FBC9E" w14:textId="7948E736" w:rsidR="00623319" w:rsidRPr="00CB502D" w:rsidRDefault="00623319" w:rsidP="00623319">
      <w:pPr>
        <w:pStyle w:val="FootnoteText"/>
      </w:pPr>
      <w:r w:rsidRPr="00CB502D">
        <w:rPr>
          <w:rStyle w:val="FootnoteReference"/>
          <w:vertAlign w:val="baseline"/>
        </w:rPr>
        <w:footnoteRef/>
      </w:r>
      <w:r w:rsidRPr="00CB502D">
        <w:t xml:space="preserve">. </w:t>
      </w:r>
      <w:r w:rsidR="00963B97">
        <w:t>S.L. 2021-47 sec. 9(a)</w:t>
      </w:r>
      <w:r w:rsidRPr="00CB502D">
        <w:t>.</w:t>
      </w:r>
    </w:p>
  </w:footnote>
  <w:footnote w:id="40">
    <w:p w14:paraId="0739B525" w14:textId="77777777" w:rsidR="00CB502D" w:rsidRPr="00CB502D" w:rsidRDefault="00CB502D" w:rsidP="006906C0">
      <w:pPr>
        <w:pStyle w:val="FootnoteText"/>
      </w:pPr>
      <w:r w:rsidRPr="00CB502D">
        <w:footnoteRef/>
      </w:r>
      <w:r w:rsidRPr="00CB502D">
        <w:t>. 557 U.S. 305 (2009).</w:t>
      </w:r>
    </w:p>
  </w:footnote>
  <w:footnote w:id="41">
    <w:p w14:paraId="0B58E6FA"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Michigan v. Bryant, 562 U.S. 344, 354 (2011) (“We . . . limited the Confrontation Clause’s reach to testimonial statements </w:t>
      </w:r>
      <w:proofErr w:type="gramStart"/>
      <w:r w:rsidRPr="001A52FE">
        <w:rPr>
          <w:rFonts w:cs="Arial"/>
          <w:szCs w:val="18"/>
        </w:rPr>
        <w:t>. . . .</w:t>
      </w:r>
      <w:proofErr w:type="gramEnd"/>
      <w:r w:rsidRPr="001A52FE">
        <w:rPr>
          <w:rFonts w:cs="Arial"/>
          <w:szCs w:val="18"/>
        </w:rPr>
        <w:t xml:space="preserve">”); Whorton v. Bockting, 549 U.S. 406, 420 (2007) (“Under </w:t>
      </w:r>
      <w:r w:rsidRPr="001A52FE">
        <w:rPr>
          <w:rFonts w:cs="Arial"/>
          <w:i/>
          <w:szCs w:val="18"/>
        </w:rPr>
        <w:t xml:space="preserve">Crawford </w:t>
      </w:r>
      <w:r w:rsidRPr="001A52FE">
        <w:rPr>
          <w:rFonts w:cs="Arial"/>
          <w:szCs w:val="18"/>
        </w:rPr>
        <w:t xml:space="preserve">. . . the Confrontation Clause has no application to [nontestimonial] statements </w:t>
      </w:r>
      <w:proofErr w:type="gramStart"/>
      <w:r w:rsidRPr="001A52FE">
        <w:rPr>
          <w:rFonts w:cs="Arial"/>
          <w:szCs w:val="18"/>
        </w:rPr>
        <w:t>. . . .</w:t>
      </w:r>
      <w:proofErr w:type="gramEnd"/>
      <w:r w:rsidRPr="001A52FE">
        <w:rPr>
          <w:rFonts w:cs="Arial"/>
          <w:szCs w:val="18"/>
        </w:rPr>
        <w:t xml:space="preserve">”); Ohio v. Clark, 576 U.S. 237, 244-45 (2015) (quoting </w:t>
      </w:r>
      <w:r w:rsidRPr="001A52FE">
        <w:rPr>
          <w:rFonts w:cs="Arial"/>
          <w:i/>
          <w:szCs w:val="18"/>
        </w:rPr>
        <w:t>Bryant</w:t>
      </w:r>
      <w:r w:rsidRPr="001A52FE">
        <w:rPr>
          <w:rFonts w:cs="Arial"/>
          <w:szCs w:val="18"/>
        </w:rPr>
        <w:t>).</w:t>
      </w:r>
    </w:p>
  </w:footnote>
  <w:footnote w:id="42">
    <w:p w14:paraId="6CA1CA0D"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w:t>
      </w:r>
      <w:r w:rsidRPr="001A52FE">
        <w:rPr>
          <w:rFonts w:cs="Arial"/>
          <w:i/>
          <w:szCs w:val="18"/>
        </w:rPr>
        <w:t xml:space="preserve"> </w:t>
      </w:r>
      <w:r>
        <w:rPr>
          <w:rFonts w:cs="Arial"/>
          <w:iCs/>
          <w:szCs w:val="18"/>
        </w:rPr>
        <w:t>541 U.S. at 51.</w:t>
      </w:r>
    </w:p>
  </w:footnote>
  <w:footnote w:id="43">
    <w:p w14:paraId="15D14EA2"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Pr>
          <w:rFonts w:cs="Arial"/>
          <w:i/>
          <w:iCs/>
          <w:szCs w:val="18"/>
        </w:rPr>
        <w:t xml:space="preserve">See </w:t>
      </w:r>
      <w:r>
        <w:rPr>
          <w:rFonts w:cs="Arial"/>
          <w:szCs w:val="18"/>
        </w:rPr>
        <w:t>Davis v. Washington, 547 U.S. 813, 822 (2006) (“</w:t>
      </w:r>
      <w:r w:rsidRPr="000C1C7B">
        <w:rPr>
          <w:rFonts w:cs="Arial"/>
          <w:szCs w:val="18"/>
        </w:rPr>
        <w:t>[Statements] are testimonial when the circumstances objectively indicate . . . that the primary purpose . . . is to establish or prove past events potentially relevant to later criminal prosecution.</w:t>
      </w:r>
      <w:r>
        <w:rPr>
          <w:rFonts w:cs="Arial"/>
          <w:szCs w:val="18"/>
        </w:rPr>
        <w:t xml:space="preserve">”); </w:t>
      </w:r>
      <w:r w:rsidRPr="001A52FE">
        <w:rPr>
          <w:rFonts w:cs="Arial"/>
          <w:szCs w:val="18"/>
        </w:rPr>
        <w:t>Ohio v. Clark, 576 U.S.237, 244 (2015) (</w:t>
      </w:r>
      <w:r w:rsidRPr="001A52FE">
        <w:rPr>
          <w:rFonts w:cs="Arial"/>
          <w:i/>
          <w:szCs w:val="18"/>
        </w:rPr>
        <w:t xml:space="preserve">Davis </w:t>
      </w:r>
      <w:r w:rsidRPr="001A52FE">
        <w:rPr>
          <w:rFonts w:cs="Arial"/>
          <w:szCs w:val="18"/>
        </w:rPr>
        <w:t>“[a]</w:t>
      </w:r>
      <w:proofErr w:type="spellStart"/>
      <w:r w:rsidRPr="001A52FE">
        <w:rPr>
          <w:rFonts w:cs="Arial"/>
          <w:szCs w:val="18"/>
        </w:rPr>
        <w:t>nnounc</w:t>
      </w:r>
      <w:proofErr w:type="spellEnd"/>
      <w:r w:rsidRPr="001A52FE">
        <w:rPr>
          <w:rFonts w:cs="Arial"/>
          <w:szCs w:val="18"/>
        </w:rPr>
        <w:t>[ed] what has come to be known as the ‘primary purpose’ test”).</w:t>
      </w:r>
    </w:p>
  </w:footnote>
  <w:footnote w:id="44">
    <w:p w14:paraId="19C264B6"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w:t>
      </w:r>
      <w:r w:rsidRPr="001A52FE">
        <w:rPr>
          <w:rFonts w:cs="Arial"/>
          <w:i/>
          <w:szCs w:val="18"/>
        </w:rPr>
        <w:t xml:space="preserve"> </w:t>
      </w:r>
      <w:r w:rsidRPr="004426C7">
        <w:rPr>
          <w:rFonts w:cs="Arial"/>
          <w:i/>
          <w:szCs w:val="18"/>
        </w:rPr>
        <w:t>See</w:t>
      </w:r>
      <w:r>
        <w:rPr>
          <w:rFonts w:cs="Arial"/>
          <w:iCs/>
          <w:szCs w:val="18"/>
        </w:rPr>
        <w:t xml:space="preserve"> Smith v. Arizona, 602 U.S. 779, 800-802 (2024) (so synthesizing the Court’s “varied formulations” of the primary purpose test)</w:t>
      </w:r>
      <w:r w:rsidRPr="001A52FE">
        <w:rPr>
          <w:rFonts w:cs="Arial"/>
          <w:szCs w:val="18"/>
        </w:rPr>
        <w:t>.</w:t>
      </w:r>
    </w:p>
  </w:footnote>
  <w:footnote w:id="45">
    <w:p w14:paraId="519E5503"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w:t>
      </w:r>
      <w:r w:rsidRPr="001A52FE">
        <w:rPr>
          <w:rFonts w:cs="Arial"/>
          <w:i/>
          <w:szCs w:val="18"/>
        </w:rPr>
        <w:t xml:space="preserve"> </w:t>
      </w:r>
      <w:r>
        <w:rPr>
          <w:rFonts w:cs="Arial"/>
          <w:i/>
          <w:szCs w:val="18"/>
        </w:rPr>
        <w:t>Id.</w:t>
      </w:r>
      <w:r>
        <w:rPr>
          <w:rFonts w:cs="Arial"/>
          <w:iCs/>
          <w:szCs w:val="18"/>
        </w:rPr>
        <w:t xml:space="preserve"> at 802-03.</w:t>
      </w:r>
    </w:p>
  </w:footnote>
  <w:footnote w:id="46">
    <w:p w14:paraId="42302516"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Pr>
          <w:rFonts w:cs="Arial"/>
          <w:szCs w:val="18"/>
        </w:rPr>
        <w:t>547 U.S. 813 (2006).</w:t>
      </w:r>
    </w:p>
  </w:footnote>
  <w:footnote w:id="47">
    <w:p w14:paraId="4C0BA465"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w:t>
      </w:r>
      <w:r>
        <w:rPr>
          <w:rFonts w:cs="Arial"/>
          <w:szCs w:val="18"/>
        </w:rPr>
        <w:t xml:space="preserve"> 547 U.S. at 822-32.</w:t>
      </w:r>
    </w:p>
  </w:footnote>
  <w:footnote w:id="48">
    <w:p w14:paraId="75AE83A4"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562 U.S. 344</w:t>
      </w:r>
      <w:r>
        <w:rPr>
          <w:rFonts w:cs="Arial"/>
          <w:szCs w:val="18"/>
        </w:rPr>
        <w:t>, 359</w:t>
      </w:r>
      <w:r w:rsidRPr="001A52FE">
        <w:rPr>
          <w:rFonts w:cs="Arial"/>
          <w:szCs w:val="18"/>
        </w:rPr>
        <w:t xml:space="preserve"> (2011).</w:t>
      </w:r>
    </w:p>
  </w:footnote>
  <w:footnote w:id="49">
    <w:p w14:paraId="42FD1953"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Pr="001A52FE">
        <w:rPr>
          <w:rFonts w:cs="Arial"/>
          <w:i/>
          <w:szCs w:val="18"/>
        </w:rPr>
        <w:t>Id</w:t>
      </w:r>
      <w:r w:rsidRPr="001A52FE">
        <w:rPr>
          <w:rFonts w:cs="Arial"/>
          <w:szCs w:val="18"/>
        </w:rPr>
        <w:t>. at 37</w:t>
      </w:r>
      <w:r>
        <w:rPr>
          <w:rFonts w:cs="Arial"/>
          <w:szCs w:val="18"/>
        </w:rPr>
        <w:t>2-74</w:t>
      </w:r>
      <w:r w:rsidRPr="001A52FE">
        <w:rPr>
          <w:rFonts w:cs="Arial"/>
          <w:szCs w:val="18"/>
        </w:rPr>
        <w:t>.</w:t>
      </w:r>
    </w:p>
  </w:footnote>
  <w:footnote w:id="50">
    <w:p w14:paraId="02C14A77"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Pr="001A52FE">
        <w:rPr>
          <w:rFonts w:cs="Arial"/>
          <w:i/>
          <w:szCs w:val="18"/>
        </w:rPr>
        <w:t>Id</w:t>
      </w:r>
      <w:r w:rsidRPr="001A52FE">
        <w:rPr>
          <w:rFonts w:cs="Arial"/>
          <w:szCs w:val="18"/>
        </w:rPr>
        <w:t>.</w:t>
      </w:r>
      <w:r>
        <w:rPr>
          <w:rFonts w:cs="Arial"/>
          <w:szCs w:val="18"/>
        </w:rPr>
        <w:t xml:space="preserve"> </w:t>
      </w:r>
      <w:r w:rsidRPr="001A52FE">
        <w:rPr>
          <w:rFonts w:cs="Arial"/>
          <w:szCs w:val="18"/>
        </w:rPr>
        <w:t>North Carolina cases on th</w:t>
      </w:r>
      <w:r>
        <w:rPr>
          <w:rFonts w:cs="Arial"/>
          <w:szCs w:val="18"/>
        </w:rPr>
        <w:t>e ongoing emergency</w:t>
      </w:r>
      <w:r w:rsidRPr="001A52FE">
        <w:rPr>
          <w:rFonts w:cs="Arial"/>
          <w:szCs w:val="18"/>
        </w:rPr>
        <w:t xml:space="preserve"> </w:t>
      </w:r>
      <w:r>
        <w:rPr>
          <w:rFonts w:cs="Arial"/>
          <w:szCs w:val="18"/>
        </w:rPr>
        <w:t>factor</w:t>
      </w:r>
      <w:r w:rsidRPr="001A52FE">
        <w:rPr>
          <w:rFonts w:cs="Arial"/>
          <w:szCs w:val="18"/>
        </w:rPr>
        <w:t xml:space="preserve"> include</w:t>
      </w:r>
      <w:r w:rsidRPr="001A52FE">
        <w:rPr>
          <w:rFonts w:cs="Arial"/>
          <w:i/>
          <w:iCs/>
          <w:szCs w:val="18"/>
        </w:rPr>
        <w:t xml:space="preserve"> State v. Miller</w:t>
      </w:r>
      <w:r w:rsidRPr="001A52FE">
        <w:rPr>
          <w:rFonts w:cs="Arial"/>
          <w:szCs w:val="18"/>
        </w:rPr>
        <w:t xml:space="preserve">, 371 N.C. 273, 283 (2018) (statements of victim to law enforcement officer made outside of her apartment regarding the defendant breaking into her home, assaulting her, and restraining her were nontestimonial when the defendant’s location was unknown, it was unclear whether the defendant was still inside of the victim’s home and whether he still posed a threat; while the statements relayed past events, the statements were made in an informal setting in response to an ongoing emergency), </w:t>
      </w:r>
      <w:r w:rsidRPr="004426C7">
        <w:rPr>
          <w:rFonts w:cs="Arial"/>
          <w:i/>
          <w:iCs/>
          <w:szCs w:val="18"/>
        </w:rPr>
        <w:t>State v. Guy</w:t>
      </w:r>
      <w:r w:rsidRPr="001A52FE">
        <w:rPr>
          <w:rFonts w:cs="Arial"/>
          <w:szCs w:val="18"/>
        </w:rPr>
        <w:t xml:space="preserve">, 262 N.C. App. 313, 318-19 (2018) (statements to law enforcement officer regarding the circumstances of a recent armed robbery were nontestimonial when the location of the suspects was unknown and the suspects posed an ongoing threat to the public; statements were primarily made to assist in the apprehension of the suspects), and </w:t>
      </w:r>
      <w:r w:rsidRPr="004426C7">
        <w:rPr>
          <w:rFonts w:cs="Arial"/>
          <w:i/>
          <w:iCs/>
          <w:szCs w:val="18"/>
        </w:rPr>
        <w:t>State v. Glenn</w:t>
      </w:r>
      <w:r w:rsidRPr="001A52FE">
        <w:rPr>
          <w:rFonts w:cs="Arial"/>
          <w:szCs w:val="18"/>
        </w:rPr>
        <w:t>, 220 N.C. App. 23, 29-32 (2012) (statements by sexual assault victim to law enforcement officer were testimonial where the victim was voluntarily released following the assault, the assailant used a knife and not a gun, there was no indication that the suspect was nearby, and no indication that the suspect posed a threat to the victim, law enforcement, or the public; any emergency was over at the time the statements were made).</w:t>
      </w:r>
    </w:p>
  </w:footnote>
  <w:footnote w:id="51">
    <w:p w14:paraId="4C526B61"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562 U.S. </w:t>
      </w:r>
      <w:r>
        <w:rPr>
          <w:rFonts w:cs="Arial"/>
          <w:szCs w:val="18"/>
        </w:rPr>
        <w:t xml:space="preserve">at 364; </w:t>
      </w:r>
      <w:r>
        <w:rPr>
          <w:rFonts w:cs="Arial"/>
          <w:i/>
          <w:iCs/>
          <w:szCs w:val="18"/>
        </w:rPr>
        <w:t xml:space="preserve">see also </w:t>
      </w:r>
      <w:r>
        <w:rPr>
          <w:rFonts w:cs="Arial"/>
          <w:szCs w:val="18"/>
        </w:rPr>
        <w:t>State v. McKiver, 369 N.C. 652, 656 (2017) (ongoing emergency where 911 caller reported a dispute outside the caller’s home involving a man brandishing a gun)</w:t>
      </w:r>
      <w:r w:rsidRPr="001A52FE">
        <w:rPr>
          <w:rFonts w:cs="Arial"/>
          <w:szCs w:val="18"/>
        </w:rPr>
        <w:t>.</w:t>
      </w:r>
    </w:p>
  </w:footnote>
  <w:footnote w:id="52">
    <w:p w14:paraId="10EE5244"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Pr>
          <w:rFonts w:cs="Arial"/>
          <w:i/>
          <w:iCs/>
          <w:szCs w:val="18"/>
        </w:rPr>
        <w:t>Bryant</w:t>
      </w:r>
      <w:r>
        <w:rPr>
          <w:rFonts w:cs="Arial"/>
          <w:szCs w:val="18"/>
        </w:rPr>
        <w:t>, 562 U.S. at 374</w:t>
      </w:r>
      <w:r w:rsidRPr="001A52FE">
        <w:rPr>
          <w:rFonts w:cs="Arial"/>
          <w:szCs w:val="18"/>
        </w:rPr>
        <w:t>.</w:t>
      </w:r>
    </w:p>
  </w:footnote>
  <w:footnote w:id="53">
    <w:p w14:paraId="21D6C602" w14:textId="77777777" w:rsidR="00593126" w:rsidRPr="00772A90"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Pr>
          <w:rFonts w:cs="Arial"/>
          <w:i/>
          <w:iCs/>
          <w:szCs w:val="18"/>
        </w:rPr>
        <w:t>Id</w:t>
      </w:r>
      <w:r>
        <w:rPr>
          <w:rFonts w:cs="Arial"/>
          <w:szCs w:val="18"/>
        </w:rPr>
        <w:t>. at 356-58.</w:t>
      </w:r>
    </w:p>
  </w:footnote>
  <w:footnote w:id="54">
    <w:p w14:paraId="47770342" w14:textId="5E2A40A3" w:rsidR="00593126" w:rsidRPr="00B70A4D"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Ohio v. Clark, 576 U.S. 237, 245 (2015)</w:t>
      </w:r>
      <w:r>
        <w:rPr>
          <w:rFonts w:cs="Arial"/>
          <w:szCs w:val="18"/>
        </w:rPr>
        <w:t xml:space="preserve">. </w:t>
      </w:r>
      <w:r>
        <w:rPr>
          <w:rFonts w:cs="Arial"/>
          <w:i/>
          <w:iCs/>
          <w:szCs w:val="18"/>
        </w:rPr>
        <w:t>See also</w:t>
      </w:r>
      <w:r>
        <w:rPr>
          <w:rFonts w:cs="Arial"/>
          <w:szCs w:val="18"/>
        </w:rPr>
        <w:t xml:space="preserve"> State v. Miller, 371 N.C. 273, 284 (2018) (discussion between officer and victim was “clearly informal and took place in an environment that cannot be reasonably described as ‘tranquil.’”).</w:t>
      </w:r>
    </w:p>
  </w:footnote>
  <w:footnote w:id="55">
    <w:p w14:paraId="3BC4CE39" w14:textId="161AB7C9"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Pr>
          <w:rFonts w:cs="Arial"/>
          <w:i/>
          <w:iCs/>
          <w:szCs w:val="18"/>
        </w:rPr>
        <w:t>Bryant</w:t>
      </w:r>
      <w:r>
        <w:rPr>
          <w:rFonts w:cs="Arial"/>
          <w:szCs w:val="18"/>
        </w:rPr>
        <w:t>, 562 U.S. at</w:t>
      </w:r>
      <w:r w:rsidRPr="001A52FE">
        <w:rPr>
          <w:rFonts w:cs="Arial"/>
          <w:szCs w:val="18"/>
        </w:rPr>
        <w:t xml:space="preserve"> 367.</w:t>
      </w:r>
    </w:p>
  </w:footnote>
  <w:footnote w:id="56">
    <w:p w14:paraId="082832FB"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Pr="001A52FE">
        <w:rPr>
          <w:rFonts w:cs="Arial"/>
          <w:i/>
          <w:szCs w:val="18"/>
        </w:rPr>
        <w:t>Id</w:t>
      </w:r>
      <w:r w:rsidRPr="001A52FE">
        <w:rPr>
          <w:rFonts w:cs="Arial"/>
          <w:szCs w:val="18"/>
        </w:rPr>
        <w:t>. at 37</w:t>
      </w:r>
      <w:r>
        <w:rPr>
          <w:rFonts w:cs="Arial"/>
          <w:szCs w:val="18"/>
        </w:rPr>
        <w:t>6</w:t>
      </w:r>
      <w:r w:rsidRPr="001A52FE">
        <w:rPr>
          <w:rFonts w:cs="Arial"/>
          <w:szCs w:val="18"/>
        </w:rPr>
        <w:t>.</w:t>
      </w:r>
    </w:p>
  </w:footnote>
  <w:footnote w:id="57">
    <w:p w14:paraId="09388B99" w14:textId="77777777" w:rsidR="00593126" w:rsidRPr="00EA1754"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Pr="001A52FE">
        <w:rPr>
          <w:rFonts w:cs="Arial"/>
          <w:i/>
          <w:szCs w:val="18"/>
        </w:rPr>
        <w:t>Id</w:t>
      </w:r>
      <w:r w:rsidRPr="001A52FE">
        <w:rPr>
          <w:rFonts w:cs="Arial"/>
          <w:szCs w:val="18"/>
        </w:rPr>
        <w:t>.</w:t>
      </w:r>
    </w:p>
  </w:footnote>
  <w:footnote w:id="58">
    <w:p w14:paraId="595019D6" w14:textId="77777777" w:rsidR="00593126" w:rsidRPr="00EA1754"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Pr>
          <w:rFonts w:cs="Arial"/>
          <w:i/>
          <w:iCs/>
          <w:szCs w:val="18"/>
        </w:rPr>
        <w:t>Davis</w:t>
      </w:r>
      <w:r>
        <w:rPr>
          <w:rFonts w:cs="Arial"/>
          <w:szCs w:val="18"/>
        </w:rPr>
        <w:t>, 547 U.S. at 832.</w:t>
      </w:r>
    </w:p>
  </w:footnote>
  <w:footnote w:id="59">
    <w:p w14:paraId="70FC1BDA"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Pr>
          <w:rFonts w:cs="Arial"/>
          <w:i/>
          <w:iCs/>
          <w:szCs w:val="18"/>
        </w:rPr>
        <w:t>Bryant</w:t>
      </w:r>
      <w:r>
        <w:rPr>
          <w:rFonts w:cs="Arial"/>
          <w:szCs w:val="18"/>
        </w:rPr>
        <w:t>, 562 U.S. at</w:t>
      </w:r>
      <w:r w:rsidRPr="001A52FE">
        <w:rPr>
          <w:rFonts w:cs="Arial"/>
          <w:szCs w:val="18"/>
        </w:rPr>
        <w:t xml:space="preserve"> 367.</w:t>
      </w:r>
    </w:p>
  </w:footnote>
  <w:footnote w:id="60">
    <w:p w14:paraId="12C576BB" w14:textId="77777777" w:rsidR="00593126" w:rsidRPr="00715784" w:rsidRDefault="00593126" w:rsidP="00593126">
      <w:pPr>
        <w:pStyle w:val="FootnoteText"/>
        <w:rPr>
          <w:rFonts w:cs="Arial"/>
          <w:iCs/>
          <w:szCs w:val="18"/>
        </w:rPr>
      </w:pPr>
      <w:r w:rsidRPr="00432E5B">
        <w:rPr>
          <w:rStyle w:val="FootnoteReference"/>
          <w:rFonts w:cs="Arial"/>
          <w:szCs w:val="18"/>
          <w:vertAlign w:val="baseline"/>
        </w:rPr>
        <w:footnoteRef/>
      </w:r>
      <w:r w:rsidRPr="001A52FE">
        <w:rPr>
          <w:rFonts w:cs="Arial"/>
          <w:szCs w:val="18"/>
        </w:rPr>
        <w:t xml:space="preserve">. </w:t>
      </w:r>
      <w:r>
        <w:rPr>
          <w:rFonts w:cs="Arial"/>
          <w:iCs/>
          <w:szCs w:val="18"/>
        </w:rPr>
        <w:t xml:space="preserve">371 N.C. 273, 283 (2018); </w:t>
      </w:r>
      <w:r>
        <w:rPr>
          <w:rFonts w:cs="Arial"/>
          <w:i/>
          <w:szCs w:val="18"/>
        </w:rPr>
        <w:t xml:space="preserve">see also </w:t>
      </w:r>
      <w:r>
        <w:rPr>
          <w:rFonts w:cs="Arial"/>
          <w:szCs w:val="18"/>
        </w:rPr>
        <w:t>State v. McKiver, 369 N.C. 652, 656 (2017) (911 caller made nontestimonial statements in reporting that a man outside the caller’s home was brandishing a gun; caller retreated into her home away from windows and responding police officer armed himself with his patrol rifle before entering the scene)</w:t>
      </w:r>
      <w:r>
        <w:rPr>
          <w:rFonts w:cs="Arial"/>
          <w:iCs/>
          <w:szCs w:val="18"/>
        </w:rPr>
        <w:t>.</w:t>
      </w:r>
    </w:p>
  </w:footnote>
  <w:footnote w:id="61">
    <w:p w14:paraId="3C689310"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576 U.S. 237 (2015).</w:t>
      </w:r>
    </w:p>
  </w:footnote>
  <w:footnote w:id="62">
    <w:p w14:paraId="12DEB052"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576 U.S. at 246.</w:t>
      </w:r>
    </w:p>
  </w:footnote>
  <w:footnote w:id="63">
    <w:p w14:paraId="041EF5A9"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Pr="001A52FE">
        <w:rPr>
          <w:rFonts w:cs="Arial"/>
          <w:i/>
          <w:szCs w:val="18"/>
        </w:rPr>
        <w:t xml:space="preserve">Id. </w:t>
      </w:r>
      <w:r w:rsidRPr="001A52FE">
        <w:rPr>
          <w:rFonts w:cs="Arial"/>
          <w:szCs w:val="18"/>
        </w:rPr>
        <w:t>at 248.</w:t>
      </w:r>
    </w:p>
  </w:footnote>
  <w:footnote w:id="64">
    <w:p w14:paraId="32C30CE4"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 xml:space="preserve">. </w:t>
      </w:r>
      <w:r w:rsidRPr="001A52FE">
        <w:rPr>
          <w:rStyle w:val="FootnoteItalic"/>
          <w:rFonts w:ascii="Arial" w:hAnsi="Arial" w:cs="Arial"/>
          <w:sz w:val="18"/>
          <w:szCs w:val="18"/>
        </w:rPr>
        <w:t>Crawford</w:t>
      </w:r>
      <w:r w:rsidRPr="001A52FE">
        <w:rPr>
          <w:rFonts w:cs="Arial"/>
          <w:szCs w:val="18"/>
        </w:rPr>
        <w:t>, 541 U.S. at 51.</w:t>
      </w:r>
    </w:p>
  </w:footnote>
  <w:footnote w:id="65">
    <w:p w14:paraId="7FD25F04"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Pr="001A52FE">
        <w:rPr>
          <w:rFonts w:cs="Arial"/>
          <w:i/>
          <w:iCs/>
          <w:szCs w:val="18"/>
        </w:rPr>
        <w:t>See, e.g.</w:t>
      </w:r>
      <w:r w:rsidRPr="001A52FE">
        <w:rPr>
          <w:rFonts w:cs="Arial"/>
          <w:szCs w:val="18"/>
        </w:rPr>
        <w:t xml:space="preserve">, State v. Roberts, 268 N.C. App. 272, 279-80 (jail phone calls were casual remarks to acquaintances and were nontestimonial); State v. Call, 230 N.C. App. 45, 48 (2013) (in a larceny by merchant case, statements made by a deceased Wal-Mart assistant manager to the store’s loss prevention coordinator were nontestimonial; the loss prevention coordinator was allowed to testify that the assistant manager had informed him about the loss of property, triggering the loss prevention coordinator’s investigation of the matter); State v. Calhoun, 189 N.C. App. 166, 170 (2008) (victim’s statement to a homeowner identifying the shooter was a nontestimonial statement to a “private citizen” even though a responding officer was present when the statement was made); State v. Williams, 185 N.C. App. 318, 325 (2007) (applying the </w:t>
      </w:r>
      <w:r w:rsidRPr="001A52FE">
        <w:rPr>
          <w:rStyle w:val="FootnoteItalic"/>
          <w:rFonts w:ascii="Arial" w:hAnsi="Arial" w:cs="Arial"/>
          <w:sz w:val="18"/>
          <w:szCs w:val="18"/>
        </w:rPr>
        <w:t>Davis</w:t>
      </w:r>
      <w:r w:rsidRPr="001A52FE">
        <w:rPr>
          <w:rFonts w:cs="Arial"/>
          <w:szCs w:val="18"/>
        </w:rPr>
        <w:t xml:space="preserve"> test and holding that the victim’s statement to a friend made during a private conversation before the crime occurred was nontestimonial)</w:t>
      </w:r>
      <w:r>
        <w:rPr>
          <w:rFonts w:cs="Arial"/>
          <w:szCs w:val="18"/>
        </w:rPr>
        <w:t>.</w:t>
      </w:r>
    </w:p>
  </w:footnote>
  <w:footnote w:id="66">
    <w:p w14:paraId="449414A3"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Pr="001A52FE">
        <w:rPr>
          <w:rFonts w:cs="Arial"/>
          <w:i/>
          <w:szCs w:val="18"/>
        </w:rPr>
        <w:t>See, e.g</w:t>
      </w:r>
      <w:r w:rsidRPr="001A52FE">
        <w:rPr>
          <w:rFonts w:cs="Arial"/>
          <w:szCs w:val="18"/>
        </w:rPr>
        <w:t>., State v. McLaughlin, 246 N.C. App. 306, 320-24 (2016) (a child sexual assault victim’s statements to a Children’s Advocacy Center nurse were made for the primary purpose of safeguarding the child’s mental and physical health and thus were nontestimonial; the court rejected the defendant’s argument that the statutory duty to report suspected child abuse rendered the statements testimonial).</w:t>
      </w:r>
    </w:p>
  </w:footnote>
  <w:footnote w:id="67">
    <w:p w14:paraId="7FE8988A"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576 U.S. 237 (2015).</w:t>
      </w:r>
    </w:p>
  </w:footnote>
  <w:footnote w:id="68">
    <w:p w14:paraId="1930D27B"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Pr="001A52FE">
        <w:rPr>
          <w:rFonts w:cs="Arial"/>
          <w:i/>
          <w:szCs w:val="18"/>
        </w:rPr>
        <w:t>Id.</w:t>
      </w:r>
      <w:r w:rsidRPr="001A52FE">
        <w:rPr>
          <w:rFonts w:cs="Arial"/>
          <w:szCs w:val="18"/>
        </w:rPr>
        <w:t xml:space="preserve"> at 249. </w:t>
      </w:r>
      <w:r w:rsidRPr="001A52FE">
        <w:rPr>
          <w:rFonts w:cs="Arial"/>
          <w:i/>
          <w:iCs/>
          <w:szCs w:val="18"/>
        </w:rPr>
        <w:t>See also</w:t>
      </w:r>
      <w:r w:rsidRPr="001A52FE">
        <w:rPr>
          <w:rFonts w:cs="Arial"/>
          <w:szCs w:val="18"/>
        </w:rPr>
        <w:t xml:space="preserve"> </w:t>
      </w:r>
      <w:r w:rsidRPr="00800128">
        <w:rPr>
          <w:rFonts w:cs="Arial"/>
          <w:i/>
          <w:iCs/>
          <w:szCs w:val="18"/>
        </w:rPr>
        <w:t>McLaughlin</w:t>
      </w:r>
      <w:r w:rsidRPr="001A52FE">
        <w:rPr>
          <w:rFonts w:cs="Arial"/>
          <w:szCs w:val="18"/>
        </w:rPr>
        <w:t>, 246 N.C. App. at 322-24 (rejecting the defendant’s argument that statutory duty to report suspected child abuse rendered child victim’s statements to nurse testimonial)</w:t>
      </w:r>
    </w:p>
  </w:footnote>
  <w:footnote w:id="69">
    <w:p w14:paraId="01078531"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Jessica Smith, </w:t>
      </w:r>
      <w:r w:rsidRPr="001A52FE">
        <w:rPr>
          <w:rFonts w:cs="Arial"/>
          <w:i/>
          <w:szCs w:val="18"/>
        </w:rPr>
        <w:t>Evidence Issues in Criminal Cases Involving Child Victims and Child Witnesses</w:t>
      </w:r>
      <w:r w:rsidRPr="001A52FE">
        <w:rPr>
          <w:rFonts w:cs="Arial"/>
          <w:szCs w:val="18"/>
        </w:rPr>
        <w:t xml:space="preserve">, </w:t>
      </w:r>
      <w:r w:rsidRPr="001A52FE">
        <w:rPr>
          <w:rFonts w:cs="Arial"/>
          <w:smallCaps/>
          <w:szCs w:val="18"/>
        </w:rPr>
        <w:t>Admin. Just. Bull</w:t>
      </w:r>
      <w:r w:rsidRPr="001A52FE">
        <w:rPr>
          <w:rFonts w:cs="Arial"/>
          <w:szCs w:val="18"/>
        </w:rPr>
        <w:t xml:space="preserve">. No. 2008/07 at 14-34 (UNC School of Government Dec. 2008) (cataloging cases), </w:t>
      </w:r>
      <w:r w:rsidRPr="001A52FE">
        <w:rPr>
          <w:rFonts w:cs="Arial"/>
          <w:i/>
          <w:szCs w:val="18"/>
        </w:rPr>
        <w:t>available at</w:t>
      </w:r>
      <w:r w:rsidRPr="001A52FE">
        <w:rPr>
          <w:rFonts w:cs="Arial"/>
          <w:szCs w:val="18"/>
        </w:rPr>
        <w:t xml:space="preserve"> https://benchbook.sog.unc.edu/sites/default/files/pdf/EvidenceIssuesinCriminalCasesInvolvingChildVictimsandChildWitnesses.pdf.</w:t>
      </w:r>
    </w:p>
  </w:footnote>
  <w:footnote w:id="70">
    <w:p w14:paraId="188D4760" w14:textId="77777777" w:rsidR="00593126" w:rsidRPr="001A52FE" w:rsidRDefault="00593126" w:rsidP="00593126">
      <w:pPr>
        <w:pStyle w:val="FootnoteText"/>
        <w:rPr>
          <w:rFonts w:cs="Arial"/>
          <w:color w:val="FF0000"/>
          <w:szCs w:val="18"/>
        </w:rPr>
      </w:pPr>
      <w:r w:rsidRPr="00432E5B">
        <w:rPr>
          <w:rStyle w:val="FootnoteReference"/>
          <w:rFonts w:cs="Arial"/>
          <w:szCs w:val="18"/>
          <w:vertAlign w:val="baseline"/>
        </w:rPr>
        <w:footnoteRef/>
      </w:r>
      <w:r w:rsidRPr="001A52FE">
        <w:rPr>
          <w:rFonts w:cs="Arial"/>
          <w:szCs w:val="18"/>
        </w:rPr>
        <w:t xml:space="preserve">. 678 F.3d 317 (4th Cir. 2012), </w:t>
      </w:r>
      <w:r w:rsidRPr="001A52FE">
        <w:rPr>
          <w:rFonts w:cs="Arial"/>
          <w:i/>
          <w:szCs w:val="18"/>
        </w:rPr>
        <w:t>reversed on other grounds</w:t>
      </w:r>
      <w:r w:rsidRPr="001A52FE">
        <w:rPr>
          <w:rFonts w:cs="Arial"/>
          <w:szCs w:val="18"/>
        </w:rPr>
        <w:t>, 133 S. Ct. 2850 (2013).</w:t>
      </w:r>
    </w:p>
  </w:footnote>
  <w:footnote w:id="71">
    <w:p w14:paraId="7EF7E58B"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Pr="001A52FE">
        <w:rPr>
          <w:rFonts w:cs="Arial"/>
          <w:i/>
          <w:szCs w:val="18"/>
        </w:rPr>
        <w:t xml:space="preserve">Id. </w:t>
      </w:r>
      <w:r w:rsidRPr="001A52FE">
        <w:rPr>
          <w:rFonts w:cs="Arial"/>
          <w:szCs w:val="18"/>
        </w:rPr>
        <w:t xml:space="preserve">at 324-26. </w:t>
      </w:r>
      <w:r w:rsidRPr="001A52FE">
        <w:rPr>
          <w:rFonts w:cs="Arial"/>
          <w:i/>
          <w:iCs/>
          <w:szCs w:val="18"/>
        </w:rPr>
        <w:t>See also</w:t>
      </w:r>
      <w:r w:rsidRPr="001A52FE">
        <w:rPr>
          <w:rFonts w:cs="Arial"/>
          <w:szCs w:val="18"/>
        </w:rPr>
        <w:t xml:space="preserve"> Jessica Smith,</w:t>
      </w:r>
      <w:r w:rsidRPr="001A52FE">
        <w:rPr>
          <w:rFonts w:cs="Arial"/>
          <w:i/>
          <w:szCs w:val="18"/>
        </w:rPr>
        <w:t xml:space="preserve"> </w:t>
      </w:r>
      <w:hyperlink r:id="rId2" w:history="1">
        <w:r w:rsidRPr="001A52FE">
          <w:rPr>
            <w:rStyle w:val="Hyperlink"/>
            <w:rFonts w:cs="Arial"/>
            <w:i/>
            <w:szCs w:val="18"/>
          </w:rPr>
          <w:t>4th Circuit Ruling: Child’s Statements to Social Worker Are Non-testimonial</w:t>
        </w:r>
      </w:hyperlink>
      <w:r w:rsidRPr="001A52FE">
        <w:rPr>
          <w:rFonts w:cs="Arial"/>
          <w:szCs w:val="18"/>
        </w:rPr>
        <w:t xml:space="preserve">, </w:t>
      </w:r>
      <w:r w:rsidRPr="001A52FE">
        <w:rPr>
          <w:rFonts w:cs="Arial"/>
          <w:smallCaps/>
          <w:szCs w:val="18"/>
        </w:rPr>
        <w:t>N.C. Crim. L., UNC Sch. of Gov’t Blog</w:t>
      </w:r>
      <w:r w:rsidRPr="001A52FE">
        <w:rPr>
          <w:rFonts w:cs="Arial"/>
          <w:szCs w:val="18"/>
        </w:rPr>
        <w:t xml:space="preserve"> (June 13, 2012). </w:t>
      </w:r>
    </w:p>
  </w:footnote>
  <w:footnote w:id="72">
    <w:p w14:paraId="072E0FA1" w14:textId="77777777" w:rsidR="00593126" w:rsidRPr="001A52FE" w:rsidRDefault="00593126" w:rsidP="00593126">
      <w:pPr>
        <w:pStyle w:val="FootnoteText"/>
        <w:rPr>
          <w:rFonts w:cs="Arial"/>
          <w:iCs/>
          <w:szCs w:val="18"/>
        </w:rPr>
      </w:pPr>
      <w:r w:rsidRPr="00432E5B">
        <w:rPr>
          <w:rStyle w:val="FootnoteReference"/>
          <w:rFonts w:cs="Arial"/>
          <w:szCs w:val="18"/>
          <w:vertAlign w:val="baseline"/>
        </w:rPr>
        <w:footnoteRef/>
      </w:r>
      <w:r w:rsidRPr="001A52FE">
        <w:rPr>
          <w:rFonts w:cs="Arial"/>
          <w:szCs w:val="18"/>
        </w:rPr>
        <w:t xml:space="preserve">. </w:t>
      </w:r>
      <w:r>
        <w:rPr>
          <w:rFonts w:cs="Arial"/>
          <w:szCs w:val="18"/>
        </w:rPr>
        <w:t>547 U.S. at 828-29</w:t>
      </w:r>
      <w:r w:rsidRPr="001A52FE">
        <w:rPr>
          <w:rFonts w:cs="Arial"/>
          <w:szCs w:val="18"/>
        </w:rPr>
        <w:t xml:space="preserve"> (</w:t>
      </w:r>
      <w:r>
        <w:rPr>
          <w:rFonts w:cs="Arial"/>
          <w:szCs w:val="18"/>
        </w:rPr>
        <w:t>“</w:t>
      </w:r>
      <w:r w:rsidRPr="00EC4F09">
        <w:rPr>
          <w:rFonts w:cs="Arial"/>
          <w:szCs w:val="18"/>
        </w:rPr>
        <w:t xml:space="preserve">In this case, for example, after the operator gained the information needed to address the exigency of the moment, the emergency appears to have ended . . .. It could readily be maintained that, from that point on, [the victim's] statements were testimonial, not unlike the 'structured police questioning' that occurred in </w:t>
      </w:r>
      <w:r w:rsidRPr="00EC4F09">
        <w:rPr>
          <w:rFonts w:cs="Arial"/>
          <w:i/>
          <w:iCs/>
          <w:szCs w:val="18"/>
        </w:rPr>
        <w:t>Crawford</w:t>
      </w:r>
      <w:r w:rsidRPr="00EC4F09">
        <w:rPr>
          <w:rFonts w:cs="Arial"/>
          <w:szCs w:val="18"/>
        </w:rPr>
        <w:t>.</w:t>
      </w:r>
      <w:r>
        <w:rPr>
          <w:rFonts w:cs="Arial"/>
          <w:szCs w:val="18"/>
        </w:rPr>
        <w:t>”</w:t>
      </w:r>
      <w:r w:rsidRPr="001A52FE">
        <w:rPr>
          <w:rFonts w:cs="Arial"/>
          <w:szCs w:val="18"/>
        </w:rPr>
        <w:t>).</w:t>
      </w:r>
    </w:p>
  </w:footnote>
  <w:footnote w:id="73">
    <w:p w14:paraId="0D1A549B" w14:textId="77777777" w:rsidR="00593126" w:rsidRPr="001A52FE" w:rsidRDefault="00593126" w:rsidP="00593126">
      <w:pPr>
        <w:pStyle w:val="FootnoteText"/>
        <w:rPr>
          <w:rFonts w:cs="Arial"/>
          <w:iCs/>
          <w:szCs w:val="18"/>
        </w:rPr>
      </w:pPr>
      <w:r w:rsidRPr="00432E5B">
        <w:rPr>
          <w:rStyle w:val="FootnoteReference"/>
          <w:rFonts w:cs="Arial"/>
          <w:szCs w:val="18"/>
          <w:vertAlign w:val="baseline"/>
        </w:rPr>
        <w:footnoteRef/>
      </w:r>
      <w:r w:rsidRPr="001A52FE">
        <w:rPr>
          <w:rFonts w:cs="Arial"/>
          <w:szCs w:val="18"/>
        </w:rPr>
        <w:t>. 602 U.S. 779, 802 (2024).</w:t>
      </w:r>
      <w:r>
        <w:rPr>
          <w:rFonts w:cs="Arial"/>
          <w:szCs w:val="18"/>
        </w:rPr>
        <w:t xml:space="preserve"> Forensic Reports are discussed in more detail below</w:t>
      </w:r>
      <w:r w:rsidRPr="001A52FE">
        <w:rPr>
          <w:rFonts w:cs="Arial"/>
          <w:szCs w:val="18"/>
        </w:rPr>
        <w:t>.</w:t>
      </w:r>
    </w:p>
  </w:footnote>
  <w:footnote w:id="74">
    <w:p w14:paraId="462C6BDD" w14:textId="77777777" w:rsidR="00593126" w:rsidRPr="001A52FE" w:rsidRDefault="00593126" w:rsidP="00593126">
      <w:pPr>
        <w:pStyle w:val="FootnoteText"/>
        <w:rPr>
          <w:rFonts w:cs="Arial"/>
          <w:iCs/>
          <w:szCs w:val="18"/>
        </w:rPr>
      </w:pPr>
      <w:r w:rsidRPr="00432E5B">
        <w:rPr>
          <w:rStyle w:val="FootnoteReference"/>
          <w:rFonts w:cs="Arial"/>
          <w:szCs w:val="18"/>
          <w:vertAlign w:val="baseline"/>
        </w:rPr>
        <w:footnoteRef/>
      </w:r>
      <w:r w:rsidRPr="001A52FE">
        <w:rPr>
          <w:rFonts w:cs="Arial"/>
          <w:szCs w:val="18"/>
        </w:rPr>
        <w:t xml:space="preserve">. </w:t>
      </w:r>
      <w:r>
        <w:rPr>
          <w:rFonts w:cs="Arial"/>
          <w:i/>
          <w:iCs/>
          <w:szCs w:val="18"/>
        </w:rPr>
        <w:t>Davis</w:t>
      </w:r>
      <w:r>
        <w:rPr>
          <w:rFonts w:cs="Arial"/>
          <w:szCs w:val="18"/>
        </w:rPr>
        <w:t>,</w:t>
      </w:r>
      <w:r>
        <w:rPr>
          <w:rFonts w:cs="Arial"/>
          <w:i/>
          <w:iCs/>
          <w:szCs w:val="18"/>
        </w:rPr>
        <w:t xml:space="preserve"> </w:t>
      </w:r>
      <w:r>
        <w:rPr>
          <w:rFonts w:cs="Arial"/>
          <w:szCs w:val="18"/>
        </w:rPr>
        <w:t xml:space="preserve">547 U.S. at 828-29; </w:t>
      </w:r>
      <w:r w:rsidRPr="00EC4F09">
        <w:rPr>
          <w:rFonts w:cs="Arial"/>
          <w:i/>
          <w:iCs/>
          <w:szCs w:val="18"/>
        </w:rPr>
        <w:t>Smith</w:t>
      </w:r>
      <w:r w:rsidRPr="001A52FE">
        <w:rPr>
          <w:rFonts w:cs="Arial"/>
          <w:szCs w:val="18"/>
        </w:rPr>
        <w:t xml:space="preserve">, 602 U.S. </w:t>
      </w:r>
      <w:r>
        <w:rPr>
          <w:rFonts w:cs="Arial"/>
          <w:szCs w:val="18"/>
        </w:rPr>
        <w:t>at</w:t>
      </w:r>
      <w:r w:rsidRPr="001A52FE">
        <w:rPr>
          <w:rFonts w:cs="Arial"/>
          <w:szCs w:val="18"/>
        </w:rPr>
        <w:t xml:space="preserve"> 802.</w:t>
      </w:r>
    </w:p>
  </w:footnote>
  <w:footnote w:id="75">
    <w:p w14:paraId="27F80000" w14:textId="77777777" w:rsidR="00633156" w:rsidRPr="001A52FE" w:rsidRDefault="00633156" w:rsidP="00633156">
      <w:pPr>
        <w:pStyle w:val="FootnoteText"/>
        <w:rPr>
          <w:rFonts w:cs="Arial"/>
          <w:szCs w:val="18"/>
        </w:rPr>
      </w:pPr>
      <w:r w:rsidRPr="001A52FE">
        <w:rPr>
          <w:rFonts w:cs="Arial"/>
          <w:szCs w:val="18"/>
        </w:rPr>
        <w:footnoteRef/>
      </w:r>
      <w:r w:rsidRPr="001A52FE">
        <w:rPr>
          <w:rFonts w:cs="Arial"/>
          <w:szCs w:val="18"/>
        </w:rPr>
        <w:t xml:space="preserve">. 541 U.S. at 68; </w:t>
      </w:r>
      <w:r w:rsidRPr="001A52FE">
        <w:rPr>
          <w:rFonts w:cs="Arial"/>
          <w:i/>
          <w:szCs w:val="18"/>
        </w:rPr>
        <w:t xml:space="preserve">see also Clark, </w:t>
      </w:r>
      <w:r w:rsidRPr="001A52FE">
        <w:rPr>
          <w:rFonts w:cs="Arial"/>
          <w:szCs w:val="18"/>
        </w:rPr>
        <w:t xml:space="preserve">576 U.S. at 243-44 (so describing </w:t>
      </w:r>
      <w:r w:rsidRPr="001A52FE">
        <w:rPr>
          <w:rFonts w:cs="Arial"/>
          <w:i/>
          <w:szCs w:val="18"/>
        </w:rPr>
        <w:t>Crawford</w:t>
      </w:r>
      <w:r w:rsidRPr="001A52FE">
        <w:rPr>
          <w:rFonts w:cs="Arial"/>
          <w:szCs w:val="18"/>
        </w:rPr>
        <w:t>).</w:t>
      </w:r>
    </w:p>
  </w:footnote>
  <w:footnote w:id="76">
    <w:p w14:paraId="08F79B55"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w:t>
      </w:r>
      <w:r w:rsidRPr="001A52FE">
        <w:rPr>
          <w:rStyle w:val="FootnoteItalic"/>
          <w:rFonts w:ascii="Arial" w:hAnsi="Arial" w:cs="Arial"/>
          <w:sz w:val="18"/>
          <w:szCs w:val="18"/>
        </w:rPr>
        <w:t xml:space="preserve"> Crawford, 541 U.S. </w:t>
      </w:r>
      <w:r w:rsidRPr="001A52FE">
        <w:rPr>
          <w:rFonts w:cs="Arial"/>
          <w:szCs w:val="18"/>
        </w:rPr>
        <w:t xml:space="preserve">at 64; </w:t>
      </w:r>
      <w:r w:rsidRPr="001A52FE">
        <w:rPr>
          <w:rFonts w:cs="Arial"/>
          <w:i/>
          <w:iCs/>
          <w:szCs w:val="18"/>
        </w:rPr>
        <w:t>see also</w:t>
      </w:r>
      <w:r w:rsidRPr="001A52FE">
        <w:rPr>
          <w:rFonts w:cs="Arial"/>
          <w:szCs w:val="18"/>
        </w:rPr>
        <w:t xml:space="preserve"> Hemphill v. New York, 595 U.S. 140 (2022) (categorizing transcript of guilty plea as testimonial).</w:t>
      </w:r>
    </w:p>
  </w:footnote>
  <w:footnote w:id="77">
    <w:p w14:paraId="1E0EBC83"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 xml:space="preserve">. </w:t>
      </w:r>
      <w:r w:rsidRPr="001A52FE">
        <w:rPr>
          <w:rStyle w:val="FootnoteItalic"/>
          <w:rFonts w:ascii="Arial" w:hAnsi="Arial" w:cs="Arial"/>
          <w:sz w:val="18"/>
          <w:szCs w:val="18"/>
        </w:rPr>
        <w:t>Davis</w:t>
      </w:r>
      <w:r w:rsidRPr="001A52FE">
        <w:rPr>
          <w:rFonts w:cs="Arial"/>
          <w:szCs w:val="18"/>
        </w:rPr>
        <w:t xml:space="preserve">, 547 U.S. at 824 n.3, 825; </w:t>
      </w:r>
      <w:r w:rsidRPr="001A52FE">
        <w:rPr>
          <w:rFonts w:cs="Arial"/>
          <w:i/>
          <w:szCs w:val="18"/>
        </w:rPr>
        <w:t xml:space="preserve">see, e.g., </w:t>
      </w:r>
      <w:r w:rsidRPr="001A52FE">
        <w:rPr>
          <w:rFonts w:cs="Arial"/>
          <w:szCs w:val="18"/>
        </w:rPr>
        <w:t xml:space="preserve">State v. Clonts, 254 N.C. App. 95, 126 (2017) (witness’s deposition testimony “clearly” is testimonial), </w:t>
      </w:r>
      <w:r w:rsidRPr="001A52FE">
        <w:rPr>
          <w:rFonts w:cs="Arial"/>
          <w:i/>
          <w:szCs w:val="18"/>
        </w:rPr>
        <w:t>aff’d per curiam</w:t>
      </w:r>
      <w:r w:rsidRPr="001A52FE">
        <w:rPr>
          <w:rFonts w:cs="Arial"/>
          <w:szCs w:val="18"/>
        </w:rPr>
        <w:t>, 371 N.C. 191 (2018).</w:t>
      </w:r>
    </w:p>
  </w:footnote>
  <w:footnote w:id="78">
    <w:p w14:paraId="36629CA5" w14:textId="0B6BCB50" w:rsidR="00593126" w:rsidRPr="00483A75"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Pr="001A52FE">
        <w:rPr>
          <w:rFonts w:cs="Arial"/>
          <w:i/>
          <w:szCs w:val="18"/>
        </w:rPr>
        <w:t>Crawford</w:t>
      </w:r>
      <w:r w:rsidRPr="001A52FE">
        <w:rPr>
          <w:rFonts w:cs="Arial"/>
          <w:szCs w:val="18"/>
        </w:rPr>
        <w:t>, 541 U.S. at 53 n.4.</w:t>
      </w:r>
      <w:r>
        <w:rPr>
          <w:rFonts w:cs="Arial"/>
          <w:szCs w:val="18"/>
        </w:rPr>
        <w:t xml:space="preserve"> </w:t>
      </w:r>
      <w:r>
        <w:rPr>
          <w:rFonts w:cs="Arial"/>
          <w:i/>
          <w:iCs/>
          <w:szCs w:val="18"/>
        </w:rPr>
        <w:t>See also Davis</w:t>
      </w:r>
      <w:r>
        <w:rPr>
          <w:rFonts w:cs="Arial"/>
          <w:szCs w:val="18"/>
        </w:rPr>
        <w:t>, 541 U.S. at 813, 837-38 (Thomas, J., concurring in part) (“</w:t>
      </w:r>
      <w:r w:rsidRPr="00483A75">
        <w:rPr>
          <w:rFonts w:cs="Arial"/>
          <w:i/>
          <w:iCs/>
          <w:szCs w:val="18"/>
        </w:rPr>
        <w:t>Miranda</w:t>
      </w:r>
      <w:r w:rsidRPr="00483A75">
        <w:rPr>
          <w:rFonts w:cs="Arial"/>
          <w:szCs w:val="18"/>
        </w:rPr>
        <w:t xml:space="preserve"> warnings, by their terms, inform a prospective defendant</w:t>
      </w:r>
      <w:r>
        <w:rPr>
          <w:rFonts w:cs="Arial"/>
          <w:szCs w:val="18"/>
        </w:rPr>
        <w:t xml:space="preserve"> </w:t>
      </w:r>
      <w:r w:rsidRPr="00483A75">
        <w:rPr>
          <w:rFonts w:cs="Arial"/>
          <w:szCs w:val="18"/>
        </w:rPr>
        <w:t>that anything he says can be used against him in a court of law.</w:t>
      </w:r>
      <w:r>
        <w:rPr>
          <w:rFonts w:cs="Arial"/>
          <w:szCs w:val="18"/>
        </w:rPr>
        <w:t xml:space="preserve">”). </w:t>
      </w:r>
    </w:p>
  </w:footnote>
  <w:footnote w:id="79">
    <w:p w14:paraId="0020427B"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541 U.S. at 53 n.4</w:t>
      </w:r>
      <w:r>
        <w:rPr>
          <w:rFonts w:cs="Arial"/>
          <w:szCs w:val="18"/>
        </w:rPr>
        <w:t>.</w:t>
      </w:r>
    </w:p>
  </w:footnote>
  <w:footnote w:id="80">
    <w:p w14:paraId="70A328AB"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Pr>
          <w:rFonts w:cs="Arial"/>
          <w:i/>
          <w:iCs/>
          <w:szCs w:val="18"/>
        </w:rPr>
        <w:t>Id</w:t>
      </w:r>
      <w:r>
        <w:rPr>
          <w:rFonts w:cs="Arial"/>
          <w:szCs w:val="18"/>
        </w:rPr>
        <w:t>.</w:t>
      </w:r>
      <w:r w:rsidRPr="001A52FE">
        <w:rPr>
          <w:rFonts w:cs="Arial"/>
          <w:szCs w:val="18"/>
        </w:rPr>
        <w:t xml:space="preserve"> at </w:t>
      </w:r>
      <w:r>
        <w:rPr>
          <w:rFonts w:cs="Arial"/>
          <w:szCs w:val="18"/>
        </w:rPr>
        <w:t>68.</w:t>
      </w:r>
    </w:p>
  </w:footnote>
  <w:footnote w:id="81">
    <w:p w14:paraId="3E5C2CF9"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 xml:space="preserve">. </w:t>
      </w:r>
      <w:r>
        <w:rPr>
          <w:rFonts w:cs="Arial"/>
          <w:i/>
          <w:iCs/>
          <w:szCs w:val="18"/>
        </w:rPr>
        <w:t>See, e.g.</w:t>
      </w:r>
      <w:r>
        <w:rPr>
          <w:rFonts w:cs="Arial"/>
          <w:szCs w:val="18"/>
        </w:rPr>
        <w:t>,</w:t>
      </w:r>
      <w:r>
        <w:rPr>
          <w:rFonts w:cs="Arial"/>
          <w:i/>
          <w:iCs/>
          <w:szCs w:val="18"/>
        </w:rPr>
        <w:t xml:space="preserve"> </w:t>
      </w:r>
      <w:r w:rsidRPr="001A52FE">
        <w:rPr>
          <w:rStyle w:val="FootnoteItalic"/>
          <w:rFonts w:ascii="Arial" w:hAnsi="Arial" w:cs="Arial"/>
          <w:sz w:val="18"/>
          <w:szCs w:val="18"/>
        </w:rPr>
        <w:t>Davis</w:t>
      </w:r>
      <w:r w:rsidRPr="001A52FE">
        <w:rPr>
          <w:rFonts w:cs="Arial"/>
          <w:szCs w:val="18"/>
        </w:rPr>
        <w:t>, 547 U.S. at 82</w:t>
      </w:r>
      <w:r>
        <w:rPr>
          <w:rFonts w:cs="Arial"/>
          <w:szCs w:val="18"/>
        </w:rPr>
        <w:t>7-32</w:t>
      </w:r>
      <w:r w:rsidRPr="001A52FE">
        <w:rPr>
          <w:rFonts w:cs="Arial"/>
          <w:szCs w:val="18"/>
        </w:rPr>
        <w:t>.</w:t>
      </w:r>
    </w:p>
  </w:footnote>
  <w:footnote w:id="82">
    <w:p w14:paraId="7136101D"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 xml:space="preserve">. 557 U.S. </w:t>
      </w:r>
      <w:r>
        <w:rPr>
          <w:rFonts w:cs="Arial"/>
          <w:szCs w:val="18"/>
        </w:rPr>
        <w:t>305 (2009).</w:t>
      </w:r>
    </w:p>
  </w:footnote>
  <w:footnote w:id="83">
    <w:p w14:paraId="42152990"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 xml:space="preserve">. </w:t>
      </w:r>
      <w:r>
        <w:rPr>
          <w:rFonts w:cs="Arial"/>
          <w:szCs w:val="18"/>
        </w:rPr>
        <w:t>State v. Lester, 387 N.C. 90, 102 (2025) (“</w:t>
      </w:r>
      <w:r w:rsidRPr="004975E6">
        <w:rPr>
          <w:rFonts w:cs="Arial"/>
          <w:szCs w:val="18"/>
        </w:rPr>
        <w:t xml:space="preserve">[T]he </w:t>
      </w:r>
      <w:r>
        <w:rPr>
          <w:rFonts w:cs="Arial"/>
          <w:szCs w:val="18"/>
        </w:rPr>
        <w:t>‘</w:t>
      </w:r>
      <w:r w:rsidRPr="004975E6">
        <w:rPr>
          <w:rFonts w:cs="Arial"/>
          <w:szCs w:val="18"/>
        </w:rPr>
        <w:t>primary purpose</w:t>
      </w:r>
      <w:r>
        <w:rPr>
          <w:rFonts w:cs="Arial"/>
          <w:szCs w:val="18"/>
        </w:rPr>
        <w:t>’</w:t>
      </w:r>
      <w:r w:rsidRPr="004975E6">
        <w:rPr>
          <w:rFonts w:cs="Arial"/>
          <w:szCs w:val="18"/>
        </w:rPr>
        <w:t xml:space="preserve"> test focuses on why a statement was made in the first place—not why it was later retrieved and turned over.</w:t>
      </w:r>
      <w:r>
        <w:rPr>
          <w:rFonts w:cs="Arial"/>
          <w:szCs w:val="18"/>
        </w:rPr>
        <w:t>”).</w:t>
      </w:r>
    </w:p>
  </w:footnote>
  <w:footnote w:id="84">
    <w:p w14:paraId="71E32387" w14:textId="77777777" w:rsidR="00296C8F" w:rsidRPr="001A52FE" w:rsidRDefault="00296C8F" w:rsidP="00296C8F">
      <w:pPr>
        <w:pStyle w:val="FootnoteText"/>
        <w:rPr>
          <w:rFonts w:cs="Arial"/>
          <w:szCs w:val="18"/>
        </w:rPr>
      </w:pPr>
      <w:r w:rsidRPr="001A52FE">
        <w:rPr>
          <w:rFonts w:cs="Arial"/>
          <w:szCs w:val="18"/>
        </w:rPr>
        <w:footnoteRef/>
      </w:r>
      <w:r w:rsidRPr="001A52FE">
        <w:rPr>
          <w:rFonts w:cs="Arial"/>
          <w:szCs w:val="18"/>
        </w:rPr>
        <w:t xml:space="preserve">. </w:t>
      </w:r>
      <w:r w:rsidRPr="001A52FE">
        <w:rPr>
          <w:rStyle w:val="FootnoteItalic"/>
          <w:rFonts w:ascii="Arial" w:hAnsi="Arial" w:cs="Arial"/>
          <w:sz w:val="18"/>
          <w:szCs w:val="18"/>
        </w:rPr>
        <w:t>Melendez-Diaz</w:t>
      </w:r>
      <w:r w:rsidRPr="001A52FE">
        <w:rPr>
          <w:rFonts w:cs="Arial"/>
          <w:szCs w:val="18"/>
        </w:rPr>
        <w:t xml:space="preserve">, 557 U.S. at 312 n.2; </w:t>
      </w:r>
      <w:r w:rsidRPr="001A52FE">
        <w:rPr>
          <w:rStyle w:val="FootnoteItalic"/>
          <w:rFonts w:ascii="Arial" w:hAnsi="Arial" w:cs="Arial"/>
          <w:sz w:val="18"/>
          <w:szCs w:val="18"/>
        </w:rPr>
        <w:t xml:space="preserve">see also State v. Romano, 268 N.C. App. 440, 452 (2019) (blood test results in medical records were nontestimonial where the statements were primarily created for purposes of medical treatment and qualified as business records made </w:t>
      </w:r>
      <w:proofErr w:type="gramStart"/>
      <w:r w:rsidRPr="001A52FE">
        <w:rPr>
          <w:rStyle w:val="FootnoteItalic"/>
          <w:rFonts w:ascii="Arial" w:hAnsi="Arial" w:cs="Arial"/>
          <w:sz w:val="18"/>
          <w:szCs w:val="18"/>
        </w:rPr>
        <w:t>in the course of</w:t>
      </w:r>
      <w:proofErr w:type="gramEnd"/>
      <w:r w:rsidRPr="001A52FE">
        <w:rPr>
          <w:rStyle w:val="FootnoteItalic"/>
          <w:rFonts w:ascii="Arial" w:hAnsi="Arial" w:cs="Arial"/>
          <w:sz w:val="18"/>
          <w:szCs w:val="18"/>
        </w:rPr>
        <w:t xml:space="preserve"> the hospital’s ordinary operations).</w:t>
      </w:r>
    </w:p>
  </w:footnote>
  <w:footnote w:id="85">
    <w:p w14:paraId="2A8E9F11"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 xml:space="preserve">. </w:t>
      </w:r>
      <w:r w:rsidRPr="001A52FE">
        <w:rPr>
          <w:rFonts w:cs="Arial"/>
          <w:i/>
          <w:szCs w:val="18"/>
        </w:rPr>
        <w:t>Crawford</w:t>
      </w:r>
      <w:r w:rsidRPr="001A52FE">
        <w:rPr>
          <w:rFonts w:cs="Arial"/>
          <w:szCs w:val="18"/>
        </w:rPr>
        <w:t xml:space="preserve">, 541 U.S. at 56 (business records are “by their nature” not testimonial); </w:t>
      </w:r>
      <w:r w:rsidRPr="001A52FE">
        <w:rPr>
          <w:rFonts w:cs="Arial"/>
          <w:i/>
          <w:iCs/>
          <w:szCs w:val="18"/>
        </w:rPr>
        <w:t>see also</w:t>
      </w:r>
      <w:r w:rsidRPr="001A52FE">
        <w:rPr>
          <w:rFonts w:cs="Arial"/>
          <w:szCs w:val="18"/>
        </w:rPr>
        <w:t xml:space="preserve"> State v. Graves, 296 N.C. App. 414, 423 (2024) (social media direct messages were nontestimonial business records “created for the administration of [the] entity’s affairs and not for the purpose of establishing or proving some past fact at trial”).</w:t>
      </w:r>
    </w:p>
  </w:footnote>
  <w:footnote w:id="86">
    <w:p w14:paraId="3C792186"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 xml:space="preserve">. </w:t>
      </w:r>
      <w:r w:rsidRPr="001A52FE">
        <w:rPr>
          <w:rStyle w:val="FootnoteItalic"/>
          <w:rFonts w:ascii="Arial" w:hAnsi="Arial" w:cs="Arial"/>
          <w:sz w:val="18"/>
          <w:szCs w:val="18"/>
        </w:rPr>
        <w:t>Melendez-Diaz</w:t>
      </w:r>
      <w:r w:rsidRPr="001A52FE">
        <w:rPr>
          <w:rFonts w:cs="Arial"/>
          <w:szCs w:val="18"/>
        </w:rPr>
        <w:t>, 557 U.S. at 324.</w:t>
      </w:r>
    </w:p>
  </w:footnote>
  <w:footnote w:id="87">
    <w:p w14:paraId="0E07DD10"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 xml:space="preserve">. </w:t>
      </w:r>
      <w:r w:rsidRPr="001A52FE">
        <w:rPr>
          <w:rStyle w:val="FootnoteItalic"/>
          <w:rFonts w:ascii="Arial" w:hAnsi="Arial" w:cs="Arial"/>
          <w:sz w:val="18"/>
          <w:szCs w:val="18"/>
        </w:rPr>
        <w:t>Melendez-Diaz</w:t>
      </w:r>
      <w:r w:rsidRPr="001A52FE">
        <w:rPr>
          <w:rFonts w:cs="Arial"/>
          <w:szCs w:val="18"/>
        </w:rPr>
        <w:t>, 557 U.S. at 311 n.1.</w:t>
      </w:r>
    </w:p>
  </w:footnote>
  <w:footnote w:id="88">
    <w:p w14:paraId="6112D466" w14:textId="1E28F66B"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Pr="00332CD4">
        <w:rPr>
          <w:rFonts w:cs="Arial"/>
          <w:szCs w:val="18"/>
        </w:rPr>
        <w:t>State v. Lester, 387 N.C. 90</w:t>
      </w:r>
      <w:r>
        <w:rPr>
          <w:rFonts w:cs="Arial"/>
          <w:szCs w:val="18"/>
        </w:rPr>
        <w:t>, 101</w:t>
      </w:r>
      <w:r w:rsidRPr="00332CD4">
        <w:rPr>
          <w:rFonts w:cs="Arial"/>
          <w:szCs w:val="18"/>
        </w:rPr>
        <w:t xml:space="preserve"> (2025)</w:t>
      </w:r>
      <w:r w:rsidRPr="001A52FE">
        <w:rPr>
          <w:rFonts w:cs="Arial"/>
          <w:szCs w:val="18"/>
        </w:rPr>
        <w:t>.</w:t>
      </w:r>
    </w:p>
  </w:footnote>
  <w:footnote w:id="89">
    <w:p w14:paraId="2A6B4611"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432E5B">
        <w:rPr>
          <w:rFonts w:cs="Arial"/>
          <w:szCs w:val="18"/>
        </w:rPr>
        <w:t>.</w:t>
      </w:r>
      <w:r w:rsidRPr="001A52FE">
        <w:rPr>
          <w:rFonts w:cs="Arial"/>
          <w:szCs w:val="18"/>
        </w:rPr>
        <w:t xml:space="preserve"> </w:t>
      </w:r>
      <w:r w:rsidRPr="001A52FE">
        <w:rPr>
          <w:rFonts w:cs="Arial"/>
          <w:i/>
          <w:szCs w:val="18"/>
        </w:rPr>
        <w:t>Id.</w:t>
      </w:r>
    </w:p>
  </w:footnote>
  <w:footnote w:id="90">
    <w:p w14:paraId="706BBB10"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 xml:space="preserve">. </w:t>
      </w:r>
      <w:r w:rsidRPr="001A52FE">
        <w:rPr>
          <w:rStyle w:val="FootnoteItalic"/>
          <w:rFonts w:ascii="Arial" w:hAnsi="Arial" w:cs="Arial"/>
          <w:sz w:val="18"/>
          <w:szCs w:val="18"/>
        </w:rPr>
        <w:t>See Melendez-Diaz</w:t>
      </w:r>
      <w:r w:rsidRPr="001A52FE">
        <w:rPr>
          <w:rFonts w:cs="Arial"/>
          <w:szCs w:val="18"/>
        </w:rPr>
        <w:t>, 557 U.S. at 316, 321-22 (suggesting that an officer’s investigative report describing the crime scene is testimonial and stating that police reports do not qualify as business records because they are made essentially for use in court).</w:t>
      </w:r>
    </w:p>
  </w:footnote>
  <w:footnote w:id="91">
    <w:p w14:paraId="6FF43A30"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 State v. Windley, 173 N.C. App. 187, 194 (2005).</w:t>
      </w:r>
    </w:p>
  </w:footnote>
  <w:footnote w:id="92">
    <w:p w14:paraId="07693A81"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 xml:space="preserve">. State v. Hewson, 182 N.C. App. 196, 207 (2007). </w:t>
      </w:r>
      <w:r w:rsidRPr="001A52FE">
        <w:rPr>
          <w:rFonts w:cs="Arial"/>
          <w:i/>
          <w:szCs w:val="18"/>
        </w:rPr>
        <w:t>Hewson</w:t>
      </w:r>
      <w:r w:rsidRPr="001A52FE">
        <w:rPr>
          <w:rFonts w:cs="Arial"/>
          <w:szCs w:val="18"/>
        </w:rPr>
        <w:t xml:space="preserve"> cited </w:t>
      </w:r>
      <w:r w:rsidRPr="001A52FE">
        <w:rPr>
          <w:rFonts w:cs="Arial"/>
          <w:i/>
          <w:szCs w:val="18"/>
        </w:rPr>
        <w:t>State v. Forte</w:t>
      </w:r>
      <w:r w:rsidRPr="001A52FE">
        <w:rPr>
          <w:rFonts w:cs="Arial"/>
          <w:szCs w:val="18"/>
        </w:rPr>
        <w:t xml:space="preserve">, 360 N.C. 427, 435-36 (2006), in support of its holding. </w:t>
      </w:r>
      <w:r w:rsidRPr="001A52FE">
        <w:rPr>
          <w:rFonts w:cs="Arial"/>
          <w:i/>
          <w:szCs w:val="18"/>
        </w:rPr>
        <w:t>Forte</w:t>
      </w:r>
      <w:r w:rsidRPr="001A52FE">
        <w:rPr>
          <w:rFonts w:cs="Arial"/>
          <w:szCs w:val="18"/>
        </w:rPr>
        <w:t xml:space="preserve"> was later abrogated by </w:t>
      </w:r>
      <w:r w:rsidRPr="001A52FE">
        <w:rPr>
          <w:rFonts w:cs="Arial"/>
          <w:i/>
          <w:szCs w:val="18"/>
        </w:rPr>
        <w:t>Melendez-Diaz</w:t>
      </w:r>
      <w:r w:rsidRPr="001A52FE">
        <w:rPr>
          <w:rFonts w:cs="Arial"/>
          <w:szCs w:val="18"/>
        </w:rPr>
        <w:t>.</w:t>
      </w:r>
    </w:p>
  </w:footnote>
  <w:footnote w:id="93">
    <w:p w14:paraId="6AF60C1A"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 xml:space="preserve">. </w:t>
      </w:r>
      <w:r w:rsidRPr="001A52FE">
        <w:rPr>
          <w:rStyle w:val="FootnoteItalic"/>
          <w:rFonts w:ascii="Arial" w:hAnsi="Arial" w:cs="Arial"/>
          <w:sz w:val="18"/>
          <w:szCs w:val="18"/>
        </w:rPr>
        <w:t>Hewson</w:t>
      </w:r>
      <w:r w:rsidRPr="001A52FE">
        <w:rPr>
          <w:rFonts w:cs="Arial"/>
          <w:szCs w:val="18"/>
        </w:rPr>
        <w:t>, 182 N.C. App. at 201.</w:t>
      </w:r>
    </w:p>
  </w:footnote>
  <w:footnote w:id="94">
    <w:p w14:paraId="7C3B25D9"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 xml:space="preserve">. </w:t>
      </w:r>
      <w:r w:rsidRPr="001A52FE">
        <w:rPr>
          <w:rStyle w:val="FootnoteItalic"/>
          <w:rFonts w:ascii="Arial" w:hAnsi="Arial" w:cs="Arial"/>
          <w:sz w:val="18"/>
          <w:szCs w:val="18"/>
        </w:rPr>
        <w:t>See</w:t>
      </w:r>
      <w:r w:rsidRPr="001A52FE">
        <w:rPr>
          <w:rFonts w:cs="Arial"/>
          <w:szCs w:val="18"/>
        </w:rPr>
        <w:t xml:space="preserve"> </w:t>
      </w:r>
      <w:r w:rsidRPr="001A52FE">
        <w:rPr>
          <w:rStyle w:val="FootnoteItalic"/>
          <w:rFonts w:ascii="Arial" w:hAnsi="Arial" w:cs="Arial"/>
          <w:sz w:val="18"/>
          <w:szCs w:val="18"/>
        </w:rPr>
        <w:t>Melendez-Diaz</w:t>
      </w:r>
      <w:r w:rsidRPr="001A52FE">
        <w:rPr>
          <w:rFonts w:cs="Arial"/>
          <w:szCs w:val="18"/>
        </w:rPr>
        <w:t>, 557 U.S. at 316, 321-22 (suggesting that an officer’s investigative report describing the crime scene is testimonial and stating that police reports do not qualify as business records because they are made essentially for use in court).</w:t>
      </w:r>
    </w:p>
  </w:footnote>
  <w:footnote w:id="95">
    <w:p w14:paraId="0427DEF6"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 182 N.C. App. 196, 208 (2007).</w:t>
      </w:r>
    </w:p>
  </w:footnote>
  <w:footnote w:id="96">
    <w:p w14:paraId="08A130DA"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 State v. Raines, 362 N.C. 1, 16-17 (2007).</w:t>
      </w:r>
    </w:p>
  </w:footnote>
  <w:footnote w:id="97">
    <w:p w14:paraId="2ADBD87D"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 xml:space="preserve">. </w:t>
      </w:r>
      <w:r w:rsidRPr="001A52FE">
        <w:rPr>
          <w:rStyle w:val="FootnoteItalic"/>
          <w:rFonts w:ascii="Arial" w:hAnsi="Arial" w:cs="Arial"/>
          <w:sz w:val="18"/>
          <w:szCs w:val="18"/>
        </w:rPr>
        <w:t>Melendez-Diaz</w:t>
      </w:r>
      <w:r w:rsidRPr="001A52FE">
        <w:rPr>
          <w:rFonts w:cs="Arial"/>
          <w:szCs w:val="18"/>
        </w:rPr>
        <w:t>, 557 U.S. at 324.</w:t>
      </w:r>
    </w:p>
  </w:footnote>
  <w:footnote w:id="98">
    <w:p w14:paraId="4F0CFD37"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 xml:space="preserve">. </w:t>
      </w:r>
      <w:r w:rsidRPr="001A52FE">
        <w:rPr>
          <w:rStyle w:val="FootnoteItalic"/>
          <w:rFonts w:ascii="Arial" w:hAnsi="Arial" w:cs="Arial"/>
          <w:sz w:val="18"/>
          <w:szCs w:val="18"/>
        </w:rPr>
        <w:t>Id</w:t>
      </w:r>
      <w:r w:rsidRPr="001A52FE">
        <w:rPr>
          <w:rFonts w:cs="Arial"/>
          <w:szCs w:val="18"/>
        </w:rPr>
        <w:t>. at 323.</w:t>
      </w:r>
    </w:p>
  </w:footnote>
  <w:footnote w:id="99">
    <w:p w14:paraId="405AFD99"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State v. Clark, 242 N.C. App. 141 (2015).</w:t>
      </w:r>
    </w:p>
  </w:footnote>
  <w:footnote w:id="100">
    <w:p w14:paraId="7DBFAF85"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State v. Gardner, 237 N.C. App. 496, 500-01 (2014).</w:t>
      </w:r>
    </w:p>
  </w:footnote>
  <w:footnote w:id="101">
    <w:p w14:paraId="3DBD7275" w14:textId="77777777" w:rsidR="00593126" w:rsidRPr="001A52FE" w:rsidRDefault="00593126" w:rsidP="00593126">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Pr="001A52FE">
        <w:rPr>
          <w:rFonts w:cs="Arial"/>
          <w:i/>
          <w:szCs w:val="18"/>
        </w:rPr>
        <w:t>Id.</w:t>
      </w:r>
    </w:p>
  </w:footnote>
  <w:footnote w:id="102">
    <w:p w14:paraId="27DCD6FC"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 xml:space="preserve">. </w:t>
      </w:r>
      <w:r w:rsidRPr="001A52FE">
        <w:rPr>
          <w:rFonts w:cs="Arial"/>
          <w:i/>
          <w:szCs w:val="18"/>
        </w:rPr>
        <w:t>Davis</w:t>
      </w:r>
      <w:r w:rsidRPr="001A52FE">
        <w:rPr>
          <w:rFonts w:cs="Arial"/>
          <w:szCs w:val="18"/>
        </w:rPr>
        <w:t xml:space="preserve">, 547 U.S. at 825 (citing </w:t>
      </w:r>
      <w:r w:rsidRPr="001A52FE">
        <w:rPr>
          <w:rStyle w:val="FootnoteItalic"/>
          <w:rFonts w:ascii="Arial" w:hAnsi="Arial" w:cs="Arial"/>
          <w:sz w:val="18"/>
          <w:szCs w:val="18"/>
        </w:rPr>
        <w:t>Dowdell v. United States</w:t>
      </w:r>
      <w:r w:rsidRPr="001A52FE">
        <w:rPr>
          <w:rFonts w:cs="Arial"/>
          <w:szCs w:val="18"/>
        </w:rPr>
        <w:t xml:space="preserve">, 221 U.S. 325 (1911), for the proposition that facts regarding the conduct of a prior trial certified to by the judge, the clerk of court, and the official reporter did not relate to the defendant’s guilt or innocence and thus were nontestimonial); </w:t>
      </w:r>
      <w:r w:rsidRPr="001A52FE">
        <w:rPr>
          <w:rStyle w:val="FootnoteItalic"/>
          <w:rFonts w:ascii="Arial" w:hAnsi="Arial" w:cs="Arial"/>
          <w:sz w:val="18"/>
          <w:szCs w:val="18"/>
        </w:rPr>
        <w:t>Melendez-Diaz</w:t>
      </w:r>
      <w:r w:rsidRPr="001A52FE">
        <w:rPr>
          <w:rFonts w:cs="Arial"/>
          <w:szCs w:val="18"/>
        </w:rPr>
        <w:t>, 557 U.S. at 323 n.8 (same).</w:t>
      </w:r>
    </w:p>
  </w:footnote>
  <w:footnote w:id="103">
    <w:p w14:paraId="5E304B46"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 xml:space="preserve">. </w:t>
      </w:r>
      <w:r w:rsidRPr="001A52FE">
        <w:rPr>
          <w:rStyle w:val="FootnoteItalic"/>
          <w:rFonts w:ascii="Arial" w:hAnsi="Arial" w:cs="Arial"/>
          <w:sz w:val="18"/>
          <w:szCs w:val="18"/>
        </w:rPr>
        <w:t>Melendez-Diaz</w:t>
      </w:r>
      <w:r w:rsidRPr="001A52FE">
        <w:rPr>
          <w:rFonts w:cs="Arial"/>
          <w:szCs w:val="18"/>
        </w:rPr>
        <w:t>, 557 U.S. at 311 n.1.</w:t>
      </w:r>
    </w:p>
  </w:footnote>
  <w:footnote w:id="104">
    <w:p w14:paraId="7DC4B270" w14:textId="77777777" w:rsidR="00593126" w:rsidRPr="001A52FE" w:rsidRDefault="00593126" w:rsidP="00593126">
      <w:pPr>
        <w:pStyle w:val="FootnoteText"/>
        <w:rPr>
          <w:rFonts w:cs="Arial"/>
          <w:i/>
          <w:iCs/>
          <w:szCs w:val="18"/>
        </w:rPr>
      </w:pPr>
      <w:r w:rsidRPr="001A52FE">
        <w:rPr>
          <w:rFonts w:cs="Arial"/>
          <w:szCs w:val="18"/>
        </w:rPr>
        <w:footnoteRef/>
      </w:r>
      <w:r w:rsidRPr="001A52FE">
        <w:rPr>
          <w:rFonts w:cs="Arial"/>
          <w:szCs w:val="18"/>
        </w:rPr>
        <w:t xml:space="preserve">. </w:t>
      </w:r>
      <w:r w:rsidRPr="001A52FE">
        <w:rPr>
          <w:rStyle w:val="FootnoteItalic"/>
          <w:rFonts w:ascii="Arial" w:hAnsi="Arial" w:cs="Arial"/>
          <w:sz w:val="18"/>
          <w:szCs w:val="18"/>
        </w:rPr>
        <w:t>Id.</w:t>
      </w:r>
    </w:p>
  </w:footnote>
  <w:footnote w:id="105">
    <w:p w14:paraId="7DFE761C"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 xml:space="preserve">. </w:t>
      </w:r>
      <w:r w:rsidRPr="001A52FE">
        <w:rPr>
          <w:rStyle w:val="FootnoteItalic"/>
          <w:rFonts w:ascii="Arial" w:hAnsi="Arial" w:cs="Arial"/>
          <w:sz w:val="18"/>
          <w:szCs w:val="18"/>
        </w:rPr>
        <w:t>Id</w:t>
      </w:r>
      <w:r w:rsidRPr="001A52FE">
        <w:rPr>
          <w:rFonts w:cs="Arial"/>
          <w:szCs w:val="18"/>
        </w:rPr>
        <w:t>.</w:t>
      </w:r>
    </w:p>
  </w:footnote>
  <w:footnote w:id="106">
    <w:p w14:paraId="260600F1" w14:textId="77777777" w:rsidR="00593126" w:rsidRPr="001A52FE" w:rsidRDefault="00593126" w:rsidP="00593126">
      <w:pPr>
        <w:pStyle w:val="FootnoteText"/>
        <w:rPr>
          <w:rFonts w:cs="Arial"/>
          <w:szCs w:val="18"/>
        </w:rPr>
      </w:pPr>
      <w:r w:rsidRPr="001A52FE">
        <w:rPr>
          <w:rFonts w:cs="Arial"/>
          <w:szCs w:val="18"/>
        </w:rPr>
        <w:footnoteRef/>
      </w:r>
      <w:r w:rsidRPr="001A52FE">
        <w:rPr>
          <w:rFonts w:cs="Arial"/>
          <w:szCs w:val="18"/>
        </w:rPr>
        <w:t xml:space="preserve">. </w:t>
      </w:r>
      <w:r w:rsidRPr="001A52FE">
        <w:rPr>
          <w:rStyle w:val="FootnoteItalic"/>
          <w:rFonts w:ascii="Arial" w:hAnsi="Arial" w:cs="Arial"/>
          <w:sz w:val="18"/>
          <w:szCs w:val="18"/>
        </w:rPr>
        <w:t>Id.</w:t>
      </w:r>
    </w:p>
  </w:footnote>
  <w:footnote w:id="107">
    <w:p w14:paraId="4F5EDF43" w14:textId="77777777" w:rsidR="00593126" w:rsidRPr="0093220B" w:rsidRDefault="00593126" w:rsidP="00593126">
      <w:pPr>
        <w:pStyle w:val="FootnoteText"/>
        <w:rPr>
          <w:rFonts w:cs="Arial"/>
          <w:iCs/>
          <w:szCs w:val="18"/>
        </w:rPr>
      </w:pPr>
      <w:r w:rsidRPr="001A52FE">
        <w:rPr>
          <w:rFonts w:cs="Arial"/>
          <w:szCs w:val="18"/>
        </w:rPr>
        <w:footnoteRef/>
      </w:r>
      <w:r w:rsidRPr="001A52FE">
        <w:rPr>
          <w:rFonts w:cs="Arial"/>
          <w:szCs w:val="18"/>
        </w:rPr>
        <w:t xml:space="preserve">. State v. Forte, 360 N.C. 427, 435 (2006) (SBI special agent’s report identifying fluids collected from the victim was nontestimonial; relying, in part, on the fact that the reports contained chain of custody information); State v. Hinchman, 192 N.C. App. 657, 664-65 (2008) (chemical analyst’s affidavit was nontestimonial when it was limited to an objective analysis of the evidence and routine chain of custody information). </w:t>
      </w:r>
      <w:r w:rsidRPr="001A52FE">
        <w:rPr>
          <w:rFonts w:cs="Arial"/>
          <w:i/>
          <w:szCs w:val="18"/>
        </w:rPr>
        <w:t>Forte</w:t>
      </w:r>
      <w:r w:rsidRPr="001A52FE">
        <w:rPr>
          <w:rFonts w:cs="Arial"/>
          <w:szCs w:val="18"/>
        </w:rPr>
        <w:t xml:space="preserve"> </w:t>
      </w:r>
      <w:r>
        <w:rPr>
          <w:rFonts w:cs="Arial"/>
          <w:szCs w:val="18"/>
        </w:rPr>
        <w:t xml:space="preserve">and </w:t>
      </w:r>
      <w:r>
        <w:rPr>
          <w:rFonts w:cs="Arial"/>
          <w:i/>
          <w:iCs/>
          <w:szCs w:val="18"/>
        </w:rPr>
        <w:t xml:space="preserve">Hinchman </w:t>
      </w:r>
      <w:r>
        <w:rPr>
          <w:rFonts w:cs="Arial"/>
          <w:szCs w:val="18"/>
        </w:rPr>
        <w:t>were</w:t>
      </w:r>
      <w:r w:rsidRPr="001A52FE">
        <w:rPr>
          <w:rFonts w:cs="Arial"/>
          <w:szCs w:val="18"/>
        </w:rPr>
        <w:t xml:space="preserve"> later abrogated by </w:t>
      </w:r>
      <w:r w:rsidRPr="001A52FE">
        <w:rPr>
          <w:rFonts w:cs="Arial"/>
          <w:i/>
          <w:szCs w:val="18"/>
        </w:rPr>
        <w:t>Melendez-Diaz</w:t>
      </w:r>
      <w:r>
        <w:rPr>
          <w:rFonts w:cs="Arial"/>
          <w:iCs/>
          <w:szCs w:val="18"/>
        </w:rPr>
        <w:t>.</w:t>
      </w:r>
    </w:p>
  </w:footnote>
  <w:footnote w:id="108">
    <w:p w14:paraId="74A11761" w14:textId="07C093AC"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Pr>
          <w:rFonts w:cs="Arial"/>
          <w:i/>
          <w:iCs/>
          <w:szCs w:val="18"/>
        </w:rPr>
        <w:t>See</w:t>
      </w:r>
      <w:r w:rsidRPr="001A52FE">
        <w:rPr>
          <w:rFonts w:cs="Arial"/>
          <w:i/>
          <w:iCs/>
          <w:szCs w:val="18"/>
        </w:rPr>
        <w:t xml:space="preserve"> </w:t>
      </w:r>
      <w:r w:rsidRPr="001A52FE">
        <w:rPr>
          <w:rFonts w:cs="Arial"/>
          <w:szCs w:val="18"/>
        </w:rPr>
        <w:t>Smith v. Arizona, 602 U.S. 779, 795 (2024) (“[T]he truth of [a forensic report] is what makes it useful to the prosecutor. . ..</w:t>
      </w:r>
      <w:r w:rsidR="004577E4">
        <w:rPr>
          <w:rFonts w:cs="Arial"/>
          <w:szCs w:val="18"/>
        </w:rPr>
        <w:t>”</w:t>
      </w:r>
      <w:r w:rsidRPr="001A52FE">
        <w:rPr>
          <w:rFonts w:cs="Arial"/>
          <w:szCs w:val="18"/>
        </w:rPr>
        <w:t>).</w:t>
      </w:r>
    </w:p>
  </w:footnote>
  <w:footnote w:id="109">
    <w:p w14:paraId="630ACD70"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053AB7">
        <w:rPr>
          <w:rFonts w:cs="Arial"/>
          <w:szCs w:val="18"/>
        </w:rPr>
        <w:t>.</w:t>
      </w:r>
      <w:r w:rsidRPr="001A52FE">
        <w:rPr>
          <w:rFonts w:cs="Arial"/>
          <w:szCs w:val="18"/>
        </w:rPr>
        <w:t xml:space="preserve"> </w:t>
      </w:r>
      <w:r w:rsidRPr="001A52FE">
        <w:rPr>
          <w:rFonts w:cs="Arial"/>
          <w:i/>
          <w:iCs/>
          <w:szCs w:val="18"/>
        </w:rPr>
        <w:t>Id</w:t>
      </w:r>
      <w:r w:rsidRPr="001A52FE">
        <w:rPr>
          <w:rFonts w:cs="Arial"/>
          <w:szCs w:val="18"/>
        </w:rPr>
        <w:t>.</w:t>
      </w:r>
    </w:p>
  </w:footnote>
  <w:footnote w:id="110">
    <w:p w14:paraId="30781C6D"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Substitute analyst testimony is discussed in greater detail below.</w:t>
      </w:r>
    </w:p>
  </w:footnote>
  <w:footnote w:id="111">
    <w:p w14:paraId="0AE75A2B"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Pr="001A52FE">
        <w:rPr>
          <w:rFonts w:cs="Arial"/>
          <w:i/>
          <w:iCs/>
          <w:szCs w:val="18"/>
        </w:rPr>
        <w:t>Smith</w:t>
      </w:r>
      <w:r w:rsidRPr="001A52FE">
        <w:rPr>
          <w:rFonts w:cs="Arial"/>
          <w:szCs w:val="18"/>
        </w:rPr>
        <w:t>, 602 U.S. at 799.</w:t>
      </w:r>
    </w:p>
  </w:footnote>
  <w:footnote w:id="112">
    <w:p w14:paraId="687ACB8E"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Pr>
          <w:rFonts w:cs="Arial"/>
          <w:i/>
          <w:iCs/>
          <w:szCs w:val="18"/>
        </w:rPr>
        <w:t xml:space="preserve">See </w:t>
      </w:r>
      <w:r>
        <w:rPr>
          <w:rFonts w:cs="Arial"/>
          <w:szCs w:val="18"/>
        </w:rPr>
        <w:t>Forensic</w:t>
      </w:r>
      <w:r w:rsidRPr="0057154F">
        <w:rPr>
          <w:rFonts w:cs="Arial"/>
          <w:szCs w:val="18"/>
        </w:rPr>
        <w:t xml:space="preserve"> S</w:t>
      </w:r>
      <w:r>
        <w:rPr>
          <w:rFonts w:cs="Arial"/>
          <w:szCs w:val="18"/>
        </w:rPr>
        <w:t>cience</w:t>
      </w:r>
      <w:r w:rsidRPr="0057154F">
        <w:rPr>
          <w:rFonts w:cs="Arial"/>
          <w:szCs w:val="18"/>
        </w:rPr>
        <w:t>, Black's Law Dictionary (12th ed. 2024)</w:t>
      </w:r>
      <w:r>
        <w:rPr>
          <w:rFonts w:cs="Arial"/>
          <w:szCs w:val="18"/>
        </w:rPr>
        <w:t xml:space="preserve"> (“A broad range of evidence-related disciplines . . ..”)</w:t>
      </w:r>
      <w:r w:rsidRPr="0057154F">
        <w:rPr>
          <w:rFonts w:cs="Arial"/>
          <w:szCs w:val="18"/>
        </w:rPr>
        <w:t>.</w:t>
      </w:r>
    </w:p>
  </w:footnote>
  <w:footnote w:id="113">
    <w:p w14:paraId="49DFFFAB"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053AB7">
        <w:rPr>
          <w:rFonts w:cs="Arial"/>
          <w:szCs w:val="18"/>
        </w:rPr>
        <w:t>.</w:t>
      </w:r>
      <w:r w:rsidRPr="001A52FE">
        <w:rPr>
          <w:rFonts w:cs="Arial"/>
          <w:szCs w:val="18"/>
        </w:rPr>
        <w:t xml:space="preserve"> </w:t>
      </w:r>
      <w:r w:rsidRPr="004D6FDD">
        <w:rPr>
          <w:rFonts w:cs="Arial"/>
          <w:i/>
          <w:iCs/>
          <w:szCs w:val="18"/>
        </w:rPr>
        <w:t>Melendez-Diaz</w:t>
      </w:r>
      <w:r>
        <w:rPr>
          <w:rFonts w:cs="Arial"/>
          <w:szCs w:val="18"/>
        </w:rPr>
        <w:t>,</w:t>
      </w:r>
      <w:r w:rsidRPr="001A52FE">
        <w:rPr>
          <w:rFonts w:cs="Arial"/>
          <w:szCs w:val="18"/>
        </w:rPr>
        <w:t xml:space="preserve"> 557 U.S. </w:t>
      </w:r>
      <w:r>
        <w:rPr>
          <w:rFonts w:cs="Arial"/>
          <w:szCs w:val="18"/>
        </w:rPr>
        <w:t>at</w:t>
      </w:r>
      <w:r w:rsidRPr="001A52FE">
        <w:rPr>
          <w:rFonts w:cs="Arial"/>
          <w:szCs w:val="18"/>
        </w:rPr>
        <w:t xml:space="preserve"> 311 (drug test reports were created for the “sole purpose” of use at the defendant’s criminal trial and thus were testimonial); </w:t>
      </w:r>
      <w:proofErr w:type="spellStart"/>
      <w:r w:rsidRPr="001A52FE">
        <w:rPr>
          <w:rFonts w:cs="Arial"/>
          <w:szCs w:val="18"/>
        </w:rPr>
        <w:t>Bullcoming</w:t>
      </w:r>
      <w:proofErr w:type="spellEnd"/>
      <w:r w:rsidRPr="001A52FE">
        <w:rPr>
          <w:rFonts w:cs="Arial"/>
          <w:szCs w:val="18"/>
        </w:rPr>
        <w:t xml:space="preserve"> v. New Mexico, 564 U.S. 647, 663-64 (2011) (describing the blood alcohol analysis report at issue as resembling the report in </w:t>
      </w:r>
      <w:r w:rsidRPr="001A52FE">
        <w:rPr>
          <w:rFonts w:cs="Arial"/>
          <w:i/>
          <w:iCs/>
          <w:szCs w:val="18"/>
        </w:rPr>
        <w:t>Melendez-Diaz</w:t>
      </w:r>
      <w:r w:rsidRPr="001A52FE">
        <w:rPr>
          <w:rFonts w:cs="Arial"/>
          <w:szCs w:val="18"/>
        </w:rPr>
        <w:t xml:space="preserve"> in “all material respects”). North Carolina cases in accord with </w:t>
      </w:r>
      <w:r w:rsidRPr="001A52FE">
        <w:rPr>
          <w:rFonts w:cs="Arial"/>
          <w:i/>
          <w:iCs/>
          <w:szCs w:val="18"/>
        </w:rPr>
        <w:t>Melendez-Diaz</w:t>
      </w:r>
      <w:r w:rsidRPr="001A52FE">
        <w:rPr>
          <w:rFonts w:cs="Arial"/>
          <w:szCs w:val="18"/>
        </w:rPr>
        <w:t xml:space="preserve"> and </w:t>
      </w:r>
      <w:proofErr w:type="spellStart"/>
      <w:r w:rsidRPr="001A52FE">
        <w:rPr>
          <w:rFonts w:cs="Arial"/>
          <w:i/>
          <w:iCs/>
          <w:szCs w:val="18"/>
        </w:rPr>
        <w:t>Bullcoming</w:t>
      </w:r>
      <w:proofErr w:type="spellEnd"/>
      <w:r w:rsidRPr="001A52FE">
        <w:rPr>
          <w:rFonts w:cs="Arial"/>
          <w:i/>
          <w:iCs/>
          <w:szCs w:val="18"/>
        </w:rPr>
        <w:t xml:space="preserve"> </w:t>
      </w:r>
      <w:r w:rsidRPr="001A52FE">
        <w:rPr>
          <w:rFonts w:cs="Arial"/>
          <w:szCs w:val="18"/>
        </w:rPr>
        <w:t xml:space="preserve">on this issue include </w:t>
      </w:r>
      <w:r w:rsidRPr="001A52FE">
        <w:rPr>
          <w:rFonts w:cs="Arial"/>
          <w:i/>
          <w:iCs/>
          <w:szCs w:val="18"/>
        </w:rPr>
        <w:t>State v. Craven</w:t>
      </w:r>
      <w:r w:rsidRPr="001A52FE">
        <w:rPr>
          <w:rFonts w:cs="Arial"/>
          <w:szCs w:val="18"/>
        </w:rPr>
        <w:t xml:space="preserve">, 367 N.C. 51, 57 (2013) (drug test reports) and </w:t>
      </w:r>
      <w:r w:rsidRPr="001A52FE">
        <w:rPr>
          <w:rFonts w:cs="Arial"/>
          <w:i/>
          <w:iCs/>
          <w:szCs w:val="18"/>
        </w:rPr>
        <w:t>State v. Clark</w:t>
      </w:r>
      <w:r w:rsidRPr="001A52FE">
        <w:rPr>
          <w:rFonts w:cs="Arial"/>
          <w:szCs w:val="18"/>
        </w:rPr>
        <w:t>, 296 N.C. App. 718, 723 (2024) (same).</w:t>
      </w:r>
    </w:p>
  </w:footnote>
  <w:footnote w:id="114">
    <w:p w14:paraId="31603158" w14:textId="5520855F" w:rsidR="00EA6585" w:rsidRPr="001162B0"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w:t>
      </w:r>
      <w:r>
        <w:rPr>
          <w:rFonts w:cs="Arial"/>
          <w:i/>
          <w:iCs/>
          <w:szCs w:val="18"/>
        </w:rPr>
        <w:t xml:space="preserve"> See, e.g.</w:t>
      </w:r>
      <w:r>
        <w:rPr>
          <w:rFonts w:cs="Arial"/>
          <w:szCs w:val="18"/>
        </w:rPr>
        <w:t xml:space="preserve">, Williams v. Illinois, </w:t>
      </w:r>
      <w:r w:rsidRPr="001A52FE">
        <w:rPr>
          <w:rFonts w:cs="Arial"/>
          <w:szCs w:val="18"/>
        </w:rPr>
        <w:t>567 U.S. 50 (2012)</w:t>
      </w:r>
      <w:r>
        <w:rPr>
          <w:rFonts w:cs="Arial"/>
          <w:szCs w:val="18"/>
        </w:rPr>
        <w:t xml:space="preserve"> (plurality of four justices found DNA </w:t>
      </w:r>
      <w:r w:rsidRPr="00F0423A">
        <w:rPr>
          <w:rFonts w:cs="Arial"/>
          <w:bCs/>
          <w:szCs w:val="18"/>
        </w:rPr>
        <w:t>report was nontestimonial because it was created with an eye towards locating an at-large rapist and not to create evidence for use at any specific defendant’s later trial</w:t>
      </w:r>
      <w:r>
        <w:rPr>
          <w:rFonts w:cs="Arial"/>
          <w:bCs/>
          <w:szCs w:val="18"/>
        </w:rPr>
        <w:t xml:space="preserve">), </w:t>
      </w:r>
      <w:r>
        <w:rPr>
          <w:rFonts w:cs="Arial"/>
          <w:bCs/>
          <w:i/>
          <w:iCs/>
          <w:szCs w:val="18"/>
        </w:rPr>
        <w:t xml:space="preserve">abrogated on other grounds by </w:t>
      </w:r>
      <w:r w:rsidRPr="001A52FE">
        <w:rPr>
          <w:rFonts w:cs="Arial"/>
          <w:szCs w:val="18"/>
        </w:rPr>
        <w:t>Smith v. Arizona, 602 U.S. 779</w:t>
      </w:r>
      <w:r>
        <w:rPr>
          <w:rFonts w:cs="Arial"/>
          <w:szCs w:val="18"/>
        </w:rPr>
        <w:t xml:space="preserve"> </w:t>
      </w:r>
      <w:r w:rsidRPr="001A52FE">
        <w:rPr>
          <w:rFonts w:cs="Arial"/>
          <w:szCs w:val="18"/>
        </w:rPr>
        <w:t>(2024)</w:t>
      </w:r>
      <w:r>
        <w:rPr>
          <w:rFonts w:cs="Arial"/>
          <w:bCs/>
          <w:szCs w:val="18"/>
        </w:rPr>
        <w:t xml:space="preserve">; </w:t>
      </w:r>
      <w:r w:rsidRPr="001162B0">
        <w:rPr>
          <w:rFonts w:cs="Arial"/>
          <w:szCs w:val="18"/>
        </w:rPr>
        <w:t>State v. Tate</w:t>
      </w:r>
      <w:r>
        <w:rPr>
          <w:rFonts w:cs="Arial"/>
          <w:szCs w:val="18"/>
        </w:rPr>
        <w:t>,</w:t>
      </w:r>
      <w:r w:rsidRPr="001162B0">
        <w:rPr>
          <w:rFonts w:cs="Arial"/>
          <w:szCs w:val="18"/>
        </w:rPr>
        <w:t xml:space="preserve"> </w:t>
      </w:r>
      <w:r w:rsidR="00A97591">
        <w:rPr>
          <w:rFonts w:cs="Arial"/>
          <w:szCs w:val="18"/>
        </w:rPr>
        <w:t>299</w:t>
      </w:r>
      <w:r w:rsidRPr="001162B0">
        <w:rPr>
          <w:rFonts w:cs="Arial"/>
          <w:szCs w:val="18"/>
        </w:rPr>
        <w:t xml:space="preserve"> N.C. App. </w:t>
      </w:r>
      <w:r w:rsidR="00A97591">
        <w:rPr>
          <w:rFonts w:cs="Arial"/>
          <w:szCs w:val="18"/>
        </w:rPr>
        <w:t>507</w:t>
      </w:r>
      <w:r>
        <w:rPr>
          <w:rFonts w:cs="Arial"/>
          <w:szCs w:val="18"/>
        </w:rPr>
        <w:t>,</w:t>
      </w:r>
      <w:r w:rsidR="00A97591">
        <w:rPr>
          <w:rFonts w:cs="Arial"/>
          <w:szCs w:val="18"/>
        </w:rPr>
        <w:t xml:space="preserve"> 530-32</w:t>
      </w:r>
      <w:r w:rsidRPr="001162B0">
        <w:rPr>
          <w:rFonts w:cs="Arial"/>
          <w:szCs w:val="18"/>
        </w:rPr>
        <w:t xml:space="preserve"> (2025) (</w:t>
      </w:r>
      <w:r>
        <w:rPr>
          <w:rFonts w:cs="Arial"/>
          <w:szCs w:val="18"/>
        </w:rPr>
        <w:t xml:space="preserve">following the </w:t>
      </w:r>
      <w:r>
        <w:rPr>
          <w:rFonts w:cs="Arial"/>
          <w:i/>
          <w:iCs/>
          <w:szCs w:val="18"/>
        </w:rPr>
        <w:t>Williams</w:t>
      </w:r>
      <w:r>
        <w:rPr>
          <w:rFonts w:cs="Arial"/>
          <w:szCs w:val="18"/>
        </w:rPr>
        <w:t xml:space="preserve"> plurality</w:t>
      </w:r>
      <w:r w:rsidRPr="001162B0">
        <w:rPr>
          <w:rFonts w:cs="Arial"/>
          <w:szCs w:val="18"/>
        </w:rPr>
        <w:t>).</w:t>
      </w:r>
    </w:p>
  </w:footnote>
  <w:footnote w:id="115">
    <w:p w14:paraId="5251B7DD" w14:textId="77777777" w:rsidR="00EA6585" w:rsidRPr="001A52FE" w:rsidRDefault="00EA6585" w:rsidP="00EA6585">
      <w:pPr>
        <w:pStyle w:val="FootnoteText"/>
        <w:rPr>
          <w:rFonts w:cs="Arial"/>
          <w:szCs w:val="18"/>
        </w:rPr>
      </w:pPr>
      <w:r w:rsidRPr="00EE2253">
        <w:rPr>
          <w:rStyle w:val="FootnoteReference"/>
          <w:rFonts w:cs="Arial"/>
          <w:szCs w:val="18"/>
          <w:vertAlign w:val="baseline"/>
        </w:rPr>
        <w:footnoteRef/>
      </w:r>
      <w:r w:rsidRPr="001A52FE">
        <w:rPr>
          <w:rFonts w:cs="Arial"/>
          <w:szCs w:val="18"/>
        </w:rPr>
        <w:t xml:space="preserve">. </w:t>
      </w:r>
      <w:r w:rsidRPr="001A52FE">
        <w:rPr>
          <w:rFonts w:cs="Arial"/>
          <w:i/>
          <w:iCs/>
          <w:szCs w:val="18"/>
        </w:rPr>
        <w:t>Smith</w:t>
      </w:r>
      <w:r w:rsidRPr="001A52FE">
        <w:rPr>
          <w:rFonts w:cs="Arial"/>
          <w:szCs w:val="18"/>
        </w:rPr>
        <w:t>, 602 U.S. at 801-02.</w:t>
      </w:r>
    </w:p>
  </w:footnote>
  <w:footnote w:id="116">
    <w:p w14:paraId="24076A49"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Pr="001A52FE">
        <w:rPr>
          <w:rFonts w:cs="Arial"/>
          <w:i/>
          <w:iCs/>
          <w:szCs w:val="18"/>
        </w:rPr>
        <w:t>Id</w:t>
      </w:r>
      <w:r w:rsidRPr="001A52FE">
        <w:rPr>
          <w:rFonts w:cs="Arial"/>
          <w:szCs w:val="18"/>
        </w:rPr>
        <w:t>. at 802.</w:t>
      </w:r>
    </w:p>
  </w:footnote>
  <w:footnote w:id="117">
    <w:p w14:paraId="4B85338F"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Pr="001A52FE">
        <w:rPr>
          <w:rFonts w:cs="Arial"/>
          <w:i/>
          <w:iCs/>
          <w:szCs w:val="18"/>
        </w:rPr>
        <w:t>Id</w:t>
      </w:r>
      <w:r w:rsidRPr="001A52FE">
        <w:rPr>
          <w:rFonts w:cs="Arial"/>
          <w:szCs w:val="18"/>
        </w:rPr>
        <w:t>. (suggesting that lab records created to comply with accreditation requirements or to facilitate internal review and quality control as examples of records that would not be testimonial).</w:t>
      </w:r>
    </w:p>
  </w:footnote>
  <w:footnote w:id="118">
    <w:p w14:paraId="5017C1E6"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564 U.S. 647 (2011).</w:t>
      </w:r>
    </w:p>
  </w:footnote>
  <w:footnote w:id="119">
    <w:p w14:paraId="3A76834D"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053AB7">
        <w:rPr>
          <w:rFonts w:cs="Arial"/>
          <w:szCs w:val="18"/>
        </w:rPr>
        <w:t>.</w:t>
      </w:r>
      <w:r w:rsidRPr="001A52FE">
        <w:rPr>
          <w:rFonts w:cs="Arial"/>
          <w:szCs w:val="18"/>
        </w:rPr>
        <w:t xml:space="preserve"> State v. Craven, 367 N.C. 51, 53 (2013) (applying </w:t>
      </w:r>
      <w:proofErr w:type="spellStart"/>
      <w:r w:rsidRPr="001A52FE">
        <w:rPr>
          <w:rFonts w:cs="Arial"/>
          <w:i/>
          <w:szCs w:val="18"/>
        </w:rPr>
        <w:t>Bullcoming</w:t>
      </w:r>
      <w:proofErr w:type="spellEnd"/>
      <w:r w:rsidRPr="001A52FE">
        <w:rPr>
          <w:rFonts w:cs="Arial"/>
          <w:szCs w:val="18"/>
        </w:rPr>
        <w:t xml:space="preserve"> and holding that the defendant’s confrontation rights were violated when the testifying analyst did not give her own independent </w:t>
      </w:r>
      <w:proofErr w:type="gramStart"/>
      <w:r w:rsidRPr="001A52FE">
        <w:rPr>
          <w:rFonts w:cs="Arial"/>
          <w:szCs w:val="18"/>
        </w:rPr>
        <w:t>opinion, but</w:t>
      </w:r>
      <w:proofErr w:type="gramEnd"/>
      <w:r w:rsidRPr="001A52FE">
        <w:rPr>
          <w:rFonts w:cs="Arial"/>
          <w:szCs w:val="18"/>
        </w:rPr>
        <w:t xml:space="preserve"> rather gave “surrogate testimony” that “parroted” the testing analysts' opinions as stated in their lab reports).</w:t>
      </w:r>
    </w:p>
  </w:footnote>
  <w:footnote w:id="120">
    <w:p w14:paraId="6F97E647"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State v. Harris, 221 N.C. App. 548, 556 (2012) (a trainee prepared the DNA report under the testifying expert’s direct supervision and the findings in the report were the expert’s own).</w:t>
      </w:r>
    </w:p>
  </w:footnote>
  <w:footnote w:id="121">
    <w:p w14:paraId="316A32AC"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Pr="001A52FE">
        <w:rPr>
          <w:rFonts w:cs="Arial"/>
          <w:i/>
          <w:iCs/>
          <w:szCs w:val="18"/>
        </w:rPr>
        <w:t>Smith</w:t>
      </w:r>
      <w:r w:rsidRPr="001A52FE">
        <w:rPr>
          <w:rFonts w:cs="Arial"/>
          <w:szCs w:val="18"/>
        </w:rPr>
        <w:t xml:space="preserve">, 602 U.S. at 799. </w:t>
      </w:r>
      <w:r w:rsidRPr="001A52FE">
        <w:rPr>
          <w:rFonts w:cs="Arial"/>
          <w:i/>
          <w:iCs/>
          <w:szCs w:val="18"/>
        </w:rPr>
        <w:t xml:space="preserve">See </w:t>
      </w:r>
      <w:r w:rsidRPr="001A52FE">
        <w:rPr>
          <w:rFonts w:cs="Arial"/>
          <w:szCs w:val="18"/>
        </w:rPr>
        <w:t xml:space="preserve">Shea Denning, </w:t>
      </w:r>
      <w:hyperlink r:id="rId3" w:history="1">
        <w:r w:rsidRPr="001A52FE">
          <w:rPr>
            <w:rStyle w:val="Hyperlink"/>
            <w:rFonts w:cs="Arial"/>
            <w:i/>
            <w:iCs/>
            <w:szCs w:val="18"/>
          </w:rPr>
          <w:t>Smith v. Arizona and So Many Unanswered Questions</w:t>
        </w:r>
      </w:hyperlink>
      <w:r w:rsidRPr="001A52FE">
        <w:rPr>
          <w:rFonts w:cs="Arial"/>
          <w:szCs w:val="18"/>
        </w:rPr>
        <w:t xml:space="preserve">, </w:t>
      </w:r>
      <w:r w:rsidRPr="001A52FE">
        <w:rPr>
          <w:rFonts w:cs="Arial"/>
          <w:smallCaps/>
          <w:szCs w:val="18"/>
        </w:rPr>
        <w:t>N.C. Crim. L., UNC Sch. of Gov’t Blog</w:t>
      </w:r>
      <w:r w:rsidRPr="001A52FE">
        <w:rPr>
          <w:rFonts w:cs="Arial"/>
          <w:szCs w:val="18"/>
        </w:rPr>
        <w:t xml:space="preserve"> (Oct. 25, 2024).</w:t>
      </w:r>
    </w:p>
  </w:footnote>
  <w:footnote w:id="122">
    <w:p w14:paraId="5226B425"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Fed. R. </w:t>
      </w:r>
      <w:r w:rsidRPr="001A52FE">
        <w:rPr>
          <w:rFonts w:cs="Arial"/>
          <w:smallCaps/>
          <w:szCs w:val="18"/>
        </w:rPr>
        <w:t>Evid</w:t>
      </w:r>
      <w:r w:rsidRPr="001A52FE">
        <w:rPr>
          <w:rFonts w:cs="Arial"/>
          <w:szCs w:val="18"/>
        </w:rPr>
        <w:t xml:space="preserve">. 703; </w:t>
      </w:r>
      <w:r w:rsidRPr="001A52FE">
        <w:rPr>
          <w:rFonts w:cs="Arial"/>
          <w:smallCaps/>
          <w:szCs w:val="18"/>
        </w:rPr>
        <w:t>N.C. R</w:t>
      </w:r>
      <w:r w:rsidRPr="001A52FE">
        <w:rPr>
          <w:rFonts w:cs="Arial"/>
          <w:szCs w:val="18"/>
        </w:rPr>
        <w:t xml:space="preserve">. </w:t>
      </w:r>
      <w:r w:rsidRPr="001A52FE">
        <w:rPr>
          <w:rFonts w:cs="Arial"/>
          <w:smallCaps/>
          <w:szCs w:val="18"/>
        </w:rPr>
        <w:t>Evid</w:t>
      </w:r>
      <w:r w:rsidRPr="001A52FE">
        <w:rPr>
          <w:rFonts w:cs="Arial"/>
          <w:szCs w:val="18"/>
        </w:rPr>
        <w:t>. 703.</w:t>
      </w:r>
    </w:p>
  </w:footnote>
  <w:footnote w:id="123">
    <w:p w14:paraId="31D9CA1B"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567 U.S. 50 (2012).</w:t>
      </w:r>
    </w:p>
  </w:footnote>
  <w:footnote w:id="124">
    <w:p w14:paraId="0B2B3F69"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602 U.S. 779 (2024).</w:t>
      </w:r>
    </w:p>
  </w:footnote>
  <w:footnote w:id="125">
    <w:p w14:paraId="152C4B35"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Pr="001A52FE">
        <w:rPr>
          <w:rFonts w:cs="Arial"/>
          <w:i/>
          <w:iCs/>
          <w:szCs w:val="18"/>
        </w:rPr>
        <w:t>Id</w:t>
      </w:r>
      <w:r w:rsidRPr="001A52FE">
        <w:rPr>
          <w:rFonts w:cs="Arial"/>
          <w:szCs w:val="18"/>
        </w:rPr>
        <w:t>. at 783.</w:t>
      </w:r>
    </w:p>
  </w:footnote>
  <w:footnote w:id="126">
    <w:p w14:paraId="5F4DDC3C"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053AB7">
        <w:rPr>
          <w:rFonts w:cs="Arial"/>
          <w:szCs w:val="18"/>
        </w:rPr>
        <w:t>.</w:t>
      </w:r>
      <w:r w:rsidRPr="001A52FE">
        <w:rPr>
          <w:rFonts w:cs="Arial"/>
          <w:szCs w:val="18"/>
        </w:rPr>
        <w:t xml:space="preserve"> </w:t>
      </w:r>
      <w:r>
        <w:rPr>
          <w:rFonts w:cs="Arial"/>
          <w:szCs w:val="18"/>
        </w:rPr>
        <w:t>C</w:t>
      </w:r>
      <w:r w:rsidRPr="001A52FE">
        <w:rPr>
          <w:rFonts w:cs="Arial"/>
          <w:szCs w:val="18"/>
        </w:rPr>
        <w:t xml:space="preserve">ases </w:t>
      </w:r>
      <w:r>
        <w:rPr>
          <w:rFonts w:cs="Arial"/>
          <w:szCs w:val="18"/>
        </w:rPr>
        <w:t xml:space="preserve">overruled on this basis </w:t>
      </w:r>
      <w:r w:rsidRPr="001A52FE">
        <w:rPr>
          <w:rFonts w:cs="Arial"/>
          <w:szCs w:val="18"/>
        </w:rPr>
        <w:t xml:space="preserve">include </w:t>
      </w:r>
      <w:r w:rsidRPr="006F3CF9">
        <w:rPr>
          <w:rFonts w:cs="Arial"/>
          <w:i/>
          <w:iCs/>
          <w:szCs w:val="18"/>
        </w:rPr>
        <w:t>State v. Ortiz-Zape</w:t>
      </w:r>
      <w:r w:rsidRPr="001A52FE">
        <w:rPr>
          <w:rFonts w:cs="Arial"/>
          <w:szCs w:val="18"/>
        </w:rPr>
        <w:t xml:space="preserve">, 367 N.C. 1 (2013) and </w:t>
      </w:r>
      <w:r w:rsidRPr="006F3CF9">
        <w:rPr>
          <w:rFonts w:cs="Arial"/>
          <w:i/>
          <w:iCs/>
          <w:szCs w:val="18"/>
        </w:rPr>
        <w:t>State v. Brewington</w:t>
      </w:r>
      <w:r w:rsidRPr="001A52FE">
        <w:rPr>
          <w:rFonts w:cs="Arial"/>
          <w:szCs w:val="18"/>
        </w:rPr>
        <w:t>, 367 N.C. 29 (2013).</w:t>
      </w:r>
    </w:p>
  </w:footnote>
  <w:footnote w:id="127">
    <w:p w14:paraId="4906DB8A"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602 U.S. at 802.</w:t>
      </w:r>
    </w:p>
  </w:footnote>
  <w:footnote w:id="128">
    <w:p w14:paraId="27210CA2"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Pr="00287B31">
        <w:rPr>
          <w:rFonts w:cs="Arial"/>
          <w:szCs w:val="18"/>
        </w:rPr>
        <w:t>296 N.C. App. 718 (2024)</w:t>
      </w:r>
      <w:r>
        <w:rPr>
          <w:rFonts w:cs="Arial"/>
          <w:szCs w:val="18"/>
        </w:rPr>
        <w:t xml:space="preserve">, </w:t>
      </w:r>
      <w:r>
        <w:rPr>
          <w:rFonts w:cs="Arial"/>
          <w:i/>
          <w:iCs/>
          <w:szCs w:val="18"/>
        </w:rPr>
        <w:t>review allowed</w:t>
      </w:r>
      <w:r>
        <w:rPr>
          <w:rFonts w:cs="Arial"/>
          <w:szCs w:val="18"/>
        </w:rPr>
        <w:t>, ___ N.C. ___, 923 S.E.2d 225 (2025)</w:t>
      </w:r>
      <w:r w:rsidRPr="001A52FE">
        <w:rPr>
          <w:rFonts w:cs="Arial"/>
          <w:szCs w:val="18"/>
        </w:rPr>
        <w:t>.</w:t>
      </w:r>
    </w:p>
  </w:footnote>
  <w:footnote w:id="129">
    <w:p w14:paraId="39EE71FA" w14:textId="524932E1"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00326E1B">
        <w:rPr>
          <w:rFonts w:cs="Arial"/>
          <w:szCs w:val="18"/>
        </w:rPr>
        <w:t>299</w:t>
      </w:r>
      <w:r>
        <w:rPr>
          <w:rFonts w:cs="Arial"/>
          <w:szCs w:val="18"/>
        </w:rPr>
        <w:t xml:space="preserve"> N.C. App. </w:t>
      </w:r>
      <w:r w:rsidR="00326E1B">
        <w:rPr>
          <w:rFonts w:cs="Arial"/>
          <w:szCs w:val="18"/>
        </w:rPr>
        <w:t>507</w:t>
      </w:r>
      <w:r>
        <w:rPr>
          <w:rFonts w:cs="Arial"/>
          <w:szCs w:val="18"/>
        </w:rPr>
        <w:t xml:space="preserve">, </w:t>
      </w:r>
      <w:r w:rsidR="00326E1B">
        <w:rPr>
          <w:rFonts w:cs="Arial"/>
          <w:szCs w:val="18"/>
        </w:rPr>
        <w:t>531</w:t>
      </w:r>
      <w:r>
        <w:rPr>
          <w:rFonts w:cs="Arial"/>
          <w:szCs w:val="18"/>
        </w:rPr>
        <w:t xml:space="preserve"> (2025)</w:t>
      </w:r>
      <w:r w:rsidRPr="001A52FE">
        <w:rPr>
          <w:rFonts w:cs="Arial"/>
          <w:szCs w:val="18"/>
        </w:rPr>
        <w:t>.</w:t>
      </w:r>
    </w:p>
  </w:footnote>
  <w:footnote w:id="130">
    <w:p w14:paraId="0B975678"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Pr>
          <w:rFonts w:cs="Arial"/>
          <w:i/>
          <w:iCs/>
          <w:szCs w:val="18"/>
        </w:rPr>
        <w:t>Id</w:t>
      </w:r>
      <w:r>
        <w:rPr>
          <w:rFonts w:cs="Arial"/>
          <w:szCs w:val="18"/>
        </w:rPr>
        <w:t>.</w:t>
      </w:r>
    </w:p>
  </w:footnote>
  <w:footnote w:id="131">
    <w:p w14:paraId="47DCFA7B"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Pr>
          <w:rFonts w:cs="Arial"/>
          <w:i/>
          <w:iCs/>
          <w:szCs w:val="18"/>
        </w:rPr>
        <w:t>Id</w:t>
      </w:r>
      <w:r w:rsidRPr="001A52FE">
        <w:rPr>
          <w:rFonts w:cs="Arial"/>
          <w:szCs w:val="18"/>
        </w:rPr>
        <w:t>.</w:t>
      </w:r>
    </w:p>
  </w:footnote>
  <w:footnote w:id="132">
    <w:p w14:paraId="03822611"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Pr>
          <w:rFonts w:cs="Arial"/>
          <w:i/>
          <w:iCs/>
          <w:szCs w:val="18"/>
        </w:rPr>
        <w:t>Id</w:t>
      </w:r>
      <w:r w:rsidRPr="001A52FE">
        <w:rPr>
          <w:rFonts w:cs="Arial"/>
          <w:szCs w:val="18"/>
        </w:rPr>
        <w:t>.</w:t>
      </w:r>
      <w:r>
        <w:rPr>
          <w:rFonts w:cs="Arial"/>
          <w:szCs w:val="18"/>
        </w:rPr>
        <w:t xml:space="preserve"> </w:t>
      </w:r>
      <w:r w:rsidRPr="00696D4F">
        <w:rPr>
          <w:rFonts w:cs="Arial"/>
          <w:i/>
          <w:iCs/>
          <w:szCs w:val="18"/>
        </w:rPr>
        <w:t>See</w:t>
      </w:r>
      <w:r>
        <w:rPr>
          <w:rFonts w:cs="Arial"/>
          <w:i/>
          <w:iCs/>
          <w:szCs w:val="18"/>
        </w:rPr>
        <w:t xml:space="preserve"> also</w:t>
      </w:r>
      <w:r w:rsidRPr="00696D4F">
        <w:rPr>
          <w:rFonts w:cs="Arial"/>
          <w:szCs w:val="18"/>
        </w:rPr>
        <w:t xml:space="preserve"> Shea Denning</w:t>
      </w:r>
      <w:r>
        <w:rPr>
          <w:rFonts w:cs="Arial"/>
          <w:szCs w:val="18"/>
        </w:rPr>
        <w:t xml:space="preserve">, </w:t>
      </w:r>
      <w:hyperlink r:id="rId4" w:history="1">
        <w:r w:rsidRPr="00B5539D">
          <w:rPr>
            <w:rStyle w:val="Hyperlink"/>
            <w:rFonts w:cs="Arial"/>
            <w:i/>
            <w:iCs/>
            <w:szCs w:val="18"/>
          </w:rPr>
          <w:t>State v. Tate: DNA Analysis, the Confrontation Clause, and Testimonial Hearsay</w:t>
        </w:r>
      </w:hyperlink>
      <w:r>
        <w:rPr>
          <w:rFonts w:cs="Arial"/>
          <w:szCs w:val="18"/>
        </w:rPr>
        <w:t xml:space="preserve">, </w:t>
      </w:r>
      <w:r w:rsidRPr="00AC7B66">
        <w:rPr>
          <w:rFonts w:cs="Arial"/>
          <w:smallCaps/>
          <w:szCs w:val="18"/>
        </w:rPr>
        <w:t>N.C. Crim. L., UNC Sch. of Gov’t Blog</w:t>
      </w:r>
      <w:r w:rsidRPr="00696D4F">
        <w:rPr>
          <w:rFonts w:cs="Arial"/>
          <w:szCs w:val="18"/>
        </w:rPr>
        <w:t xml:space="preserve"> (</w:t>
      </w:r>
      <w:r>
        <w:rPr>
          <w:rFonts w:cs="Arial"/>
          <w:szCs w:val="18"/>
        </w:rPr>
        <w:t>Jul</w:t>
      </w:r>
      <w:r w:rsidRPr="00696D4F">
        <w:rPr>
          <w:rFonts w:cs="Arial"/>
          <w:szCs w:val="18"/>
        </w:rPr>
        <w:t xml:space="preserve">. </w:t>
      </w:r>
      <w:r>
        <w:rPr>
          <w:rFonts w:cs="Arial"/>
          <w:szCs w:val="18"/>
        </w:rPr>
        <w:t>17</w:t>
      </w:r>
      <w:r w:rsidRPr="00696D4F">
        <w:rPr>
          <w:rFonts w:cs="Arial"/>
          <w:szCs w:val="18"/>
        </w:rPr>
        <w:t>, 202</w:t>
      </w:r>
      <w:r>
        <w:rPr>
          <w:rFonts w:cs="Arial"/>
          <w:szCs w:val="18"/>
        </w:rPr>
        <w:t>5</w:t>
      </w:r>
      <w:r w:rsidRPr="00696D4F">
        <w:rPr>
          <w:rFonts w:cs="Arial"/>
          <w:szCs w:val="18"/>
        </w:rPr>
        <w:t>).</w:t>
      </w:r>
    </w:p>
  </w:footnote>
  <w:footnote w:id="133">
    <w:p w14:paraId="32FB0470"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367 N.C. 1 (2013).</w:t>
      </w:r>
    </w:p>
  </w:footnote>
  <w:footnote w:id="134">
    <w:p w14:paraId="62E6013F"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Pr="001A52FE">
        <w:rPr>
          <w:rFonts w:cs="Arial"/>
          <w:i/>
          <w:szCs w:val="18"/>
        </w:rPr>
        <w:t xml:space="preserve">Id. </w:t>
      </w:r>
      <w:r w:rsidRPr="001A52FE">
        <w:rPr>
          <w:rFonts w:cs="Arial"/>
          <w:szCs w:val="18"/>
        </w:rPr>
        <w:t>at 9-10.</w:t>
      </w:r>
    </w:p>
  </w:footnote>
  <w:footnote w:id="135">
    <w:p w14:paraId="2CCAAF72" w14:textId="29166F21"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Pr="00332CD4">
        <w:rPr>
          <w:rFonts w:cs="Arial"/>
          <w:szCs w:val="18"/>
        </w:rPr>
        <w:t>State v. Lester, 387 N.C. 90</w:t>
      </w:r>
      <w:r>
        <w:rPr>
          <w:rFonts w:cs="Arial"/>
          <w:szCs w:val="18"/>
        </w:rPr>
        <w:t>, 101</w:t>
      </w:r>
      <w:r w:rsidRPr="00332CD4">
        <w:rPr>
          <w:rFonts w:cs="Arial"/>
          <w:szCs w:val="18"/>
        </w:rPr>
        <w:t xml:space="preserve"> (2025) (</w:t>
      </w:r>
      <w:r>
        <w:rPr>
          <w:rFonts w:cs="Arial"/>
          <w:szCs w:val="18"/>
        </w:rPr>
        <w:t>so holding with respect to cell phone call logs and suggesting that the same is true in the context of forensic reports</w:t>
      </w:r>
      <w:r w:rsidRPr="00332CD4">
        <w:rPr>
          <w:rFonts w:cs="Arial"/>
          <w:szCs w:val="18"/>
        </w:rPr>
        <w:t>)</w:t>
      </w:r>
      <w:r>
        <w:rPr>
          <w:rFonts w:cs="Arial"/>
          <w:szCs w:val="18"/>
        </w:rPr>
        <w:t xml:space="preserve">; State v. Robinson, ___ N.C. App. ___, </w:t>
      </w:r>
      <w:r w:rsidR="008F6ACC">
        <w:rPr>
          <w:rFonts w:cs="Arial"/>
          <w:szCs w:val="18"/>
        </w:rPr>
        <w:t>2026 WL156649</w:t>
      </w:r>
      <w:r>
        <w:rPr>
          <w:rFonts w:cs="Arial"/>
          <w:szCs w:val="18"/>
        </w:rPr>
        <w:t xml:space="preserve"> (Jan. 21, 2026) (holding that drug screening toxicology data produced by liquid chromatography “are not out-of-court ‘statements’ within the meaning of the Confrontation Clause”; thus, no confrontation violation for forensic toxicologist to testify to his expert opinion of the toxicology report performed by other forensic chemists)</w:t>
      </w:r>
      <w:r w:rsidRPr="001A52FE">
        <w:rPr>
          <w:rFonts w:cs="Arial"/>
          <w:szCs w:val="18"/>
        </w:rPr>
        <w:t>.</w:t>
      </w:r>
      <w:r>
        <w:rPr>
          <w:rFonts w:cs="Arial"/>
          <w:szCs w:val="18"/>
        </w:rPr>
        <w:t xml:space="preserve"> </w:t>
      </w:r>
      <w:r w:rsidRPr="00696D4F">
        <w:rPr>
          <w:rFonts w:cs="Arial"/>
          <w:i/>
          <w:iCs/>
          <w:szCs w:val="18"/>
        </w:rPr>
        <w:t>See</w:t>
      </w:r>
      <w:r>
        <w:rPr>
          <w:rFonts w:cs="Arial"/>
          <w:i/>
          <w:iCs/>
          <w:szCs w:val="18"/>
        </w:rPr>
        <w:t xml:space="preserve"> also</w:t>
      </w:r>
      <w:r w:rsidRPr="00696D4F">
        <w:rPr>
          <w:rFonts w:cs="Arial"/>
          <w:szCs w:val="18"/>
        </w:rPr>
        <w:t xml:space="preserve"> Shea Denning</w:t>
      </w:r>
      <w:r>
        <w:rPr>
          <w:rFonts w:cs="Arial"/>
          <w:szCs w:val="18"/>
        </w:rPr>
        <w:t xml:space="preserve">, </w:t>
      </w:r>
      <w:hyperlink r:id="rId5" w:history="1">
        <w:r w:rsidRPr="00B5539D">
          <w:rPr>
            <w:rStyle w:val="Hyperlink"/>
            <w:rFonts w:cs="Arial"/>
            <w:i/>
            <w:iCs/>
            <w:szCs w:val="18"/>
          </w:rPr>
          <w:t>State v. Tate: DNA Analysis, the Confrontation Clause, and Testimonial Hearsay</w:t>
        </w:r>
      </w:hyperlink>
      <w:r>
        <w:rPr>
          <w:rFonts w:cs="Arial"/>
          <w:szCs w:val="18"/>
        </w:rPr>
        <w:t xml:space="preserve">, </w:t>
      </w:r>
      <w:r w:rsidRPr="00AC7B66">
        <w:rPr>
          <w:rFonts w:cs="Arial"/>
          <w:smallCaps/>
          <w:szCs w:val="18"/>
        </w:rPr>
        <w:t>N.C. Crim. L., UNC Sch. of Gov’t Blog</w:t>
      </w:r>
      <w:r w:rsidRPr="00696D4F">
        <w:rPr>
          <w:rFonts w:cs="Arial"/>
          <w:szCs w:val="18"/>
        </w:rPr>
        <w:t xml:space="preserve"> (</w:t>
      </w:r>
      <w:r>
        <w:rPr>
          <w:rFonts w:cs="Arial"/>
          <w:szCs w:val="18"/>
        </w:rPr>
        <w:t>Jul</w:t>
      </w:r>
      <w:r w:rsidRPr="00696D4F">
        <w:rPr>
          <w:rFonts w:cs="Arial"/>
          <w:szCs w:val="18"/>
        </w:rPr>
        <w:t xml:space="preserve">. </w:t>
      </w:r>
      <w:r>
        <w:rPr>
          <w:rFonts w:cs="Arial"/>
          <w:szCs w:val="18"/>
        </w:rPr>
        <w:t>17</w:t>
      </w:r>
      <w:r w:rsidRPr="00696D4F">
        <w:rPr>
          <w:rFonts w:cs="Arial"/>
          <w:szCs w:val="18"/>
        </w:rPr>
        <w:t>, 202</w:t>
      </w:r>
      <w:r>
        <w:rPr>
          <w:rFonts w:cs="Arial"/>
          <w:szCs w:val="18"/>
        </w:rPr>
        <w:t>5</w:t>
      </w:r>
      <w:r w:rsidRPr="00696D4F">
        <w:rPr>
          <w:rFonts w:cs="Arial"/>
          <w:szCs w:val="18"/>
        </w:rPr>
        <w:t>).</w:t>
      </w:r>
    </w:p>
  </w:footnote>
  <w:footnote w:id="136">
    <w:p w14:paraId="76B96EEB" w14:textId="77777777" w:rsidR="00EA6585" w:rsidRPr="001A52FE" w:rsidRDefault="00EA6585" w:rsidP="00EA6585">
      <w:pPr>
        <w:pStyle w:val="FootnoteText"/>
        <w:rPr>
          <w:rFonts w:cs="Arial"/>
          <w:szCs w:val="18"/>
        </w:rPr>
      </w:pPr>
      <w:r w:rsidRPr="00432E5B">
        <w:rPr>
          <w:rStyle w:val="FootnoteReference"/>
          <w:rFonts w:cs="Arial"/>
          <w:szCs w:val="18"/>
          <w:vertAlign w:val="baseline"/>
        </w:rPr>
        <w:footnoteRef/>
      </w:r>
      <w:r w:rsidRPr="001A52FE">
        <w:rPr>
          <w:rFonts w:cs="Arial"/>
          <w:szCs w:val="18"/>
        </w:rPr>
        <w:t xml:space="preserve">. </w:t>
      </w:r>
      <w:r w:rsidRPr="001A52FE">
        <w:rPr>
          <w:rFonts w:cs="Arial"/>
          <w:i/>
          <w:szCs w:val="18"/>
        </w:rPr>
        <w:t>Id.</w:t>
      </w:r>
    </w:p>
  </w:footnote>
  <w:footnote w:id="137">
    <w:p w14:paraId="42E12AA7" w14:textId="77777777" w:rsidR="00EA6585" w:rsidRPr="003E24D2" w:rsidRDefault="00EA6585" w:rsidP="00EA6585">
      <w:pPr>
        <w:pStyle w:val="FootnoteText"/>
        <w:rPr>
          <w:rFonts w:cs="Arial"/>
          <w:iCs/>
          <w:szCs w:val="18"/>
        </w:rPr>
      </w:pPr>
      <w:r w:rsidRPr="00432E5B">
        <w:rPr>
          <w:rStyle w:val="FootnoteReference"/>
          <w:rFonts w:cs="Arial"/>
          <w:szCs w:val="18"/>
          <w:vertAlign w:val="baseline"/>
        </w:rPr>
        <w:footnoteRef/>
      </w:r>
      <w:r w:rsidRPr="001A52FE">
        <w:rPr>
          <w:rFonts w:cs="Arial"/>
          <w:szCs w:val="18"/>
        </w:rPr>
        <w:t xml:space="preserve">. </w:t>
      </w:r>
      <w:r>
        <w:rPr>
          <w:rFonts w:cs="Arial"/>
          <w:i/>
          <w:szCs w:val="18"/>
        </w:rPr>
        <w:t>Smith</w:t>
      </w:r>
      <w:r>
        <w:rPr>
          <w:rFonts w:cs="Arial"/>
          <w:iCs/>
          <w:szCs w:val="18"/>
        </w:rPr>
        <w:t xml:space="preserve">, 602 U.S. at 799-800. </w:t>
      </w:r>
      <w:r w:rsidRPr="00696D4F">
        <w:rPr>
          <w:rFonts w:cs="Arial"/>
          <w:i/>
          <w:iCs/>
          <w:szCs w:val="18"/>
        </w:rPr>
        <w:t>See</w:t>
      </w:r>
      <w:r>
        <w:rPr>
          <w:rFonts w:cs="Arial"/>
          <w:i/>
          <w:iCs/>
          <w:szCs w:val="18"/>
        </w:rPr>
        <w:t xml:space="preserve"> </w:t>
      </w:r>
      <w:r>
        <w:rPr>
          <w:rFonts w:cs="Arial"/>
          <w:szCs w:val="18"/>
        </w:rPr>
        <w:t>Phil Dixon,</w:t>
      </w:r>
      <w:r w:rsidRPr="00057B34">
        <w:t xml:space="preserve"> </w:t>
      </w:r>
      <w:hyperlink r:id="rId6" w:history="1">
        <w:r w:rsidRPr="00057B34">
          <w:rPr>
            <w:rStyle w:val="Hyperlink"/>
            <w:rFonts w:cs="Arial"/>
            <w:i/>
            <w:iCs/>
            <w:szCs w:val="18"/>
          </w:rPr>
          <w:t>Machine-Generated Data, Lab Tests, and the Confrontation Clause</w:t>
        </w:r>
      </w:hyperlink>
      <w:r>
        <w:rPr>
          <w:rFonts w:cs="Arial"/>
          <w:szCs w:val="18"/>
        </w:rPr>
        <w:t xml:space="preserve">, </w:t>
      </w:r>
      <w:r w:rsidRPr="00AC7B66">
        <w:rPr>
          <w:rFonts w:cs="Arial"/>
          <w:smallCaps/>
          <w:szCs w:val="18"/>
        </w:rPr>
        <w:t>N.C. Crim. L., UNC Sch. of Gov’t Blog</w:t>
      </w:r>
      <w:r w:rsidRPr="00696D4F">
        <w:rPr>
          <w:rFonts w:cs="Arial"/>
          <w:szCs w:val="18"/>
        </w:rPr>
        <w:t xml:space="preserve"> (</w:t>
      </w:r>
      <w:r>
        <w:rPr>
          <w:rFonts w:cs="Arial"/>
          <w:szCs w:val="18"/>
        </w:rPr>
        <w:t>Mar</w:t>
      </w:r>
      <w:r w:rsidRPr="00696D4F">
        <w:rPr>
          <w:rFonts w:cs="Arial"/>
          <w:szCs w:val="18"/>
        </w:rPr>
        <w:t xml:space="preserve">. </w:t>
      </w:r>
      <w:r>
        <w:rPr>
          <w:rFonts w:cs="Arial"/>
          <w:szCs w:val="18"/>
        </w:rPr>
        <w:t>4</w:t>
      </w:r>
      <w:r w:rsidRPr="00696D4F">
        <w:rPr>
          <w:rFonts w:cs="Arial"/>
          <w:szCs w:val="18"/>
        </w:rPr>
        <w:t>, 202</w:t>
      </w:r>
      <w:r>
        <w:rPr>
          <w:rFonts w:cs="Arial"/>
          <w:szCs w:val="18"/>
        </w:rPr>
        <w:t>5</w:t>
      </w:r>
      <w:r w:rsidRPr="00696D4F">
        <w:rPr>
          <w:rFonts w:cs="Arial"/>
          <w:szCs w:val="18"/>
        </w:rPr>
        <w:t>).</w:t>
      </w:r>
    </w:p>
  </w:footnote>
  <w:footnote w:id="138">
    <w:p w14:paraId="45CAFC6B" w14:textId="7578D3E4" w:rsidR="00CB502D" w:rsidRPr="00CB502D" w:rsidRDefault="00CB502D" w:rsidP="006906C0">
      <w:pPr>
        <w:pStyle w:val="FootnoteText"/>
        <w:rPr>
          <w:spacing w:val="-1"/>
        </w:rPr>
      </w:pPr>
      <w:r w:rsidRPr="00CB502D">
        <w:footnoteRef/>
      </w:r>
      <w:r w:rsidRPr="00CB502D">
        <w:rPr>
          <w:spacing w:val="-1"/>
        </w:rPr>
        <w:t xml:space="preserve">. Giles v. California, 554 U.S. 353, 359 (2008); </w:t>
      </w:r>
      <w:r w:rsidRPr="00CB502D">
        <w:rPr>
          <w:i/>
          <w:spacing w:val="-1"/>
        </w:rPr>
        <w:t>Crawford</w:t>
      </w:r>
      <w:r w:rsidRPr="00CB502D">
        <w:rPr>
          <w:spacing w:val="-1"/>
        </w:rPr>
        <w:t xml:space="preserve">, 541 U.S. at 62 (2004); </w:t>
      </w:r>
      <w:r w:rsidRPr="00CB502D">
        <w:rPr>
          <w:i/>
          <w:spacing w:val="-1"/>
        </w:rPr>
        <w:t>Davis</w:t>
      </w:r>
      <w:r w:rsidRPr="00CB502D">
        <w:rPr>
          <w:spacing w:val="-1"/>
        </w:rPr>
        <w:t xml:space="preserve">, 547 U.S. at 833; </w:t>
      </w:r>
      <w:r w:rsidRPr="00CB502D">
        <w:rPr>
          <w:i/>
          <w:spacing w:val="-1"/>
        </w:rPr>
        <w:t>Clark</w:t>
      </w:r>
      <w:r w:rsidRPr="00CB502D">
        <w:rPr>
          <w:spacing w:val="-1"/>
        </w:rPr>
        <w:t xml:space="preserve">, 576 U.S. at </w:t>
      </w:r>
      <w:r w:rsidR="00004237">
        <w:rPr>
          <w:spacing w:val="-1"/>
        </w:rPr>
        <w:t xml:space="preserve">246 </w:t>
      </w:r>
      <w:r w:rsidRPr="00CB502D">
        <w:rPr>
          <w:spacing w:val="-1"/>
        </w:rPr>
        <w:t xml:space="preserve">(dicta); </w:t>
      </w:r>
      <w:r w:rsidRPr="00CB502D">
        <w:rPr>
          <w:rStyle w:val="FootnoteItalic"/>
          <w:rFonts w:ascii="Arial" w:hAnsi="Arial" w:cs="Arial"/>
          <w:spacing w:val="-1"/>
          <w:sz w:val="18"/>
          <w:szCs w:val="18"/>
        </w:rPr>
        <w:t>see also</w:t>
      </w:r>
      <w:r w:rsidRPr="00CB502D">
        <w:rPr>
          <w:spacing w:val="-1"/>
        </w:rPr>
        <w:t xml:space="preserve"> State v. Lewis, 361 N.C. 541, 549-50 (2007) (inviting application of the doctrine on retrial).</w:t>
      </w:r>
    </w:p>
  </w:footnote>
  <w:footnote w:id="139">
    <w:p w14:paraId="1742803F" w14:textId="77777777" w:rsidR="00CB502D" w:rsidRPr="00CB502D" w:rsidRDefault="00CB502D" w:rsidP="006906C0">
      <w:pPr>
        <w:pStyle w:val="FootnoteText"/>
      </w:pPr>
      <w:r w:rsidRPr="00CB502D">
        <w:footnoteRef/>
      </w:r>
      <w:r w:rsidRPr="00CB502D">
        <w:t xml:space="preserve">. </w:t>
      </w:r>
      <w:r w:rsidRPr="00CB502D">
        <w:rPr>
          <w:rStyle w:val="FootnoteItalic"/>
          <w:rFonts w:ascii="Arial" w:hAnsi="Arial" w:cs="Arial"/>
          <w:sz w:val="18"/>
          <w:szCs w:val="18"/>
        </w:rPr>
        <w:t>Giles</w:t>
      </w:r>
      <w:r w:rsidRPr="00CB502D">
        <w:t>, 554 U.S. at 359, 365.</w:t>
      </w:r>
    </w:p>
  </w:footnote>
  <w:footnote w:id="140">
    <w:p w14:paraId="6D3EAF86" w14:textId="071D5BFB" w:rsidR="00CB502D" w:rsidRPr="00CB502D" w:rsidRDefault="00CB502D" w:rsidP="006906C0">
      <w:pPr>
        <w:pStyle w:val="FootnoteText"/>
      </w:pPr>
      <w:r w:rsidRPr="00CB502D">
        <w:rPr>
          <w:rStyle w:val="FootnoteReference"/>
          <w:rFonts w:cs="Arial"/>
          <w:szCs w:val="18"/>
          <w:vertAlign w:val="baseline"/>
        </w:rPr>
        <w:footnoteRef/>
      </w:r>
      <w:r w:rsidRPr="00CB502D">
        <w:t xml:space="preserve">. </w:t>
      </w:r>
      <w:r w:rsidR="00702BDD">
        <w:t xml:space="preserve">State v. Allen, </w:t>
      </w:r>
      <w:r w:rsidR="000E0D8B">
        <w:t>265 N.C. App. 480 (</w:t>
      </w:r>
      <w:r w:rsidR="00AE6C2A">
        <w:t>2019) (</w:t>
      </w:r>
      <w:r w:rsidR="00AE6C2A" w:rsidRPr="00CB502D">
        <w:t xml:space="preserve">the trial court properly applied the forfeiture by wrongdoing exception where the defendant intimidated </w:t>
      </w:r>
      <w:r w:rsidR="00AE6C2A">
        <w:t>witnesses);</w:t>
      </w:r>
      <w:r w:rsidR="009C5229">
        <w:t xml:space="preserve"> </w:t>
      </w:r>
      <w:r w:rsidRPr="00CB502D">
        <w:t>State v. Weathers, 219 N.C. App. 522, 525-26 (2012) (</w:t>
      </w:r>
      <w:r w:rsidR="00AE6C2A">
        <w:t>same</w:t>
      </w:r>
      <w:r w:rsidRPr="00CB502D">
        <w:t>).</w:t>
      </w:r>
    </w:p>
  </w:footnote>
  <w:footnote w:id="141">
    <w:p w14:paraId="18E0A231" w14:textId="77777777" w:rsidR="00CB502D" w:rsidRPr="00CB502D" w:rsidRDefault="00CB502D" w:rsidP="006906C0">
      <w:pPr>
        <w:pStyle w:val="FootnoteText"/>
      </w:pPr>
      <w:r w:rsidRPr="00CB502D">
        <w:footnoteRef/>
      </w:r>
      <w:r w:rsidRPr="00CB502D">
        <w:t>. 554 U.S. 353 (2008).</w:t>
      </w:r>
    </w:p>
  </w:footnote>
  <w:footnote w:id="142">
    <w:p w14:paraId="7CBAE4AC" w14:textId="77777777" w:rsidR="00CB502D" w:rsidRPr="00CB502D" w:rsidRDefault="00CB502D">
      <w:pPr>
        <w:pStyle w:val="FootnoteText"/>
      </w:pPr>
      <w:r w:rsidRPr="00CB502D">
        <w:rPr>
          <w:rStyle w:val="FootnoteReference"/>
          <w:vertAlign w:val="baseline"/>
        </w:rPr>
        <w:footnoteRef/>
      </w:r>
      <w:r w:rsidRPr="00CB502D">
        <w:t xml:space="preserve">. </w:t>
      </w:r>
      <w:r w:rsidRPr="00CB502D">
        <w:rPr>
          <w:i/>
        </w:rPr>
        <w:t xml:space="preserve">Id. </w:t>
      </w:r>
      <w:r w:rsidRPr="00CB502D">
        <w:t>at 367.</w:t>
      </w:r>
    </w:p>
  </w:footnote>
  <w:footnote w:id="143">
    <w:p w14:paraId="28E3A780" w14:textId="77777777" w:rsidR="00CB502D" w:rsidRPr="00CB502D" w:rsidRDefault="00CB502D" w:rsidP="006906C0">
      <w:pPr>
        <w:pStyle w:val="FootnoteText"/>
      </w:pPr>
      <w:r w:rsidRPr="00CB502D">
        <w:footnoteRef/>
      </w:r>
      <w:r w:rsidRPr="00CB502D">
        <w:t xml:space="preserve">. </w:t>
      </w:r>
      <w:r w:rsidRPr="00CB502D">
        <w:rPr>
          <w:rStyle w:val="FootnoteItalic"/>
          <w:rFonts w:ascii="Arial" w:hAnsi="Arial" w:cs="Arial"/>
          <w:sz w:val="18"/>
          <w:szCs w:val="18"/>
        </w:rPr>
        <w:t>Id</w:t>
      </w:r>
      <w:r w:rsidRPr="00CB502D">
        <w:t>. at 365.</w:t>
      </w:r>
    </w:p>
  </w:footnote>
  <w:footnote w:id="144">
    <w:p w14:paraId="409DADA5" w14:textId="77777777" w:rsidR="00CB502D" w:rsidRPr="00CB502D" w:rsidRDefault="00CB502D" w:rsidP="006906C0">
      <w:pPr>
        <w:pStyle w:val="FootnoteText"/>
        <w:rPr>
          <w:i/>
        </w:rPr>
      </w:pPr>
      <w:r w:rsidRPr="00CB502D">
        <w:footnoteRef/>
      </w:r>
      <w:r w:rsidRPr="00CB502D">
        <w:t xml:space="preserve">. </w:t>
      </w:r>
      <w:r w:rsidRPr="00CB502D">
        <w:rPr>
          <w:rStyle w:val="FootnoteItalic"/>
          <w:rFonts w:ascii="Arial" w:hAnsi="Arial" w:cs="Arial"/>
          <w:sz w:val="18"/>
          <w:szCs w:val="18"/>
        </w:rPr>
        <w:t>Id</w:t>
      </w:r>
      <w:r w:rsidRPr="00CB502D">
        <w:t xml:space="preserve">. at 377.  </w:t>
      </w:r>
    </w:p>
  </w:footnote>
  <w:footnote w:id="145">
    <w:p w14:paraId="7C1B6C1A" w14:textId="77777777" w:rsidR="00CB502D" w:rsidRPr="00CB502D" w:rsidRDefault="00CB502D" w:rsidP="006906C0">
      <w:pPr>
        <w:pStyle w:val="FootnoteText"/>
      </w:pPr>
      <w:r w:rsidRPr="00CB502D">
        <w:footnoteRef/>
      </w:r>
      <w:r w:rsidRPr="00CB502D">
        <w:t xml:space="preserve">. </w:t>
      </w:r>
      <w:r w:rsidRPr="00CB502D">
        <w:rPr>
          <w:rStyle w:val="FootnoteItalic"/>
          <w:rFonts w:ascii="Arial" w:hAnsi="Arial" w:cs="Arial"/>
          <w:sz w:val="18"/>
          <w:szCs w:val="18"/>
        </w:rPr>
        <w:t xml:space="preserve">Id. </w:t>
      </w:r>
      <w:r w:rsidRPr="00CB502D">
        <w:t>at 360.</w:t>
      </w:r>
    </w:p>
  </w:footnote>
  <w:footnote w:id="146">
    <w:p w14:paraId="430F277E" w14:textId="77777777" w:rsidR="00CB502D" w:rsidRPr="00CB502D" w:rsidRDefault="00CB502D" w:rsidP="006906C0">
      <w:pPr>
        <w:pStyle w:val="FootnoteText"/>
      </w:pPr>
      <w:r w:rsidRPr="00CB502D">
        <w:rPr>
          <w:rStyle w:val="FootnoteReference"/>
          <w:rFonts w:cs="Arial"/>
          <w:szCs w:val="18"/>
          <w:vertAlign w:val="baseline"/>
        </w:rPr>
        <w:footnoteRef/>
      </w:r>
      <w:r w:rsidRPr="00CB502D">
        <w:t>. United State v. Dinkins, 691 F.3d 358, 384-85 (4th Cir. 2012) (citing similar holdings from other circuits).</w:t>
      </w:r>
    </w:p>
  </w:footnote>
  <w:footnote w:id="147">
    <w:p w14:paraId="376AE4F7" w14:textId="77777777" w:rsidR="00CB502D" w:rsidRPr="00CB502D" w:rsidRDefault="00CB502D" w:rsidP="006906C0">
      <w:pPr>
        <w:pStyle w:val="FootnoteText"/>
      </w:pPr>
      <w:r w:rsidRPr="00CB502D">
        <w:rPr>
          <w:rStyle w:val="FootnoteReference"/>
          <w:rFonts w:cs="Arial"/>
          <w:szCs w:val="18"/>
          <w:vertAlign w:val="baseline"/>
        </w:rPr>
        <w:footnoteRef/>
      </w:r>
      <w:r w:rsidRPr="00CB502D">
        <w:t xml:space="preserve">. </w:t>
      </w:r>
      <w:r w:rsidRPr="00CB502D">
        <w:rPr>
          <w:i/>
        </w:rPr>
        <w:t>Id.</w:t>
      </w:r>
      <w:r w:rsidRPr="00CB502D">
        <w:t xml:space="preserve"> at 385-86 (finding both prongs of the test met in this case).</w:t>
      </w:r>
    </w:p>
  </w:footnote>
  <w:footnote w:id="148">
    <w:p w14:paraId="6B1B6D8C" w14:textId="77777777" w:rsidR="00CB502D" w:rsidRPr="00CB502D" w:rsidRDefault="00CB502D" w:rsidP="006906C0">
      <w:pPr>
        <w:pStyle w:val="FootnoteText"/>
      </w:pPr>
      <w:r w:rsidRPr="00CB502D">
        <w:rPr>
          <w:rStyle w:val="FootnoteReference"/>
          <w:rFonts w:cs="Arial"/>
          <w:szCs w:val="18"/>
          <w:vertAlign w:val="baseline"/>
        </w:rPr>
        <w:footnoteRef/>
      </w:r>
      <w:r w:rsidRPr="00CB502D">
        <w:t xml:space="preserve">. State v. Weathers, 219 N.C. App. 522, 526 (2012) (rejecting the defendant’s argument that application of the doctrine was improper because the witness never testified that he chose to remain silent out of fear; “It would be nonsensical to require that a witness </w:t>
      </w:r>
      <w:r w:rsidRPr="00CB502D">
        <w:rPr>
          <w:i/>
        </w:rPr>
        <w:t>testify against a defendant</w:t>
      </w:r>
      <w:r w:rsidRPr="00CB502D">
        <w:t xml:space="preserve"> in order to establish that the defendant has intimidated the witness into </w:t>
      </w:r>
      <w:r w:rsidRPr="00CB502D">
        <w:rPr>
          <w:i/>
        </w:rPr>
        <w:t xml:space="preserve">not </w:t>
      </w:r>
      <w:r w:rsidRPr="00CB502D">
        <w:t xml:space="preserve">testifying. Put simply, if a witness is afraid to testify against a defendant </w:t>
      </w:r>
      <w:proofErr w:type="gramStart"/>
      <w:r w:rsidRPr="00CB502D">
        <w:t>in regard to</w:t>
      </w:r>
      <w:proofErr w:type="gramEnd"/>
      <w:r w:rsidRPr="00CB502D">
        <w:t xml:space="preserve"> the crime charged, we believe that witness will surely be afraid to finger the defendant for having threatened the witness, itself a criminal offense.”).</w:t>
      </w:r>
    </w:p>
  </w:footnote>
  <w:footnote w:id="149">
    <w:p w14:paraId="16468035" w14:textId="3739D471" w:rsidR="00CB502D" w:rsidRPr="00CB502D" w:rsidRDefault="00CB502D" w:rsidP="006906C0">
      <w:pPr>
        <w:pStyle w:val="FootnoteText"/>
      </w:pPr>
      <w:r w:rsidRPr="00CB502D">
        <w:footnoteRef/>
      </w:r>
      <w:r w:rsidRPr="00CB502D">
        <w:t xml:space="preserve">. </w:t>
      </w:r>
      <w:r w:rsidR="00040D4F">
        <w:rPr>
          <w:i/>
          <w:iCs/>
        </w:rPr>
        <w:t xml:space="preserve">State v. </w:t>
      </w:r>
      <w:r w:rsidR="000D1A5C">
        <w:rPr>
          <w:i/>
          <w:iCs/>
        </w:rPr>
        <w:t xml:space="preserve">Allen </w:t>
      </w:r>
      <w:r w:rsidR="00040D4F">
        <w:rPr>
          <w:i/>
          <w:iCs/>
        </w:rPr>
        <w:t xml:space="preserve">265 </w:t>
      </w:r>
      <w:r w:rsidR="000D1A5C">
        <w:t xml:space="preserve">at </w:t>
      </w:r>
      <w:r w:rsidR="00D461A6">
        <w:t>487-89</w:t>
      </w:r>
      <w:r w:rsidR="00040D4F">
        <w:t xml:space="preserve"> (2019)</w:t>
      </w:r>
      <w:r w:rsidR="00D461A6">
        <w:t>;</w:t>
      </w:r>
      <w:r w:rsidR="00072591">
        <w:t xml:space="preserve"> </w:t>
      </w:r>
      <w:r w:rsidR="00072591" w:rsidRPr="002A33CE">
        <w:rPr>
          <w:i/>
          <w:iCs/>
        </w:rPr>
        <w:t>see also</w:t>
      </w:r>
      <w:r w:rsidRPr="00CB502D">
        <w:rPr>
          <w:rStyle w:val="FootnoteItalic"/>
          <w:rFonts w:ascii="Arial" w:hAnsi="Arial" w:cs="Arial"/>
          <w:sz w:val="18"/>
          <w:szCs w:val="18"/>
        </w:rPr>
        <w:t xml:space="preserve"> Giles</w:t>
      </w:r>
      <w:r w:rsidRPr="00CB502D">
        <w:t>, 554 U.S. 353, 379 (Souter, J., concurring) (</w:t>
      </w:r>
      <w:proofErr w:type="gramStart"/>
      <w:r w:rsidRPr="00CB502D">
        <w:t>assuming that</w:t>
      </w:r>
      <w:proofErr w:type="gramEnd"/>
      <w:r w:rsidRPr="00CB502D">
        <w:t xml:space="preserve"> the preponderance standard governs); </w:t>
      </w:r>
      <w:r w:rsidRPr="00CB502D">
        <w:rPr>
          <w:i/>
        </w:rPr>
        <w:t>Dinkins</w:t>
      </w:r>
      <w:r w:rsidRPr="00CB502D">
        <w:t>, 691 F.3d. at 383 (using the preponderance standard); United States v. Johnson, 767 F.3d 815, 822-23 (9th Cir. 2014) (explicitly holding that the preponderance standard governs).</w:t>
      </w:r>
    </w:p>
  </w:footnote>
  <w:footnote w:id="150">
    <w:p w14:paraId="29B13DE8" w14:textId="77777777" w:rsidR="00CB502D" w:rsidRPr="00CB502D" w:rsidRDefault="00CB502D" w:rsidP="006906C0">
      <w:pPr>
        <w:pStyle w:val="FootnoteText"/>
      </w:pPr>
      <w:r w:rsidRPr="00CB502D">
        <w:footnoteRef/>
      </w:r>
      <w:r w:rsidRPr="00CB502D">
        <w:t xml:space="preserve">. </w:t>
      </w:r>
      <w:r w:rsidRPr="00CB502D">
        <w:rPr>
          <w:i/>
        </w:rPr>
        <w:t>Crawford</w:t>
      </w:r>
      <w:r w:rsidRPr="00CB502D">
        <w:t xml:space="preserve">, 541 U.S. at 56 n.6; </w:t>
      </w:r>
      <w:r w:rsidRPr="00CB502D">
        <w:rPr>
          <w:rStyle w:val="FootnoteItalic"/>
          <w:rFonts w:ascii="Arial" w:hAnsi="Arial" w:cs="Arial"/>
          <w:sz w:val="18"/>
          <w:szCs w:val="18"/>
        </w:rPr>
        <w:t>see also Giles</w:t>
      </w:r>
      <w:r w:rsidRPr="00CB502D">
        <w:t>, 554 U.S. at 357-59 (noting that dying declarations were admitted at common law even though unconfronted);</w:t>
      </w:r>
      <w:r w:rsidRPr="00CB502D">
        <w:rPr>
          <w:i/>
        </w:rPr>
        <w:t xml:space="preserve"> Bryant</w:t>
      </w:r>
      <w:r w:rsidRPr="00CB502D">
        <w:t>, 562 U.S. at 395 (Ginsburg, J., dissenting) (“[W]ere the issue properly tendered here, I would take up the question whether the exception for dying declarations survives our recent Confrontation Clause decisions.”).</w:t>
      </w:r>
    </w:p>
  </w:footnote>
  <w:footnote w:id="151">
    <w:p w14:paraId="0FA0C028" w14:textId="77777777" w:rsidR="00CB502D" w:rsidRPr="00CB502D" w:rsidRDefault="00CB502D" w:rsidP="006906C0">
      <w:pPr>
        <w:pStyle w:val="FootnoteText"/>
      </w:pPr>
      <w:r w:rsidRPr="00CB502D">
        <w:footnoteRef/>
      </w:r>
      <w:r w:rsidRPr="00CB502D">
        <w:t>. State v. Bodden, 190 N.C. App. 505, 514 (2008); State v. Calhoun, 189 N.C. App. 166, 172 (2008).</w:t>
      </w:r>
    </w:p>
  </w:footnote>
  <w:footnote w:id="152">
    <w:p w14:paraId="19353D28" w14:textId="77777777" w:rsidR="00A01864" w:rsidRPr="00CB502D" w:rsidRDefault="00A01864" w:rsidP="00A01864">
      <w:pPr>
        <w:pStyle w:val="FootnoteText"/>
      </w:pPr>
      <w:r w:rsidRPr="00CB502D">
        <w:footnoteRef/>
      </w:r>
      <w:r w:rsidRPr="00CB502D">
        <w:t xml:space="preserve">. </w:t>
      </w:r>
      <w:r w:rsidRPr="00211BA0">
        <w:t>Hemphill v. New York, 595 U.S. 140 (2022)</w:t>
      </w:r>
      <w:r>
        <w:t>.</w:t>
      </w:r>
    </w:p>
  </w:footnote>
  <w:footnote w:id="153">
    <w:p w14:paraId="2A77D3D1" w14:textId="77777777" w:rsidR="00A01864" w:rsidRPr="00CB502D" w:rsidRDefault="00A01864" w:rsidP="00A01864">
      <w:pPr>
        <w:pStyle w:val="FootnoteText"/>
      </w:pPr>
      <w:r w:rsidRPr="00CB502D">
        <w:footnoteRef/>
      </w:r>
      <w:r w:rsidRPr="00CB502D">
        <w:t xml:space="preserve">. </w:t>
      </w:r>
      <w:r>
        <w:rPr>
          <w:i/>
          <w:iCs/>
        </w:rPr>
        <w:t>Id</w:t>
      </w:r>
      <w:r>
        <w:t>. at 152-53.</w:t>
      </w:r>
    </w:p>
  </w:footnote>
  <w:footnote w:id="154">
    <w:p w14:paraId="5205B9D0" w14:textId="77777777" w:rsidR="00A01864" w:rsidRPr="00CB502D" w:rsidRDefault="00A01864" w:rsidP="00A01864">
      <w:pPr>
        <w:pStyle w:val="FootnoteText"/>
      </w:pPr>
      <w:r w:rsidRPr="00CB502D">
        <w:footnoteRef/>
      </w:r>
      <w:r w:rsidRPr="00CB502D">
        <w:t xml:space="preserve">. </w:t>
      </w:r>
      <w:r>
        <w:rPr>
          <w:i/>
          <w:iCs/>
        </w:rPr>
        <w:t>Id</w:t>
      </w:r>
      <w:r>
        <w:t>. at 154.</w:t>
      </w:r>
    </w:p>
  </w:footnote>
  <w:footnote w:id="155">
    <w:p w14:paraId="14E9518C" w14:textId="0BCE0200" w:rsidR="008A2F15" w:rsidRPr="00CB502D" w:rsidRDefault="008A2F15" w:rsidP="008A2F15">
      <w:pPr>
        <w:pStyle w:val="FootnoteText"/>
      </w:pPr>
      <w:r w:rsidRPr="00CB502D">
        <w:footnoteRef/>
      </w:r>
      <w:r w:rsidRPr="00CB502D">
        <w:t xml:space="preserve">. </w:t>
      </w:r>
      <w:r w:rsidRPr="008A2F15">
        <w:t xml:space="preserve">This common law rule has been adopted and codified in both the North Carolina and Federal Rules of Evidence. See </w:t>
      </w:r>
      <w:r w:rsidRPr="008A2F15">
        <w:rPr>
          <w:smallCaps/>
        </w:rPr>
        <w:t>N.C. R. Evid</w:t>
      </w:r>
      <w:r w:rsidRPr="008A2F15">
        <w:t xml:space="preserve">. 106 &amp; </w:t>
      </w:r>
      <w:r w:rsidRPr="008A2F15">
        <w:rPr>
          <w:smallCaps/>
        </w:rPr>
        <w:t>Fed. R. Evid</w:t>
      </w:r>
      <w:r w:rsidRPr="008A2F15">
        <w:t>. 106</w:t>
      </w:r>
      <w:r>
        <w:t>.</w:t>
      </w:r>
    </w:p>
  </w:footnote>
  <w:footnote w:id="156">
    <w:p w14:paraId="0E739BBF" w14:textId="1B46C734" w:rsidR="00360539" w:rsidRPr="00CB502D" w:rsidRDefault="00360539" w:rsidP="00360539">
      <w:pPr>
        <w:pStyle w:val="FootnoteText"/>
      </w:pPr>
      <w:r w:rsidRPr="00CB502D">
        <w:footnoteRef/>
      </w:r>
      <w:r w:rsidRPr="00CB502D">
        <w:t xml:space="preserve">. </w:t>
      </w:r>
      <w:r w:rsidRPr="00360539">
        <w:rPr>
          <w:i/>
          <w:iCs/>
        </w:rPr>
        <w:t>Hemphill</w:t>
      </w:r>
      <w:r w:rsidRPr="00360539">
        <w:t>, 595 U.S. at 158 (Alito, J., concurring)</w:t>
      </w:r>
      <w:r>
        <w:t>.</w:t>
      </w:r>
    </w:p>
  </w:footnote>
  <w:footnote w:id="157">
    <w:p w14:paraId="1FB5345A" w14:textId="77777777" w:rsidR="00CB502D" w:rsidRPr="00CB502D" w:rsidRDefault="00CB502D" w:rsidP="006906C0">
      <w:pPr>
        <w:pStyle w:val="FootnoteText"/>
      </w:pPr>
      <w:r w:rsidRPr="00CB502D">
        <w:footnoteRef/>
      </w:r>
      <w:r w:rsidRPr="00CB502D">
        <w:t>. Melendez-Diaz v. Massachusetts, 557 U.S. 305, 314 n.3 (2009) (“The right to confrontation may, of course, be waived.”).</w:t>
      </w:r>
    </w:p>
  </w:footnote>
  <w:footnote w:id="158">
    <w:p w14:paraId="05A61AB2" w14:textId="77777777" w:rsidR="00CB502D" w:rsidRPr="00CB502D" w:rsidRDefault="00CB502D" w:rsidP="006906C0">
      <w:pPr>
        <w:pStyle w:val="FootnoteText"/>
      </w:pPr>
      <w:r w:rsidRPr="00CB502D">
        <w:footnoteRef/>
      </w:r>
      <w:r w:rsidRPr="00CB502D">
        <w:t>. Maryland v. Shatzer, 559 U.S. 98, 104 (2010) (citing Johnson v. Zerbst</w:t>
      </w:r>
      <w:r w:rsidRPr="00CB502D">
        <w:rPr>
          <w:i/>
        </w:rPr>
        <w:t xml:space="preserve">, </w:t>
      </w:r>
      <w:r w:rsidRPr="00CB502D">
        <w:t>304 U.S. 458 (1938)).</w:t>
      </w:r>
    </w:p>
  </w:footnote>
  <w:footnote w:id="159">
    <w:p w14:paraId="505AC267" w14:textId="77777777" w:rsidR="00CB502D" w:rsidRPr="00CB502D" w:rsidRDefault="00CB502D" w:rsidP="006906C0">
      <w:pPr>
        <w:pStyle w:val="FootnoteText"/>
      </w:pPr>
      <w:r w:rsidRPr="00CB502D">
        <w:footnoteRef/>
      </w:r>
      <w:r w:rsidRPr="00CB502D">
        <w:t xml:space="preserve">. </w:t>
      </w:r>
      <w:r w:rsidRPr="00CB502D">
        <w:rPr>
          <w:rStyle w:val="FootnoteItalic"/>
          <w:rFonts w:ascii="Arial" w:hAnsi="Arial" w:cs="Arial"/>
          <w:sz w:val="18"/>
          <w:szCs w:val="18"/>
        </w:rPr>
        <w:t>Melendez-Diaz</w:t>
      </w:r>
      <w:r w:rsidRPr="00CB502D">
        <w:t>, 557 U.S. at 314 n.3.</w:t>
      </w:r>
    </w:p>
  </w:footnote>
  <w:footnote w:id="160">
    <w:p w14:paraId="44E0DBE9" w14:textId="77777777" w:rsidR="00CB502D" w:rsidRPr="00CB502D" w:rsidRDefault="00CB502D" w:rsidP="006906C0">
      <w:pPr>
        <w:pStyle w:val="FootnoteText"/>
      </w:pPr>
      <w:r w:rsidRPr="00CB502D">
        <w:footnoteRef/>
      </w:r>
      <w:r w:rsidRPr="00CB502D">
        <w:t xml:space="preserve">. </w:t>
      </w:r>
      <w:r w:rsidRPr="00CB502D">
        <w:rPr>
          <w:rStyle w:val="FootnoteItalic"/>
          <w:rFonts w:ascii="Arial" w:hAnsi="Arial" w:cs="Arial"/>
          <w:sz w:val="18"/>
          <w:szCs w:val="18"/>
        </w:rPr>
        <w:t>Id</w:t>
      </w:r>
      <w:r w:rsidRPr="00CB502D">
        <w:t>. at 326-27.</w:t>
      </w:r>
    </w:p>
  </w:footnote>
  <w:footnote w:id="161">
    <w:p w14:paraId="0161421B" w14:textId="77777777" w:rsidR="00CB502D" w:rsidRPr="00CB502D" w:rsidRDefault="00CB502D" w:rsidP="006906C0">
      <w:pPr>
        <w:pStyle w:val="FootnoteText"/>
      </w:pPr>
      <w:r w:rsidRPr="00CB502D">
        <w:footnoteRef/>
      </w:r>
      <w:r w:rsidRPr="00CB502D">
        <w:t xml:space="preserve">. </w:t>
      </w:r>
      <w:r w:rsidRPr="00CB502D">
        <w:rPr>
          <w:rStyle w:val="FootnoteItalic"/>
          <w:rFonts w:ascii="Arial" w:hAnsi="Arial" w:cs="Arial"/>
          <w:sz w:val="18"/>
          <w:szCs w:val="18"/>
        </w:rPr>
        <w:t>Id</w:t>
      </w:r>
      <w:r w:rsidRPr="00CB502D">
        <w:t xml:space="preserve">. at 327 n.12; </w:t>
      </w:r>
      <w:r w:rsidRPr="00CB502D">
        <w:rPr>
          <w:rStyle w:val="FootnoteItalic"/>
          <w:rFonts w:ascii="Arial" w:hAnsi="Arial" w:cs="Arial"/>
          <w:sz w:val="18"/>
          <w:szCs w:val="18"/>
        </w:rPr>
        <w:t>see also</w:t>
      </w:r>
      <w:r w:rsidRPr="00CB502D">
        <w:t xml:space="preserve"> State v. Whittington, 367 N.C. 186, 192-93 (2014) (if the defendant fails to object after notice is given under G.S. 90-95(g), a valid waiver of the defendant’s constitutional right to confront the analyst occurs); State v. Steele, 201 N.C. App. 689, 696 (2010) (notice and demand statute in G.S. 90-95(g) is constitutional under </w:t>
      </w:r>
      <w:r w:rsidRPr="00CB502D">
        <w:rPr>
          <w:rStyle w:val="FootnoteItalic"/>
          <w:rFonts w:ascii="Arial" w:hAnsi="Arial" w:cs="Arial"/>
          <w:sz w:val="18"/>
          <w:szCs w:val="18"/>
        </w:rPr>
        <w:t>Melendez-Diaz</w:t>
      </w:r>
      <w:r w:rsidRPr="00CB502D">
        <w:t>).</w:t>
      </w:r>
    </w:p>
  </w:footnote>
  <w:footnote w:id="162">
    <w:p w14:paraId="0B95AE9B" w14:textId="77777777" w:rsidR="00CB502D" w:rsidRPr="00CB502D" w:rsidRDefault="00CB502D" w:rsidP="006906C0">
      <w:pPr>
        <w:pStyle w:val="FootnoteText"/>
      </w:pPr>
      <w:r w:rsidRPr="00CB502D">
        <w:rPr>
          <w:rStyle w:val="FootnoteReference"/>
          <w:rFonts w:cs="Arial"/>
          <w:szCs w:val="18"/>
          <w:vertAlign w:val="baseline"/>
        </w:rPr>
        <w:footnoteRef/>
      </w:r>
      <w:r w:rsidRPr="00CB502D">
        <w:t xml:space="preserve">. </w:t>
      </w:r>
      <w:r w:rsidRPr="00CB502D">
        <w:rPr>
          <w:i/>
        </w:rPr>
        <w:t>See, e.g</w:t>
      </w:r>
      <w:r w:rsidRPr="00CB502D">
        <w:t xml:space="preserve">., G.S. 8-58.20(f); G.S. 8-58.20(g)(5); </w:t>
      </w:r>
      <w:r w:rsidRPr="00CB502D">
        <w:rPr>
          <w:i/>
        </w:rPr>
        <w:t>see also</w:t>
      </w:r>
      <w:r w:rsidRPr="00CB502D">
        <w:t xml:space="preserve"> State v. Jones, 221 N.C. App. 236, 238-39 (2012) (a report identifying a substance as cocaine was properly admitted; the State gave notice under the G.S. 90-95(g) and the defendant failed to object). </w:t>
      </w:r>
    </w:p>
  </w:footnote>
  <w:footnote w:id="163">
    <w:p w14:paraId="0858197C" w14:textId="77777777" w:rsidR="00CB502D" w:rsidRPr="00CB502D" w:rsidRDefault="00CB502D">
      <w:pPr>
        <w:pStyle w:val="FootnoteText"/>
      </w:pPr>
      <w:r w:rsidRPr="00CB502D">
        <w:rPr>
          <w:rStyle w:val="FootnoteReference"/>
          <w:vertAlign w:val="baseline"/>
        </w:rPr>
        <w:footnoteRef/>
      </w:r>
      <w:r w:rsidRPr="00CB502D">
        <w:t xml:space="preserve">. In 2013, the notice and demand statutes were amended, providing that when notice is given and no objection is made, the report “shall” be admitted into evidence without the presence of the preparer. S.L. 2013-171. The earlier versions of the statutes provided that upon a finding of waiver the court </w:t>
      </w:r>
      <w:proofErr w:type="gramStart"/>
      <w:r w:rsidRPr="00CB502D">
        <w:t>may, but</w:t>
      </w:r>
      <w:proofErr w:type="gramEnd"/>
      <w:r w:rsidRPr="00CB502D">
        <w:t xml:space="preserve"> was not required </w:t>
      </w:r>
      <w:proofErr w:type="gramStart"/>
      <w:r w:rsidRPr="00CB502D">
        <w:t>to,</w:t>
      </w:r>
      <w:proofErr w:type="gramEnd"/>
      <w:r w:rsidRPr="00CB502D">
        <w:t xml:space="preserve"> admit the evidence.</w:t>
      </w:r>
    </w:p>
  </w:footnote>
  <w:footnote w:id="164">
    <w:p w14:paraId="36D66979" w14:textId="77777777" w:rsidR="00CB502D" w:rsidRPr="00CB502D" w:rsidRDefault="00CB502D" w:rsidP="006906C0">
      <w:pPr>
        <w:pStyle w:val="FootnoteText"/>
      </w:pPr>
      <w:r w:rsidRPr="00CB502D">
        <w:rPr>
          <w:rStyle w:val="FootnoteReference"/>
          <w:rFonts w:cs="Arial"/>
          <w:szCs w:val="18"/>
          <w:vertAlign w:val="baseline"/>
        </w:rPr>
        <w:footnoteRef/>
      </w:r>
      <w:r w:rsidRPr="00CB502D">
        <w:t xml:space="preserve">. </w:t>
      </w:r>
      <w:r w:rsidRPr="00CB502D">
        <w:rPr>
          <w:i/>
        </w:rPr>
        <w:t>See, e.g.</w:t>
      </w:r>
      <w:r w:rsidRPr="00CB502D">
        <w:t>, G.S. 8-58.20(f) (if an objection is filed, the notice and demand provisions do not apply); G.S. 8-58.20(g)(6) (same).</w:t>
      </w:r>
    </w:p>
  </w:footnote>
  <w:footnote w:id="165">
    <w:p w14:paraId="5A992AB9" w14:textId="26D30073" w:rsidR="00CB502D" w:rsidRPr="00CB502D" w:rsidRDefault="00CB502D" w:rsidP="006906C0">
      <w:pPr>
        <w:pStyle w:val="FootnoteText"/>
      </w:pPr>
      <w:r w:rsidRPr="00CB502D">
        <w:rPr>
          <w:rStyle w:val="FootnoteReference"/>
          <w:rFonts w:cs="Arial"/>
          <w:szCs w:val="18"/>
          <w:vertAlign w:val="baseline"/>
        </w:rPr>
        <w:footnoteRef/>
      </w:r>
      <w:r w:rsidRPr="00CB502D">
        <w:t xml:space="preserve">. State v. Blackwell, 207 N.C. App. 255, 259 (2010) (in a drug case, the trial court erred by admitting reports regarding the identity, nature, and quantity of the controlled substances where the State provided improper notice; instead of sending notice directly to the defendant, who was </w:t>
      </w:r>
      <w:r w:rsidR="00C70EFA">
        <w:rPr>
          <w:iCs/>
        </w:rPr>
        <w:t>not represented by an attorney</w:t>
      </w:r>
      <w:r w:rsidRPr="00CB502D">
        <w:t xml:space="preserve">, the State sent notice to </w:t>
      </w:r>
      <w:r w:rsidR="00C70EFA">
        <w:t>an attorney</w:t>
      </w:r>
      <w:r w:rsidRPr="00CB502D">
        <w:t xml:space="preserve"> who was not representing the defendant at the time); </w:t>
      </w:r>
      <w:r w:rsidRPr="00CB502D">
        <w:rPr>
          <w:i/>
        </w:rPr>
        <w:t>see also</w:t>
      </w:r>
      <w:r w:rsidRPr="00CB502D">
        <w:t xml:space="preserve"> G.S. 8-58.20(d).</w:t>
      </w:r>
    </w:p>
  </w:footnote>
  <w:footnote w:id="166">
    <w:p w14:paraId="4108E29C" w14:textId="77777777" w:rsidR="00CB502D" w:rsidRPr="00CB502D" w:rsidRDefault="00CB502D" w:rsidP="006906C0">
      <w:pPr>
        <w:pStyle w:val="FootnoteText"/>
      </w:pPr>
      <w:r w:rsidRPr="00CB502D">
        <w:rPr>
          <w:rStyle w:val="FootnoteReference"/>
          <w:rFonts w:cs="Arial"/>
          <w:szCs w:val="18"/>
          <w:vertAlign w:val="baseline"/>
        </w:rPr>
        <w:footnoteRef/>
      </w:r>
      <w:r w:rsidRPr="00CB502D">
        <w:t xml:space="preserve">. State v. Whittington, 367 N.C. 186, 192 (2014) (the State’s notice was deficient in that it failed to provide the defendant a copy of the report and stated only that “[a] copy of report(s) will be delivered upon request”). </w:t>
      </w:r>
    </w:p>
  </w:footnote>
  <w:footnote w:id="167">
    <w:p w14:paraId="0CEA47A0" w14:textId="057BCE86" w:rsidR="00CB502D" w:rsidRPr="00CB502D" w:rsidRDefault="00CB502D">
      <w:pPr>
        <w:pStyle w:val="FootnoteText"/>
      </w:pPr>
      <w:r w:rsidRPr="00CB502D">
        <w:rPr>
          <w:rStyle w:val="FootnoteReference"/>
          <w:vertAlign w:val="baseline"/>
        </w:rPr>
        <w:footnoteRef/>
      </w:r>
      <w:r w:rsidRPr="00CB502D">
        <w:t xml:space="preserve">. State v. Burrow, 227 N.C. App. 568, 570-71 (2013) (notice was properly given under G.S. 90-95(g) even though it did not contain proof of service or a file stamp; the argued-for service and filing requirements were not required by </w:t>
      </w:r>
      <w:r w:rsidRPr="00CB502D">
        <w:rPr>
          <w:i/>
        </w:rPr>
        <w:t>Melendez-Diaz</w:t>
      </w:r>
      <w:r w:rsidRPr="00CB502D">
        <w:t xml:space="preserve"> or the statute; the notice was stamped “a true copy”; it had a handwritten notation saying “ORIGINAL FILED,” “COPY FAXED,” and “COPY PLACED IN ATTY’S BOX” and the defendant did not argue that he did not in fact receive the notice).</w:t>
      </w:r>
    </w:p>
  </w:footnote>
  <w:footnote w:id="168">
    <w:p w14:paraId="12CA8D82" w14:textId="77777777" w:rsidR="00CB502D" w:rsidRPr="00CB502D" w:rsidRDefault="00CB502D" w:rsidP="00290B61">
      <w:pPr>
        <w:pStyle w:val="FootnoteText"/>
      </w:pPr>
      <w:r w:rsidRPr="00CB502D">
        <w:rPr>
          <w:rStyle w:val="FootnoteReference"/>
          <w:vertAlign w:val="baseline"/>
        </w:rPr>
        <w:footnoteRef/>
      </w:r>
      <w:r w:rsidRPr="00CB502D">
        <w:t xml:space="preserve">. State v. Steele, 201 N.C. App. 689, 696 (2010) (notice and demand statute in G.S. 90-95(g) is constitutional under </w:t>
      </w:r>
      <w:r w:rsidRPr="00CB502D">
        <w:rPr>
          <w:rStyle w:val="FootnoteItalic"/>
          <w:rFonts w:ascii="Arial" w:hAnsi="Arial" w:cs="Arial"/>
          <w:sz w:val="18"/>
          <w:szCs w:val="18"/>
        </w:rPr>
        <w:t>Melendez-Diaz</w:t>
      </w:r>
      <w:r w:rsidRPr="00CB502D">
        <w:t>).</w:t>
      </w:r>
    </w:p>
  </w:footnote>
  <w:footnote w:id="169">
    <w:p w14:paraId="7FA37988" w14:textId="1543CD6C" w:rsidR="00CB502D" w:rsidRPr="001215DE" w:rsidRDefault="00CB502D" w:rsidP="00097E33">
      <w:pPr>
        <w:pStyle w:val="FootnoteText"/>
      </w:pPr>
      <w:r w:rsidRPr="00CB502D">
        <w:rPr>
          <w:rStyle w:val="FootnoteReference"/>
          <w:szCs w:val="18"/>
          <w:vertAlign w:val="baseline"/>
        </w:rPr>
        <w:footnoteRef/>
      </w:r>
      <w:r w:rsidRPr="00CB502D">
        <w:t>.  S.L. 2014-119 sec. 8(a) &amp; (b) (enacting G.S. 15A-1225.3 and G.S. 20-139.1(c5) respectively).</w:t>
      </w:r>
      <w:r w:rsidR="00542256">
        <w:t>Under G</w:t>
      </w:r>
      <w:r w:rsidR="005E2EB9">
        <w:t>.S.15A-1225.3(b</w:t>
      </w:r>
      <w:r w:rsidR="001B0DA7">
        <w:t>1</w:t>
      </w:r>
      <w:r w:rsidR="005E2EB9">
        <w:t>)</w:t>
      </w:r>
      <w:r w:rsidR="001B0DA7">
        <w:t xml:space="preserve"> and G.S.20-139.1(c6), remote testimony by</w:t>
      </w:r>
      <w:r w:rsidR="00420782">
        <w:t xml:space="preserve"> forensic analysts is permitted in district court so long as </w:t>
      </w:r>
      <w:r w:rsidR="005A2B7E">
        <w:t xml:space="preserve">the full forensic report has been provided to the defendant or to defense counsel </w:t>
      </w:r>
      <w:r w:rsidR="00840661">
        <w:t xml:space="preserve">and the defendant is given notice of the prosecution’s intent to </w:t>
      </w:r>
      <w:r w:rsidR="00E8649B">
        <w:t>use remote testimony at least 15 business days before the proceeding at which it will be used</w:t>
      </w:r>
      <w:r w:rsidR="0021749F">
        <w:t xml:space="preserve">, without regard to any waiver of confrontation rights by the defendant. The constitutionality of this provision is an open question. </w:t>
      </w:r>
      <w:r w:rsidR="0021749F" w:rsidRPr="001215DE">
        <w:rPr>
          <w:i/>
          <w:iCs/>
        </w:rPr>
        <w:t>See</w:t>
      </w:r>
      <w:r w:rsidR="0021749F">
        <w:t xml:space="preserve"> Shea Denning, </w:t>
      </w:r>
      <w:hyperlink r:id="rId7" w:history="1">
        <w:r w:rsidR="0021749F" w:rsidRPr="004F006F">
          <w:rPr>
            <w:rStyle w:val="Hyperlink"/>
            <w:i/>
            <w:iCs/>
          </w:rPr>
          <w:t>Remote Testimony by Lab Analysts Authorized in District Court Prosecutions – Even Without the Defendant’s Consent</w:t>
        </w:r>
      </w:hyperlink>
      <w:r w:rsidR="001215DE">
        <w:t xml:space="preserve">, </w:t>
      </w:r>
      <w:r w:rsidR="001215DE" w:rsidRPr="00CB502D">
        <w:rPr>
          <w:smallCaps/>
        </w:rPr>
        <w:t>N.C. Crim. L., UNC Sch. of Gov’t Blog</w:t>
      </w:r>
      <w:r w:rsidR="001215DE" w:rsidRPr="00CB502D">
        <w:t xml:space="preserve"> (</w:t>
      </w:r>
      <w:r w:rsidR="001215DE">
        <w:t>Dec. 6, 2021).</w:t>
      </w:r>
    </w:p>
  </w:footnote>
  <w:footnote w:id="170">
    <w:p w14:paraId="3D7A5749" w14:textId="77777777" w:rsidR="00CB502D" w:rsidRPr="00CB502D" w:rsidRDefault="00CB502D" w:rsidP="006906C0">
      <w:pPr>
        <w:pStyle w:val="FootnoteText"/>
      </w:pPr>
      <w:r w:rsidRPr="00CB502D">
        <w:footnoteRef/>
      </w:r>
      <w:r w:rsidRPr="00CB502D">
        <w:t xml:space="preserve">. </w:t>
      </w:r>
      <w:r w:rsidRPr="00CB502D">
        <w:rPr>
          <w:rStyle w:val="FootnoteItalic"/>
          <w:rFonts w:ascii="Arial" w:hAnsi="Arial" w:cs="Arial"/>
          <w:sz w:val="18"/>
          <w:szCs w:val="18"/>
        </w:rPr>
        <w:t>Melendez-Diaz</w:t>
      </w:r>
      <w:r w:rsidRPr="00CB502D">
        <w:t xml:space="preserve">, 557 U.S. at 324; </w:t>
      </w:r>
      <w:r w:rsidRPr="00CB502D">
        <w:rPr>
          <w:rStyle w:val="FootnoteItalic"/>
          <w:rFonts w:ascii="Arial" w:hAnsi="Arial" w:cs="Arial"/>
          <w:sz w:val="18"/>
          <w:szCs w:val="18"/>
        </w:rPr>
        <w:t>see also</w:t>
      </w:r>
      <w:r w:rsidRPr="00CB502D">
        <w:t xml:space="preserve"> D.G. v. Louisiana, </w:t>
      </w:r>
      <w:r w:rsidRPr="00CB502D">
        <w:rPr>
          <w:spacing w:val="-10"/>
        </w:rPr>
        <w:t xml:space="preserve">559 U.S. 967 </w:t>
      </w:r>
      <w:r w:rsidRPr="00CB502D">
        <w:t xml:space="preserve">(2010) (vacating and remanding, </w:t>
      </w:r>
      <w:proofErr w:type="gramStart"/>
      <w:r w:rsidRPr="00CB502D">
        <w:t>in light of</w:t>
      </w:r>
      <w:proofErr w:type="gramEnd"/>
      <w:r w:rsidRPr="00CB502D">
        <w:t xml:space="preserve"> </w:t>
      </w:r>
      <w:r w:rsidRPr="00CB502D">
        <w:rPr>
          <w:rStyle w:val="FootnoteItalic"/>
          <w:rFonts w:ascii="Arial" w:hAnsi="Arial" w:cs="Arial"/>
          <w:sz w:val="18"/>
          <w:szCs w:val="18"/>
        </w:rPr>
        <w:t>Melendez-Diaz</w:t>
      </w:r>
      <w:r w:rsidRPr="00CB502D">
        <w:t xml:space="preserve">, a state court decision that found no confrontation violation when the declarant was present in court but not called to the </w:t>
      </w:r>
      <w:proofErr w:type="gramStart"/>
      <w:r w:rsidRPr="00CB502D">
        <w:t>stand by</w:t>
      </w:r>
      <w:proofErr w:type="gramEnd"/>
      <w:r w:rsidRPr="00CB502D">
        <w:t xml:space="preserve"> the state).</w:t>
      </w:r>
    </w:p>
  </w:footnote>
  <w:footnote w:id="171">
    <w:p w14:paraId="4762D438" w14:textId="2E9DEEC7" w:rsidR="00746E3E" w:rsidRPr="00CB502D" w:rsidRDefault="00746E3E" w:rsidP="00746E3E">
      <w:pPr>
        <w:pStyle w:val="FootnoteText"/>
      </w:pPr>
      <w:r w:rsidRPr="00CB502D">
        <w:footnoteRef/>
      </w:r>
      <w:r w:rsidRPr="00CB502D">
        <w:t xml:space="preserve">. </w:t>
      </w:r>
      <w:r>
        <w:t>602 U.S. 779, 792 n.3 (2024)</w:t>
      </w:r>
      <w:r w:rsidRPr="00CB502D">
        <w:t>.</w:t>
      </w:r>
    </w:p>
  </w:footnote>
  <w:footnote w:id="172">
    <w:p w14:paraId="19734F2F" w14:textId="77777777" w:rsidR="00CB502D" w:rsidRPr="00CB502D" w:rsidRDefault="00CB502D" w:rsidP="006906C0">
      <w:pPr>
        <w:pStyle w:val="FootnoteText"/>
      </w:pPr>
      <w:r w:rsidRPr="00CB502D">
        <w:footnoteRef/>
      </w:r>
      <w:r w:rsidRPr="00CB502D">
        <w:t xml:space="preserve">. </w:t>
      </w:r>
      <w:r w:rsidRPr="00CB502D">
        <w:rPr>
          <w:i/>
        </w:rPr>
        <w:t>See, e.g.</w:t>
      </w:r>
      <w:r w:rsidRPr="00CB502D">
        <w:t>,</w:t>
      </w:r>
      <w:r w:rsidRPr="00CB502D">
        <w:rPr>
          <w:i/>
        </w:rPr>
        <w:t xml:space="preserve"> </w:t>
      </w:r>
      <w:r w:rsidRPr="00CB502D">
        <w:t>State v. Brigman, 171 N.C. App. 305, 310 (2005).</w:t>
      </w:r>
    </w:p>
  </w:footnote>
  <w:footnote w:id="173">
    <w:p w14:paraId="24DBED88" w14:textId="29B65D11" w:rsidR="00CB502D" w:rsidRPr="00CB502D" w:rsidRDefault="00CB502D" w:rsidP="00DA14D3">
      <w:pPr>
        <w:pStyle w:val="FootnoteText"/>
      </w:pPr>
      <w:r w:rsidRPr="00CB502D">
        <w:rPr>
          <w:rStyle w:val="FootnoteReference"/>
          <w:vertAlign w:val="baseline"/>
        </w:rPr>
        <w:footnoteRef/>
      </w:r>
      <w:r w:rsidRPr="00CB502D">
        <w:t xml:space="preserve">. </w:t>
      </w:r>
      <w:r w:rsidR="00D646D8">
        <w:t xml:space="preserve">State v. Perez, </w:t>
      </w:r>
      <w:r w:rsidR="00F73D5D">
        <w:t>260 N.C. App. 311</w:t>
      </w:r>
      <w:r w:rsidR="001554DE">
        <w:t>, 314 (2018)</w:t>
      </w:r>
      <w:r w:rsidR="00DD2021">
        <w:t>;</w:t>
      </w:r>
      <w:r w:rsidR="00DD2021" w:rsidRPr="00DD2021">
        <w:t xml:space="preserve"> </w:t>
      </w:r>
      <w:r w:rsidR="00DD2021" w:rsidRPr="00CB502D">
        <w:t>State v. English, 171 N.C. App. 277, 282-84 (2005)</w:t>
      </w:r>
      <w:r w:rsidR="00CC2D3B">
        <w:t>.</w:t>
      </w:r>
    </w:p>
  </w:footnote>
  <w:footnote w:id="174">
    <w:p w14:paraId="046997C7" w14:textId="634407C9" w:rsidR="00CC2D3B" w:rsidRPr="00CB502D" w:rsidRDefault="00CC2D3B" w:rsidP="00CC2D3B">
      <w:pPr>
        <w:pStyle w:val="FootnoteText"/>
      </w:pPr>
      <w:r w:rsidRPr="00CB502D">
        <w:rPr>
          <w:rStyle w:val="FootnoteReference"/>
          <w:vertAlign w:val="baseline"/>
        </w:rPr>
        <w:footnoteRef/>
      </w:r>
      <w:r w:rsidRPr="00CB502D">
        <w:t xml:space="preserve">. </w:t>
      </w:r>
      <w:r w:rsidRPr="00CC2D3B">
        <w:rPr>
          <w:i/>
          <w:iCs/>
        </w:rPr>
        <w:t>Perez</w:t>
      </w:r>
      <w:r>
        <w:t>, 260 N.C. App. at 314</w:t>
      </w:r>
      <w:r w:rsidR="0086724C">
        <w:t xml:space="preserve">; </w:t>
      </w:r>
      <w:r w:rsidR="0086724C">
        <w:rPr>
          <w:i/>
          <w:iCs/>
        </w:rPr>
        <w:t xml:space="preserve">see also </w:t>
      </w:r>
      <w:r w:rsidR="0086724C">
        <w:t>State v. Loftis, 264 N.C. App. 652 (2019)</w:t>
      </w:r>
      <w:r>
        <w:t xml:space="preserve"> (</w:t>
      </w:r>
      <w:r w:rsidRPr="00CC2D3B">
        <w:t xml:space="preserve">no personal colloquy with the defendant is necessary for the defendant to waive confrontation rights by stipulation to a forensic report). </w:t>
      </w:r>
      <w:r w:rsidRPr="00CC2D3B">
        <w:rPr>
          <w:i/>
          <w:iCs/>
        </w:rPr>
        <w:t>But see, e.g.</w:t>
      </w:r>
      <w:r w:rsidRPr="00CC2D3B">
        <w:t xml:space="preserve">, Clemmons v. Delo, 124 F.3d 944, 956 (8th Cir. 2011) (stating that the right of confrontation is “personal and fundamental” and may not be waived by defense counsel alone). </w:t>
      </w:r>
      <w:r w:rsidRPr="00CC2D3B">
        <w:rPr>
          <w:i/>
          <w:iCs/>
        </w:rPr>
        <w:t>See also</w:t>
      </w:r>
      <w:r w:rsidRPr="00CC2D3B">
        <w:t xml:space="preserve">, Phil Dixon, </w:t>
      </w:r>
      <w:hyperlink r:id="rId8" w:history="1">
        <w:r w:rsidRPr="00CC2D3B">
          <w:rPr>
            <w:rStyle w:val="Hyperlink"/>
            <w:i/>
            <w:iCs/>
          </w:rPr>
          <w:t>Does a Stipulation to Lab Results Waive Confrontation Rights?</w:t>
        </w:r>
      </w:hyperlink>
      <w:r w:rsidRPr="00CC2D3B">
        <w:t xml:space="preserve">, </w:t>
      </w:r>
      <w:r w:rsidRPr="00CC2D3B">
        <w:rPr>
          <w:smallCaps/>
        </w:rPr>
        <w:t>N.C. Crim. L., UNC Sch. of Gov’t Blog</w:t>
      </w:r>
      <w:r w:rsidRPr="00CC2D3B">
        <w:t xml:space="preserve"> (July 17, 2018).</w:t>
      </w:r>
    </w:p>
  </w:footnote>
  <w:footnote w:id="175">
    <w:p w14:paraId="48E9B0CB" w14:textId="262BC4A1" w:rsidR="00EF43EF" w:rsidRPr="00CB502D" w:rsidRDefault="00EF43EF" w:rsidP="00EF43EF">
      <w:pPr>
        <w:pStyle w:val="FootnoteText"/>
      </w:pPr>
      <w:r w:rsidRPr="00CB502D">
        <w:rPr>
          <w:rStyle w:val="FootnoteReference"/>
          <w:vertAlign w:val="baseline"/>
        </w:rPr>
        <w:footnoteRef/>
      </w:r>
      <w:r w:rsidRPr="00CB502D">
        <w:t xml:space="preserve">. </w:t>
      </w:r>
      <w:r w:rsidRPr="00EF43EF">
        <w:t>U.S. v. Williams, 632 F.3d 129, 133 (2011) (stipulation entered over the defendant’s objection was prejudicial error).</w:t>
      </w:r>
    </w:p>
  </w:footnote>
  <w:footnote w:id="176">
    <w:p w14:paraId="2067AF9A" w14:textId="2FFFDE51" w:rsidR="00451BB1" w:rsidRPr="00CB502D" w:rsidRDefault="00451BB1" w:rsidP="00451BB1">
      <w:pPr>
        <w:pStyle w:val="FootnoteText"/>
      </w:pPr>
      <w:r w:rsidRPr="00CB502D">
        <w:rPr>
          <w:rStyle w:val="FootnoteReference"/>
          <w:vertAlign w:val="baseline"/>
        </w:rPr>
        <w:footnoteRef/>
      </w:r>
      <w:r w:rsidRPr="00CB502D">
        <w:t xml:space="preserve">. </w:t>
      </w:r>
      <w:r w:rsidRPr="00451BB1">
        <w:t>Illinois v. Allen, 397 U.S. 337, 343 (1970)</w:t>
      </w:r>
      <w:r>
        <w:t>.</w:t>
      </w:r>
    </w:p>
  </w:footnote>
  <w:footnote w:id="177">
    <w:p w14:paraId="3DF2D6D7" w14:textId="4C6C6A4A" w:rsidR="00451BB1" w:rsidRPr="00CB502D" w:rsidRDefault="00451BB1" w:rsidP="00451BB1">
      <w:pPr>
        <w:pStyle w:val="FootnoteText"/>
      </w:pPr>
      <w:r w:rsidRPr="00CB502D">
        <w:rPr>
          <w:rStyle w:val="FootnoteReference"/>
          <w:vertAlign w:val="baseline"/>
        </w:rPr>
        <w:footnoteRef/>
      </w:r>
      <w:r w:rsidRPr="00CB502D">
        <w:t xml:space="preserve">. </w:t>
      </w:r>
      <w:r>
        <w:rPr>
          <w:i/>
          <w:iCs/>
        </w:rPr>
        <w:t>Id</w:t>
      </w:r>
      <w:r>
        <w:t>.</w:t>
      </w:r>
    </w:p>
  </w:footnote>
  <w:footnote w:id="178">
    <w:p w14:paraId="0ED56F8F" w14:textId="4F359CC9" w:rsidR="003765E2" w:rsidRPr="00CB502D" w:rsidRDefault="003765E2" w:rsidP="003765E2">
      <w:pPr>
        <w:pStyle w:val="FootnoteText"/>
      </w:pPr>
      <w:r w:rsidRPr="00CB502D">
        <w:rPr>
          <w:rStyle w:val="FootnoteReference"/>
          <w:vertAlign w:val="baseline"/>
        </w:rPr>
        <w:footnoteRef/>
      </w:r>
      <w:r w:rsidRPr="00CB502D">
        <w:t>. 557 U.S. at 3</w:t>
      </w:r>
      <w:r>
        <w:t>1</w:t>
      </w:r>
      <w:r w:rsidRPr="00CB502D">
        <w:t>4</w:t>
      </w:r>
      <w:r>
        <w:t>, n.3.</w:t>
      </w:r>
    </w:p>
  </w:footnote>
  <w:footnote w:id="179">
    <w:p w14:paraId="78D838EE" w14:textId="3A821FF4" w:rsidR="003765E2" w:rsidRPr="00CB502D" w:rsidRDefault="003765E2" w:rsidP="003765E2">
      <w:pPr>
        <w:pStyle w:val="FootnoteText"/>
      </w:pPr>
      <w:r w:rsidRPr="00CB502D">
        <w:rPr>
          <w:rStyle w:val="FootnoteReference"/>
          <w:vertAlign w:val="baseline"/>
        </w:rPr>
        <w:footnoteRef/>
      </w:r>
      <w:r w:rsidRPr="00CB502D">
        <w:t xml:space="preserve">. </w:t>
      </w:r>
      <w:r w:rsidRPr="003765E2">
        <w:t>State v. Ward, 226 N.C. App. 386, 389 (2013)</w:t>
      </w:r>
      <w:r>
        <w:t>.</w:t>
      </w:r>
    </w:p>
  </w:footnote>
  <w:footnote w:id="180">
    <w:p w14:paraId="5C73C23D" w14:textId="48431D25" w:rsidR="003765E2" w:rsidRPr="00CB502D" w:rsidRDefault="003765E2" w:rsidP="003765E2">
      <w:pPr>
        <w:pStyle w:val="FootnoteText"/>
      </w:pPr>
      <w:r w:rsidRPr="00CB502D">
        <w:rPr>
          <w:rStyle w:val="FootnoteReference"/>
          <w:vertAlign w:val="baseline"/>
        </w:rPr>
        <w:footnoteRef/>
      </w:r>
      <w:r w:rsidRPr="00CB502D">
        <w:t xml:space="preserve">. </w:t>
      </w:r>
      <w:r w:rsidRPr="003765E2">
        <w:rPr>
          <w:i/>
          <w:iCs/>
        </w:rPr>
        <w:t>See, e.g.</w:t>
      </w:r>
      <w:r w:rsidRPr="003765E2">
        <w:t>, State v. Nobles, 350 N.C. 483, 495 (1999).</w:t>
      </w:r>
    </w:p>
  </w:footnote>
  <w:footnote w:id="181">
    <w:p w14:paraId="51BC8967" w14:textId="3E621B70" w:rsidR="00CB502D" w:rsidRPr="00CB502D" w:rsidRDefault="00CB502D" w:rsidP="006906C0">
      <w:pPr>
        <w:pStyle w:val="FootnoteText"/>
      </w:pPr>
      <w:r w:rsidRPr="00CB502D">
        <w:rPr>
          <w:rStyle w:val="FootnoteReference"/>
          <w:rFonts w:cs="Arial"/>
          <w:szCs w:val="18"/>
          <w:vertAlign w:val="baseline"/>
        </w:rPr>
        <w:footnoteRef/>
      </w:r>
      <w:r w:rsidRPr="00CB502D">
        <w:t xml:space="preserve">. Hardy v. Cross, 565 U.S. 65, 70 (2011) (the state court was not unreasonable in determining that the prosecution established the victim’s unavailability for purposes of the </w:t>
      </w:r>
      <w:r w:rsidR="00AE664A">
        <w:t>Confrontation Clause</w:t>
      </w:r>
      <w:r w:rsidRPr="00CB502D">
        <w:t xml:space="preserve">); </w:t>
      </w:r>
      <w:r w:rsidRPr="00CB502D">
        <w:rPr>
          <w:i/>
        </w:rPr>
        <w:t xml:space="preserve">see also </w:t>
      </w:r>
      <w:r w:rsidRPr="00CB502D">
        <w:t xml:space="preserve">State v. Clonts, </w:t>
      </w:r>
      <w:r w:rsidR="00C15B84">
        <w:t>254</w:t>
      </w:r>
      <w:r w:rsidR="00C15B84" w:rsidRPr="00CB502D">
        <w:t xml:space="preserve"> </w:t>
      </w:r>
      <w:r w:rsidRPr="00CB502D">
        <w:t xml:space="preserve">N.C. App. </w:t>
      </w:r>
      <w:r w:rsidR="00C15B84">
        <w:t xml:space="preserve">95, </w:t>
      </w:r>
      <w:r w:rsidR="00651898">
        <w:t>118</w:t>
      </w:r>
      <w:r w:rsidRPr="00CB502D">
        <w:t xml:space="preserve">(2017) (the State failed to show a good faith effort to procure the presence of a witness who was engaged in military service where, among other things, the State sent a subpoena to the witness but offered no evidence that the subpoena reached its destination, “much less that it reached its destination in time to have been meaningful”), </w:t>
      </w:r>
      <w:r w:rsidRPr="00CB502D">
        <w:rPr>
          <w:i/>
        </w:rPr>
        <w:t>aff’d per curiam</w:t>
      </w:r>
      <w:r w:rsidRPr="00CB502D">
        <w:t xml:space="preserve">, </w:t>
      </w:r>
      <w:r w:rsidR="007C071D">
        <w:t>371</w:t>
      </w:r>
      <w:r w:rsidR="0053546F">
        <w:t xml:space="preserve"> </w:t>
      </w:r>
      <w:r w:rsidRPr="00CB502D">
        <w:t xml:space="preserve">N.C. </w:t>
      </w:r>
      <w:r w:rsidR="007C071D">
        <w:t>191</w:t>
      </w:r>
      <w:r w:rsidRPr="00CB502D">
        <w:t xml:space="preserve"> (2018).</w:t>
      </w:r>
    </w:p>
  </w:footnote>
  <w:footnote w:id="182">
    <w:p w14:paraId="48F008F0" w14:textId="7257F251" w:rsidR="00CB502D" w:rsidRPr="00CB502D" w:rsidRDefault="00CB502D" w:rsidP="002A5AC3">
      <w:pPr>
        <w:pStyle w:val="FootnoteText"/>
      </w:pPr>
      <w:r w:rsidRPr="00CB502D">
        <w:rPr>
          <w:rStyle w:val="FootnoteReference"/>
          <w:vertAlign w:val="baseline"/>
        </w:rPr>
        <w:footnoteRef/>
      </w:r>
      <w:r w:rsidRPr="00CB502D">
        <w:t xml:space="preserve">. </w:t>
      </w:r>
      <w:r w:rsidRPr="00CB502D">
        <w:rPr>
          <w:i/>
        </w:rPr>
        <w:t>Clonts</w:t>
      </w:r>
      <w:r w:rsidRPr="00CB502D">
        <w:t xml:space="preserve">, </w:t>
      </w:r>
      <w:r w:rsidR="00482EC3">
        <w:t>254</w:t>
      </w:r>
      <w:r w:rsidR="00482EC3" w:rsidRPr="00CB502D">
        <w:t xml:space="preserve"> </w:t>
      </w:r>
      <w:r w:rsidRPr="00CB502D">
        <w:t xml:space="preserve">N.C. App. at </w:t>
      </w:r>
      <w:r w:rsidR="00482EC3">
        <w:t>124</w:t>
      </w:r>
      <w:r w:rsidR="00017D26">
        <w:t xml:space="preserve"> </w:t>
      </w:r>
      <w:r w:rsidRPr="00CB502D">
        <w:t xml:space="preserve">(holding that the evidence did not support a finding of unavailability). In </w:t>
      </w:r>
      <w:r w:rsidRPr="00CB502D">
        <w:rPr>
          <w:i/>
        </w:rPr>
        <w:t xml:space="preserve">Clonts, </w:t>
      </w:r>
      <w:r w:rsidRPr="00CB502D">
        <w:t xml:space="preserve">the court noted that the trial court refused to continue the case until witness Whisman returned to the country and stated: “Our analysis is not confined to whether Whisman was unavailable for trial on the specific date of 15 June 2015, but whether Whisman was unavailable to testify at Defendant's trial, whenever that trial might have taken place, considering all relevant factors, rights, and policy considerations.” </w:t>
      </w:r>
      <w:r w:rsidRPr="00CB502D">
        <w:rPr>
          <w:i/>
        </w:rPr>
        <w:t xml:space="preserve">Id. </w:t>
      </w:r>
      <w:r w:rsidRPr="00CB502D">
        <w:t xml:space="preserve">It concluded: </w:t>
      </w:r>
    </w:p>
    <w:p w14:paraId="3B93B4D5" w14:textId="77777777" w:rsidR="00CB502D" w:rsidRPr="00CB502D" w:rsidRDefault="00CB502D" w:rsidP="002A5AC3">
      <w:pPr>
        <w:pStyle w:val="FootnoteText"/>
      </w:pPr>
    </w:p>
    <w:p w14:paraId="2C8D1A75" w14:textId="7E3C25E1" w:rsidR="00CB502D" w:rsidRPr="00CB502D" w:rsidRDefault="00CB502D" w:rsidP="002C1FCD">
      <w:pPr>
        <w:pStyle w:val="FootnoteText"/>
        <w:ind w:left="720" w:right="720"/>
      </w:pPr>
      <w:r w:rsidRPr="00CB502D">
        <w:t xml:space="preserve">We see no legitimate reason why a trial court should not continue a trial to </w:t>
      </w:r>
      <w:r w:rsidRPr="00CB502D">
        <w:rPr>
          <w:i/>
        </w:rPr>
        <w:t>protect a defendant's confrontation rights</w:t>
      </w:r>
      <w:r w:rsidRPr="00CB502D">
        <w:t xml:space="preserve"> with the same flexibility that it offers the State when it agrees to continue a trial </w:t>
      </w:r>
      <w:proofErr w:type="gramStart"/>
      <w:r w:rsidRPr="00CB502D">
        <w:rPr>
          <w:i/>
        </w:rPr>
        <w:t>in order for</w:t>
      </w:r>
      <w:proofErr w:type="gramEnd"/>
      <w:r w:rsidRPr="00CB502D">
        <w:rPr>
          <w:i/>
        </w:rPr>
        <w:t xml:space="preserve"> the State to present testimony of an important witness</w:t>
      </w:r>
      <w:r w:rsidRPr="00CB502D">
        <w:t xml:space="preserve"> at that trial. We find no compelling interest justifying the denial of Defendant's request to continue the trial to allow for Whisman's live testimony. The mere convenience of the State offers no such compelling interest[.]</w:t>
      </w:r>
    </w:p>
    <w:p w14:paraId="3C3CD47E" w14:textId="77777777" w:rsidR="00CB502D" w:rsidRPr="00CB502D" w:rsidRDefault="00CB502D">
      <w:pPr>
        <w:pStyle w:val="FootnoteText"/>
        <w:rPr>
          <w:i/>
        </w:rPr>
      </w:pPr>
    </w:p>
    <w:p w14:paraId="04B0C563" w14:textId="26F93A31" w:rsidR="00CB502D" w:rsidRPr="00CB502D" w:rsidRDefault="00CB502D">
      <w:pPr>
        <w:pStyle w:val="FootnoteText"/>
      </w:pPr>
      <w:r w:rsidRPr="00CB502D">
        <w:rPr>
          <w:i/>
        </w:rPr>
        <w:t xml:space="preserve">Id. </w:t>
      </w:r>
      <w:r w:rsidRPr="00CB502D">
        <w:t xml:space="preserve">at </w:t>
      </w:r>
      <w:r w:rsidR="00215BF6">
        <w:t>127</w:t>
      </w:r>
      <w:r w:rsidRPr="00CB502D">
        <w:t>.</w:t>
      </w:r>
    </w:p>
  </w:footnote>
  <w:footnote w:id="183">
    <w:p w14:paraId="0C9111C1" w14:textId="1EE38DAB" w:rsidR="00CB502D" w:rsidRPr="00CB502D" w:rsidRDefault="00CB502D">
      <w:pPr>
        <w:pStyle w:val="FootnoteText"/>
      </w:pPr>
      <w:r w:rsidRPr="00CB502D">
        <w:rPr>
          <w:rStyle w:val="FootnoteReference"/>
          <w:vertAlign w:val="baseline"/>
        </w:rPr>
        <w:footnoteRef/>
      </w:r>
      <w:r w:rsidRPr="00CB502D">
        <w:t xml:space="preserve">. </w:t>
      </w:r>
      <w:r w:rsidRPr="00CB502D">
        <w:rPr>
          <w:i/>
        </w:rPr>
        <w:t>Id</w:t>
      </w:r>
      <w:r w:rsidRPr="00CB502D">
        <w:t xml:space="preserve">. at </w:t>
      </w:r>
      <w:r w:rsidR="00FD3900">
        <w:t>128</w:t>
      </w:r>
      <w:r w:rsidRPr="00CB502D">
        <w:t xml:space="preserve"> (footnotes omitted).</w:t>
      </w:r>
    </w:p>
  </w:footnote>
  <w:footnote w:id="184">
    <w:p w14:paraId="3462C1BA" w14:textId="3BC71E8A" w:rsidR="00CB502D" w:rsidRPr="00CB502D" w:rsidRDefault="00CB502D">
      <w:pPr>
        <w:pStyle w:val="FootnoteText"/>
        <w:rPr>
          <w:i/>
        </w:rPr>
      </w:pPr>
      <w:r w:rsidRPr="00CB502D">
        <w:rPr>
          <w:rStyle w:val="FootnoteReference"/>
          <w:vertAlign w:val="baseline"/>
        </w:rPr>
        <w:footnoteRef/>
      </w:r>
      <w:r w:rsidRPr="00CB502D">
        <w:t xml:space="preserve">. </w:t>
      </w:r>
      <w:r w:rsidRPr="00CB502D">
        <w:rPr>
          <w:i/>
        </w:rPr>
        <w:t>Id.</w:t>
      </w:r>
    </w:p>
  </w:footnote>
  <w:footnote w:id="185">
    <w:p w14:paraId="4BAEC147" w14:textId="7A12658C" w:rsidR="00CB502D" w:rsidRPr="00CB502D" w:rsidRDefault="00CB502D">
      <w:pPr>
        <w:pStyle w:val="FootnoteText"/>
      </w:pPr>
      <w:r w:rsidRPr="00CB502D">
        <w:rPr>
          <w:rStyle w:val="FootnoteReference"/>
          <w:vertAlign w:val="baseline"/>
        </w:rPr>
        <w:footnoteRef/>
      </w:r>
      <w:r w:rsidRPr="00CB502D">
        <w:t xml:space="preserve">. </w:t>
      </w:r>
      <w:r w:rsidRPr="00CB502D">
        <w:rPr>
          <w:i/>
        </w:rPr>
        <w:t xml:space="preserve">Id. </w:t>
      </w:r>
      <w:r w:rsidRPr="00CB502D">
        <w:t xml:space="preserve">at </w:t>
      </w:r>
      <w:r w:rsidR="00DF7001">
        <w:t>130</w:t>
      </w:r>
      <w:r w:rsidRPr="00CB502D">
        <w:t xml:space="preserve"> (quotation omitted) (holding that the State failed to show a good faith effort to procure the witness and outlining steps that it could have undertaken to do so).</w:t>
      </w:r>
    </w:p>
  </w:footnote>
  <w:footnote w:id="186">
    <w:p w14:paraId="0A39B04A" w14:textId="7F07C779" w:rsidR="00CB502D" w:rsidRPr="00CB502D" w:rsidRDefault="00CB502D" w:rsidP="006906C0">
      <w:pPr>
        <w:pStyle w:val="FootnoteText"/>
      </w:pPr>
      <w:r w:rsidRPr="00CB502D">
        <w:footnoteRef/>
      </w:r>
      <w:r w:rsidRPr="00CB502D">
        <w:t>. State v. Ash, 169 N.C. App. 715, 727 (2005) (“Without receiving evidence on or making a finding of unavailability, the trial court erred in admitting [the testimonial evidence].”).</w:t>
      </w:r>
    </w:p>
  </w:footnote>
  <w:footnote w:id="187">
    <w:p w14:paraId="622CC525" w14:textId="40B3595F" w:rsidR="00CB502D" w:rsidRPr="00CB502D" w:rsidRDefault="00CB502D">
      <w:pPr>
        <w:pStyle w:val="FootnoteText"/>
      </w:pPr>
      <w:r w:rsidRPr="00CB502D">
        <w:rPr>
          <w:rStyle w:val="FootnoteReference"/>
          <w:vertAlign w:val="baseline"/>
        </w:rPr>
        <w:footnoteRef/>
      </w:r>
      <w:r w:rsidRPr="00CB502D">
        <w:t xml:space="preserve">. State v. Clonts, </w:t>
      </w:r>
      <w:r w:rsidR="00DF7001">
        <w:t>254</w:t>
      </w:r>
      <w:r w:rsidR="00DF7001" w:rsidRPr="00CB502D">
        <w:t xml:space="preserve"> </w:t>
      </w:r>
      <w:r w:rsidRPr="00CB502D">
        <w:t xml:space="preserve">N.C. App. </w:t>
      </w:r>
      <w:r w:rsidR="001E7C4E">
        <w:t xml:space="preserve">95, </w:t>
      </w:r>
      <w:r w:rsidR="00ED764C">
        <w:t>112-</w:t>
      </w:r>
      <w:r w:rsidR="00651159">
        <w:t>116</w:t>
      </w:r>
      <w:r w:rsidRPr="00CB502D">
        <w:t xml:space="preserve"> (2017) (“[t]he trial court was required to make sufficient findings of fact, based upon competent evidence, in support of any ruling” that the State made a good faith effort to obtain the witness’s presence at trial; here, the trial court’s findings of fact were insufficient to establish the witness’s unavailability</w:t>
      </w:r>
      <w:r w:rsidRPr="00CB502D">
        <w:rPr>
          <w:szCs w:val="18"/>
        </w:rPr>
        <w:t>)</w:t>
      </w:r>
      <w:r w:rsidRPr="00CB502D">
        <w:t xml:space="preserve">, </w:t>
      </w:r>
      <w:r w:rsidRPr="00CB502D">
        <w:rPr>
          <w:i/>
        </w:rPr>
        <w:t>aff’d per curiam</w:t>
      </w:r>
      <w:r w:rsidRPr="00CB502D">
        <w:t xml:space="preserve">, </w:t>
      </w:r>
      <w:r w:rsidR="00651159">
        <w:t>371</w:t>
      </w:r>
      <w:r w:rsidR="00651159" w:rsidRPr="00CB502D">
        <w:t xml:space="preserve"> </w:t>
      </w:r>
      <w:r w:rsidRPr="00CB502D">
        <w:t xml:space="preserve">N.C. </w:t>
      </w:r>
      <w:r w:rsidR="00651159">
        <w:t>191</w:t>
      </w:r>
      <w:r w:rsidRPr="00CB502D">
        <w:t xml:space="preserve"> (2018)</w:t>
      </w:r>
      <w:r w:rsidRPr="00CB502D">
        <w:rPr>
          <w:szCs w:val="18"/>
        </w:rPr>
        <w:t>.</w:t>
      </w:r>
    </w:p>
  </w:footnote>
  <w:footnote w:id="188">
    <w:p w14:paraId="0275248F" w14:textId="6B094124" w:rsidR="002E34E9" w:rsidRPr="001A360D" w:rsidRDefault="002E34E9" w:rsidP="002E34E9">
      <w:pPr>
        <w:pStyle w:val="FootnoteText"/>
      </w:pPr>
      <w:r w:rsidRPr="00CB502D">
        <w:rPr>
          <w:rStyle w:val="FootnoteReference"/>
          <w:vertAlign w:val="baseline"/>
        </w:rPr>
        <w:footnoteRef/>
      </w:r>
      <w:r w:rsidRPr="00CB502D">
        <w:t xml:space="preserve">. </w:t>
      </w:r>
      <w:r>
        <w:t>Pointer v. Texas, 380 U.S. 400, 407 (1965) (</w:t>
      </w:r>
      <w:r w:rsidR="001A360D">
        <w:t>“b</w:t>
      </w:r>
      <w:r w:rsidR="001A360D" w:rsidRPr="001A360D">
        <w:t xml:space="preserve">ecause the transcript of [the declarant's] statement offered against petitioner at his trial had not been taken at a time and under circumstances affording petitioner through counsel an adequate opportunity to cross-examine [the declarant], its introduction in a . . . criminal case against [the defendant] </w:t>
      </w:r>
      <w:r w:rsidR="001A360D">
        <w:t>. . .</w:t>
      </w:r>
      <w:r w:rsidR="001A360D" w:rsidRPr="001A360D">
        <w:t xml:space="preserve"> </w:t>
      </w:r>
      <w:r w:rsidR="001A360D">
        <w:t>[</w:t>
      </w:r>
      <w:r w:rsidR="001A360D" w:rsidRPr="001A360D">
        <w:t>amount</w:t>
      </w:r>
      <w:r w:rsidR="001A360D">
        <w:t>s]</w:t>
      </w:r>
      <w:r w:rsidR="001A360D" w:rsidRPr="001A360D">
        <w:t xml:space="preserve"> to denial of the privilege of confrontation guaranteed by the Sixth Amendment.</w:t>
      </w:r>
      <w:r w:rsidR="001A360D">
        <w:t>”</w:t>
      </w:r>
      <w:r>
        <w:t>)</w:t>
      </w:r>
      <w:r w:rsidRPr="00CB502D">
        <w:rPr>
          <w:szCs w:val="18"/>
        </w:rPr>
        <w:t>.</w:t>
      </w:r>
      <w:r w:rsidR="001A360D">
        <w:rPr>
          <w:szCs w:val="18"/>
        </w:rPr>
        <w:t xml:space="preserve"> </w:t>
      </w:r>
      <w:r w:rsidR="001A360D">
        <w:rPr>
          <w:i/>
          <w:iCs/>
          <w:szCs w:val="18"/>
        </w:rPr>
        <w:t>See Crawford</w:t>
      </w:r>
      <w:r w:rsidR="001A360D">
        <w:rPr>
          <w:szCs w:val="18"/>
        </w:rPr>
        <w:t xml:space="preserve">, 541 U.S. at 57 (citing </w:t>
      </w:r>
      <w:r w:rsidR="001A360D">
        <w:rPr>
          <w:i/>
          <w:iCs/>
          <w:szCs w:val="18"/>
        </w:rPr>
        <w:t xml:space="preserve">Pointer </w:t>
      </w:r>
      <w:r w:rsidR="001A360D">
        <w:rPr>
          <w:szCs w:val="18"/>
        </w:rPr>
        <w:t xml:space="preserve">as a correct application of the </w:t>
      </w:r>
      <w:r w:rsidR="00AE664A">
        <w:rPr>
          <w:szCs w:val="18"/>
        </w:rPr>
        <w:t>Confrontation Clause</w:t>
      </w:r>
      <w:r w:rsidR="001A360D">
        <w:rPr>
          <w:szCs w:val="18"/>
        </w:rPr>
        <w:t>).</w:t>
      </w:r>
    </w:p>
  </w:footnote>
  <w:footnote w:id="189">
    <w:p w14:paraId="59BC00DC" w14:textId="215B692C" w:rsidR="001A360D" w:rsidRPr="00CB502D" w:rsidRDefault="001A360D" w:rsidP="001A360D">
      <w:pPr>
        <w:pStyle w:val="FootnoteText"/>
      </w:pPr>
      <w:r w:rsidRPr="00CB502D">
        <w:rPr>
          <w:rStyle w:val="FootnoteReference"/>
          <w:rFonts w:cs="Arial"/>
          <w:szCs w:val="18"/>
          <w:vertAlign w:val="baseline"/>
        </w:rPr>
        <w:footnoteRef/>
      </w:r>
      <w:r w:rsidRPr="00CB502D">
        <w:t>. State v. Ross, 216 N.C. App. 337, 345-46 (2011)</w:t>
      </w:r>
      <w:r>
        <w:t xml:space="preserve"> (emphasizing that the defendant was represented by counsel at a probable cause hearing)</w:t>
      </w:r>
      <w:r w:rsidRPr="00CB502D">
        <w:t xml:space="preserve">. </w:t>
      </w:r>
      <w:r>
        <w:t xml:space="preserve">State v. Clark, 165 N.C. App. 279, </w:t>
      </w:r>
      <w:r w:rsidR="0069187E">
        <w:t>287 (2004) (same in context of prior trial).</w:t>
      </w:r>
      <w:r w:rsidR="007854C8">
        <w:t xml:space="preserve"> Presumably a prior opportunity for cross-examination could be adequate under this analysis if a defendant validly waived the assistance of counsel, </w:t>
      </w:r>
      <w:r w:rsidR="007854C8">
        <w:rPr>
          <w:i/>
          <w:iCs/>
        </w:rPr>
        <w:t>cf.</w:t>
      </w:r>
      <w:r w:rsidR="007854C8">
        <w:t xml:space="preserve"> State v. Joyner, 284 N.C. App. 681, 688 (2022) (holding that defendant waived confrontation right </w:t>
      </w:r>
      <w:r w:rsidR="00390FAA">
        <w:t>with respect to testimonial statements</w:t>
      </w:r>
      <w:r w:rsidR="007854C8">
        <w:t xml:space="preserve"> </w:t>
      </w:r>
      <w:r w:rsidR="00390FAA">
        <w:t xml:space="preserve">made at a </w:t>
      </w:r>
      <w:r w:rsidR="007854C8">
        <w:t>hearing on a Chapter 50C no-contact order</w:t>
      </w:r>
      <w:r w:rsidR="00390FAA">
        <w:t xml:space="preserve"> by failing to attend the hearing</w:t>
      </w:r>
      <w:r w:rsidR="007854C8">
        <w:t>), though as a practical matter the prior proceeding may be one where there is not a</w:t>
      </w:r>
      <w:r w:rsidR="00390FAA">
        <w:t>n affirmative</w:t>
      </w:r>
      <w:r w:rsidR="007854C8">
        <w:t xml:space="preserve"> right to counsel </w:t>
      </w:r>
      <w:r w:rsidR="00E32B2A">
        <w:t xml:space="preserve">and thus </w:t>
      </w:r>
      <w:r w:rsidR="00390FAA">
        <w:t>counsel issues</w:t>
      </w:r>
      <w:r w:rsidR="00E32B2A">
        <w:t xml:space="preserve"> may not be salient as a procedural </w:t>
      </w:r>
      <w:r w:rsidR="00390FAA">
        <w:t>matter</w:t>
      </w:r>
      <w:r w:rsidR="00E32B2A">
        <w:t>.</w:t>
      </w:r>
      <w:r w:rsidR="007854C8">
        <w:t xml:space="preserve"> </w:t>
      </w:r>
    </w:p>
  </w:footnote>
  <w:footnote w:id="190">
    <w:p w14:paraId="023CF2A3" w14:textId="3A22EB67" w:rsidR="0069187E" w:rsidRPr="00CB502D" w:rsidRDefault="0069187E" w:rsidP="0069187E">
      <w:pPr>
        <w:pStyle w:val="FootnoteText"/>
      </w:pPr>
      <w:r w:rsidRPr="00CB502D">
        <w:rPr>
          <w:rStyle w:val="FootnoteReference"/>
          <w:rFonts w:cs="Arial"/>
          <w:szCs w:val="18"/>
          <w:vertAlign w:val="baseline"/>
        </w:rPr>
        <w:footnoteRef/>
      </w:r>
      <w:r w:rsidRPr="00CB502D">
        <w:t xml:space="preserve">. </w:t>
      </w:r>
      <w:r w:rsidRPr="004C3078">
        <w:rPr>
          <w:i/>
          <w:iCs/>
        </w:rPr>
        <w:t>Ross</w:t>
      </w:r>
      <w:r w:rsidRPr="00CB502D">
        <w:t xml:space="preserve">, 216 N.C. App. </w:t>
      </w:r>
      <w:r>
        <w:t>at</w:t>
      </w:r>
      <w:r w:rsidRPr="00CB502D">
        <w:t xml:space="preserve"> 345-46</w:t>
      </w:r>
      <w:r>
        <w:t>; State v. Joyner</w:t>
      </w:r>
      <w:r w:rsidR="007854C8">
        <w:t>,</w:t>
      </w:r>
      <w:r>
        <w:t xml:space="preserve"> 284 N.C. App. </w:t>
      </w:r>
      <w:r w:rsidR="007854C8">
        <w:t>681, 688 (2022)</w:t>
      </w:r>
      <w:r>
        <w:t>.</w:t>
      </w:r>
      <w:r w:rsidR="00E32B2A">
        <w:t xml:space="preserve"> Note that the hearsay exception for former testimony of an unavailable declarant under Evidence Rule 804(b)(1) likewise requires a “similar motive” for cross-examination at a prior proceeding.</w:t>
      </w:r>
    </w:p>
  </w:footnote>
  <w:footnote w:id="191">
    <w:p w14:paraId="6A941A78" w14:textId="027B5B33" w:rsidR="00CB502D" w:rsidRPr="00CB502D" w:rsidRDefault="00CB502D" w:rsidP="006906C0">
      <w:pPr>
        <w:pStyle w:val="FootnoteText"/>
      </w:pPr>
      <w:r w:rsidRPr="00CB502D">
        <w:footnoteRef/>
      </w:r>
      <w:r w:rsidRPr="00CB502D">
        <w:t xml:space="preserve">. </w:t>
      </w:r>
      <w:r w:rsidR="007854C8" w:rsidRPr="004C3078">
        <w:rPr>
          <w:i/>
          <w:iCs/>
        </w:rPr>
        <w:t>Clark</w:t>
      </w:r>
      <w:r w:rsidR="007854C8">
        <w:t>, 165 N.C. App. at 287</w:t>
      </w:r>
      <w:r w:rsidRPr="00CB502D">
        <w:t>.</w:t>
      </w:r>
    </w:p>
  </w:footnote>
  <w:footnote w:id="192">
    <w:p w14:paraId="4EC85B5D" w14:textId="77777777" w:rsidR="00CB502D" w:rsidRPr="00CB502D" w:rsidRDefault="00CB502D" w:rsidP="006906C0">
      <w:pPr>
        <w:pStyle w:val="FootnoteText"/>
      </w:pPr>
      <w:r w:rsidRPr="00CB502D">
        <w:rPr>
          <w:rStyle w:val="FootnoteReference"/>
          <w:rFonts w:cs="Arial"/>
          <w:szCs w:val="18"/>
          <w:vertAlign w:val="baseline"/>
        </w:rPr>
        <w:footnoteRef/>
      </w:r>
      <w:r w:rsidRPr="00CB502D">
        <w:t xml:space="preserve">. State v. Ross, 216 N.C. App. 337, 345-46 (2011). </w:t>
      </w:r>
    </w:p>
  </w:footnote>
  <w:footnote w:id="193">
    <w:p w14:paraId="489C2F3A" w14:textId="45ECFD0E" w:rsidR="0053546F" w:rsidRPr="00CB502D" w:rsidRDefault="0053546F" w:rsidP="0053546F">
      <w:pPr>
        <w:pStyle w:val="FootnoteText"/>
      </w:pPr>
      <w:r w:rsidRPr="00CB502D">
        <w:rPr>
          <w:rStyle w:val="FootnoteReference"/>
          <w:rFonts w:cs="Arial"/>
          <w:szCs w:val="18"/>
          <w:vertAlign w:val="baseline"/>
        </w:rPr>
        <w:footnoteRef/>
      </w:r>
      <w:r w:rsidRPr="00CB502D">
        <w:t xml:space="preserve">. </w:t>
      </w:r>
      <w:r w:rsidR="00D558F7" w:rsidRPr="00D558F7">
        <w:t xml:space="preserve">State v. Smith, 287 N.C. App. 614, *10 (2023) (unpublished); see also, Daniel Spiegel, </w:t>
      </w:r>
      <w:hyperlink r:id="rId9" w:history="1">
        <w:r w:rsidR="00D558F7" w:rsidRPr="00D558F7">
          <w:rPr>
            <w:rStyle w:val="Hyperlink"/>
            <w:i/>
            <w:iCs/>
          </w:rPr>
          <w:t>When Can the State Use Testimony from the Probable Cause Hearing at Trial?</w:t>
        </w:r>
      </w:hyperlink>
      <w:r w:rsidR="00D558F7" w:rsidRPr="00D558F7">
        <w:t xml:space="preserve">, </w:t>
      </w:r>
      <w:r w:rsidR="00D558F7" w:rsidRPr="00D558F7">
        <w:rPr>
          <w:smallCaps/>
        </w:rPr>
        <w:t>N.C. Crim. L., UNC Sch. of Gov’t Blog</w:t>
      </w:r>
      <w:r w:rsidR="00D558F7" w:rsidRPr="00D558F7">
        <w:t xml:space="preserve"> (Jan. 24, 2024)</w:t>
      </w:r>
      <w:r w:rsidRPr="00CB502D">
        <w:t xml:space="preserve">. </w:t>
      </w:r>
    </w:p>
  </w:footnote>
  <w:footnote w:id="194">
    <w:p w14:paraId="42964354" w14:textId="49EA471A" w:rsidR="00D558F7" w:rsidRPr="00CB502D" w:rsidRDefault="00D558F7" w:rsidP="00D558F7">
      <w:pPr>
        <w:pStyle w:val="FootnoteText"/>
      </w:pPr>
      <w:r w:rsidRPr="00CB502D">
        <w:rPr>
          <w:rStyle w:val="FootnoteReference"/>
          <w:rFonts w:cs="Arial"/>
          <w:szCs w:val="18"/>
          <w:vertAlign w:val="baseline"/>
        </w:rPr>
        <w:footnoteRef/>
      </w:r>
      <w:r w:rsidRPr="00CB502D">
        <w:t xml:space="preserve">. </w:t>
      </w:r>
      <w:r>
        <w:rPr>
          <w:i/>
          <w:iCs/>
        </w:rPr>
        <w:t>Id</w:t>
      </w:r>
      <w:r w:rsidRPr="00CB502D">
        <w:t xml:space="preserve">. </w:t>
      </w:r>
    </w:p>
  </w:footnote>
  <w:footnote w:id="195">
    <w:p w14:paraId="19CC9CF2" w14:textId="3E03AF7D" w:rsidR="00CB502D" w:rsidRPr="00CB502D" w:rsidRDefault="00CB502D">
      <w:pPr>
        <w:pStyle w:val="FootnoteText"/>
      </w:pPr>
      <w:r w:rsidRPr="00CB502D">
        <w:rPr>
          <w:rStyle w:val="FootnoteReference"/>
          <w:vertAlign w:val="baseline"/>
        </w:rPr>
        <w:footnoteRef/>
      </w:r>
      <w:r w:rsidRPr="00CB502D">
        <w:t xml:space="preserve">. State v. Rollins, 226 N.C. App. 129, 135 (2013) (no violation of the defendant’s confrontation rights occurred when the trial court admitted statements made by an unavailable witness at a proceeding in connection with the defendant’s </w:t>
      </w:r>
      <w:r w:rsidRPr="00CB502D">
        <w:rPr>
          <w:i/>
        </w:rPr>
        <w:t>Alford</w:t>
      </w:r>
      <w:r w:rsidRPr="00CB502D">
        <w:t xml:space="preserve"> plea; the court concluded that the “defendant definitively had a prior opportunity to cross-examine” the witness during the plea hearing and “had a similar motive to cross-examine [the witness] as he would have had at trial”).</w:t>
      </w:r>
    </w:p>
  </w:footnote>
  <w:footnote w:id="196">
    <w:p w14:paraId="6AC3EF97" w14:textId="3E973DA7" w:rsidR="00505B7A" w:rsidRPr="00CB502D" w:rsidRDefault="00505B7A" w:rsidP="00505B7A">
      <w:pPr>
        <w:pStyle w:val="FootnoteText"/>
      </w:pPr>
      <w:r w:rsidRPr="00CB502D">
        <w:rPr>
          <w:rStyle w:val="FootnoteReference"/>
          <w:rFonts w:cs="Arial"/>
          <w:szCs w:val="18"/>
          <w:vertAlign w:val="baseline"/>
        </w:rPr>
        <w:footnoteRef/>
      </w:r>
      <w:r w:rsidRPr="00CB502D">
        <w:t xml:space="preserve">. </w:t>
      </w:r>
      <w:r w:rsidRPr="00505B7A">
        <w:t xml:space="preserve">State v. Joyner, 284 N.C. App. 681, 688 (2022); </w:t>
      </w:r>
      <w:r w:rsidRPr="00505B7A">
        <w:rPr>
          <w:i/>
          <w:iCs/>
        </w:rPr>
        <w:t>see also</w:t>
      </w:r>
      <w:r w:rsidRPr="00505B7A">
        <w:t xml:space="preserve"> Phil Dixon, </w:t>
      </w:r>
      <w:hyperlink r:id="rId10" w:history="1">
        <w:r w:rsidRPr="009E5CC8">
          <w:rPr>
            <w:rStyle w:val="Hyperlink"/>
            <w:i/>
            <w:iCs/>
          </w:rPr>
          <w:t>Failure to Appear at Civil No-Contact Hearing Was a Prior Opportunity for Cross-Examination and Constituted an Implied Waiver of Confrontation Rights at Subsequent Criminal Trial</w:t>
        </w:r>
      </w:hyperlink>
      <w:r w:rsidRPr="00505B7A">
        <w:t>, N.C. Crim. L., UNC Sch. of Gov’t Blog (Dec. 19, 2022).</w:t>
      </w:r>
    </w:p>
  </w:footnote>
  <w:footnote w:id="197">
    <w:p w14:paraId="0EE3ADF3" w14:textId="77777777" w:rsidR="00D9302F" w:rsidRPr="003C397F" w:rsidRDefault="00D9302F" w:rsidP="00D9302F">
      <w:pPr>
        <w:pStyle w:val="FootnoteText"/>
        <w:rPr>
          <w:rFonts w:cs="Arial"/>
          <w:szCs w:val="18"/>
        </w:rPr>
      </w:pPr>
      <w:r w:rsidRPr="003C397F">
        <w:rPr>
          <w:rFonts w:cs="Arial"/>
          <w:szCs w:val="18"/>
        </w:rPr>
        <w:footnoteRef/>
      </w:r>
      <w:r w:rsidRPr="003C397F">
        <w:rPr>
          <w:rFonts w:cs="Arial"/>
          <w:szCs w:val="18"/>
        </w:rPr>
        <w:t>. 489 U.S. 288 (1989)</w:t>
      </w:r>
      <w:r>
        <w:rPr>
          <w:rFonts w:cs="Arial"/>
          <w:szCs w:val="18"/>
        </w:rPr>
        <w:t xml:space="preserve">; </w:t>
      </w:r>
      <w:r w:rsidRPr="003C397F">
        <w:rPr>
          <w:rFonts w:cs="Arial"/>
          <w:szCs w:val="18"/>
        </w:rPr>
        <w:t>State v. Zuniga, 336 N.C. 508 (1994) (expressly adopting</w:t>
      </w:r>
      <w:r>
        <w:rPr>
          <w:rFonts w:cs="Arial"/>
          <w:szCs w:val="18"/>
        </w:rPr>
        <w:t xml:space="preserve"> the</w:t>
      </w:r>
      <w:r w:rsidRPr="003C397F">
        <w:rPr>
          <w:rFonts w:cs="Arial"/>
          <w:szCs w:val="18"/>
        </w:rPr>
        <w:t xml:space="preserve"> </w:t>
      </w:r>
      <w:r w:rsidRPr="003C397F">
        <w:rPr>
          <w:rFonts w:cs="Arial"/>
          <w:i/>
          <w:iCs/>
          <w:szCs w:val="18"/>
        </w:rPr>
        <w:t xml:space="preserve">Teague </w:t>
      </w:r>
      <w:r>
        <w:rPr>
          <w:rFonts w:cs="Arial"/>
          <w:szCs w:val="18"/>
        </w:rPr>
        <w:t>test for purposes of retroactivity analysis of federal constitutional rules of criminal procedure in state court</w:t>
      </w:r>
      <w:r w:rsidRPr="003C397F">
        <w:rPr>
          <w:rFonts w:cs="Arial"/>
          <w:szCs w:val="18"/>
        </w:rPr>
        <w:t xml:space="preserve">). </w:t>
      </w:r>
      <w:r w:rsidRPr="003C397F">
        <w:rPr>
          <w:rStyle w:val="FootnoteItalic"/>
          <w:rFonts w:ascii="Arial" w:hAnsi="Arial" w:cs="Arial"/>
          <w:sz w:val="18"/>
          <w:szCs w:val="18"/>
        </w:rPr>
        <w:t>See</w:t>
      </w:r>
      <w:r w:rsidRPr="003C397F">
        <w:rPr>
          <w:rFonts w:cs="Arial"/>
          <w:szCs w:val="18"/>
        </w:rPr>
        <w:t xml:space="preserve"> Whorton v. Bockting, 549 U.S. 406, 416-21 (2007) (</w:t>
      </w:r>
      <w:r w:rsidRPr="003C397F">
        <w:rPr>
          <w:rStyle w:val="FootnoteItalic"/>
          <w:rFonts w:ascii="Arial" w:hAnsi="Arial" w:cs="Arial"/>
          <w:sz w:val="18"/>
          <w:szCs w:val="18"/>
        </w:rPr>
        <w:t xml:space="preserve">Crawford </w:t>
      </w:r>
      <w:r w:rsidRPr="003C397F">
        <w:rPr>
          <w:rFonts w:cs="Arial"/>
          <w:szCs w:val="18"/>
        </w:rPr>
        <w:t xml:space="preserve">was a new procedural rule but not a watershed rule of criminal procedure and did not apply retroactively). Note that the United States Supreme Court limited the theoretical avenues for retroactive application of constitutional rules in </w:t>
      </w:r>
      <w:r w:rsidRPr="003C397F">
        <w:rPr>
          <w:rFonts w:cs="Arial"/>
          <w:i/>
          <w:iCs/>
          <w:szCs w:val="18"/>
        </w:rPr>
        <w:t>Edwards v. Vannoy</w:t>
      </w:r>
      <w:r w:rsidRPr="003C397F">
        <w:rPr>
          <w:rFonts w:cs="Arial"/>
          <w:szCs w:val="18"/>
        </w:rPr>
        <w:t xml:space="preserve">, 593 U.S. 255, 272 (2021), by declaring that no rule of criminal procedure can satisfy the so-called “watershed exception” to </w:t>
      </w:r>
      <w:r w:rsidRPr="003C397F">
        <w:rPr>
          <w:rFonts w:cs="Arial"/>
          <w:i/>
          <w:iCs/>
          <w:szCs w:val="18"/>
        </w:rPr>
        <w:t>Teague’s</w:t>
      </w:r>
      <w:r w:rsidRPr="003C397F">
        <w:rPr>
          <w:rFonts w:cs="Arial"/>
          <w:szCs w:val="18"/>
        </w:rPr>
        <w:t xml:space="preserve"> general principle of anti-retroactivity for procedural rules.</w:t>
      </w:r>
    </w:p>
  </w:footnote>
  <w:footnote w:id="198">
    <w:p w14:paraId="4F9505BD" w14:textId="77777777" w:rsidR="00D9302F" w:rsidRPr="003C397F" w:rsidRDefault="00D9302F" w:rsidP="00D9302F">
      <w:pPr>
        <w:pStyle w:val="FootnoteText"/>
        <w:rPr>
          <w:rFonts w:cs="Arial"/>
          <w:szCs w:val="18"/>
        </w:rPr>
      </w:pPr>
      <w:r w:rsidRPr="003C397F">
        <w:rPr>
          <w:rStyle w:val="FootnoteReference"/>
          <w:rFonts w:cs="Arial"/>
          <w:szCs w:val="18"/>
        </w:rPr>
        <w:footnoteRef/>
      </w:r>
      <w:r w:rsidRPr="003C397F">
        <w:rPr>
          <w:rFonts w:cs="Arial"/>
          <w:szCs w:val="18"/>
        </w:rPr>
        <w:t xml:space="preserve">. </w:t>
      </w:r>
      <w:r w:rsidRPr="003C397F">
        <w:rPr>
          <w:rFonts w:cs="Arial"/>
          <w:i/>
          <w:iCs/>
          <w:szCs w:val="18"/>
        </w:rPr>
        <w:t xml:space="preserve">See </w:t>
      </w:r>
      <w:r w:rsidRPr="003C397F">
        <w:rPr>
          <w:rFonts w:cs="Arial"/>
          <w:szCs w:val="18"/>
        </w:rPr>
        <w:t>Jessica Smith,</w:t>
      </w:r>
      <w:r w:rsidRPr="003C397F">
        <w:rPr>
          <w:rFonts w:cs="Arial"/>
          <w:i/>
          <w:szCs w:val="18"/>
        </w:rPr>
        <w:t xml:space="preserve"> </w:t>
      </w:r>
      <w:hyperlink r:id="rId11" w:history="1">
        <w:r w:rsidRPr="003C397F">
          <w:rPr>
            <w:rStyle w:val="Hyperlink"/>
            <w:rFonts w:cs="Arial"/>
            <w:i/>
            <w:szCs w:val="18"/>
          </w:rPr>
          <w:t>Retroactivity of Melendez-Diaz</w:t>
        </w:r>
      </w:hyperlink>
      <w:r w:rsidRPr="003C397F">
        <w:rPr>
          <w:rFonts w:cs="Arial"/>
          <w:szCs w:val="18"/>
        </w:rPr>
        <w:t xml:space="preserve">, </w:t>
      </w:r>
      <w:r w:rsidRPr="003C397F">
        <w:rPr>
          <w:rFonts w:cs="Arial"/>
          <w:smallCaps/>
          <w:szCs w:val="18"/>
        </w:rPr>
        <w:t>N.C. Crim. L., UNC Sch. of Gov’t Blog</w:t>
      </w:r>
      <w:r w:rsidRPr="003C397F">
        <w:rPr>
          <w:rFonts w:cs="Arial"/>
          <w:szCs w:val="18"/>
        </w:rPr>
        <w:t xml:space="preserve"> (July 20, 2009). Note that this blog post was written prior to the Supreme Court’s decision in </w:t>
      </w:r>
      <w:r w:rsidRPr="003C397F">
        <w:rPr>
          <w:rFonts w:cs="Arial"/>
          <w:i/>
          <w:iCs/>
          <w:szCs w:val="18"/>
        </w:rPr>
        <w:t>Edwards v. Vannoy</w:t>
      </w:r>
      <w:r w:rsidRPr="003C397F">
        <w:rPr>
          <w:rFonts w:cs="Arial"/>
          <w:szCs w:val="18"/>
        </w:rPr>
        <w:t xml:space="preserve"> that foreclosed retroactive application of new criminal procedure rules.</w:t>
      </w:r>
    </w:p>
  </w:footnote>
  <w:footnote w:id="199">
    <w:p w14:paraId="230A01EC" w14:textId="77777777" w:rsidR="00D9302F" w:rsidRPr="003C397F" w:rsidRDefault="00D9302F" w:rsidP="00D9302F">
      <w:pPr>
        <w:pStyle w:val="FootnoteText"/>
        <w:rPr>
          <w:rFonts w:cs="Arial"/>
          <w:szCs w:val="18"/>
        </w:rPr>
      </w:pPr>
      <w:r w:rsidRPr="003C397F">
        <w:rPr>
          <w:rFonts w:cs="Arial"/>
          <w:szCs w:val="18"/>
        </w:rPr>
        <w:footnoteRef/>
      </w:r>
      <w:r w:rsidRPr="003C397F">
        <w:rPr>
          <w:rFonts w:cs="Arial"/>
          <w:szCs w:val="18"/>
        </w:rPr>
        <w:t xml:space="preserve">. Phil Dixon, </w:t>
      </w:r>
      <w:hyperlink r:id="rId12" w:history="1">
        <w:r w:rsidRPr="003C397F">
          <w:rPr>
            <w:rStyle w:val="Hyperlink"/>
            <w:rFonts w:cs="Arial"/>
            <w:i/>
            <w:iCs/>
            <w:szCs w:val="18"/>
          </w:rPr>
          <w:t>Smith v. Arizona and Retroactivity</w:t>
        </w:r>
      </w:hyperlink>
      <w:r w:rsidRPr="003C397F">
        <w:rPr>
          <w:rFonts w:cs="Arial"/>
          <w:szCs w:val="18"/>
        </w:rPr>
        <w:t xml:space="preserve">, </w:t>
      </w:r>
      <w:r w:rsidRPr="003C397F">
        <w:rPr>
          <w:rFonts w:cs="Arial"/>
          <w:smallCaps/>
          <w:szCs w:val="18"/>
        </w:rPr>
        <w:t>N.C. Crim. L., UNC Sch. of Gov’t Blog</w:t>
      </w:r>
      <w:r w:rsidRPr="003C397F">
        <w:rPr>
          <w:rFonts w:cs="Arial"/>
          <w:szCs w:val="18"/>
        </w:rPr>
        <w:t xml:space="preserve"> (Aug. 14, 2024)</w:t>
      </w:r>
      <w:r>
        <w:rPr>
          <w:rFonts w:cs="Arial"/>
          <w:szCs w:val="18"/>
        </w:rPr>
        <w:t>.</w:t>
      </w:r>
    </w:p>
  </w:footnote>
  <w:footnote w:id="200">
    <w:p w14:paraId="7F6D9A7D" w14:textId="77777777" w:rsidR="00CB502D" w:rsidRPr="00CB502D" w:rsidRDefault="00CB502D" w:rsidP="006906C0">
      <w:pPr>
        <w:pStyle w:val="FootnoteText"/>
      </w:pPr>
      <w:r w:rsidRPr="00CB502D">
        <w:footnoteRef/>
      </w:r>
      <w:r w:rsidRPr="00CB502D">
        <w:t xml:space="preserve">. </w:t>
      </w:r>
      <w:r w:rsidRPr="00CB502D">
        <w:rPr>
          <w:rStyle w:val="FootnoteItalic"/>
          <w:rFonts w:ascii="Arial" w:hAnsi="Arial" w:cs="Arial"/>
          <w:sz w:val="18"/>
          <w:szCs w:val="18"/>
        </w:rPr>
        <w:t>See</w:t>
      </w:r>
      <w:r w:rsidRPr="00CB502D">
        <w:t xml:space="preserve">, </w:t>
      </w:r>
      <w:r w:rsidRPr="00CB502D">
        <w:rPr>
          <w:rStyle w:val="FootnoteItalic"/>
          <w:rFonts w:ascii="Arial" w:hAnsi="Arial" w:cs="Arial"/>
          <w:sz w:val="18"/>
          <w:szCs w:val="18"/>
        </w:rPr>
        <w:t>e.g.</w:t>
      </w:r>
      <w:r w:rsidRPr="00CB502D">
        <w:t xml:space="preserve">, </w:t>
      </w:r>
      <w:r w:rsidRPr="00CB502D">
        <w:rPr>
          <w:i/>
        </w:rPr>
        <w:t>Crawford</w:t>
      </w:r>
      <w:r w:rsidRPr="00CB502D">
        <w:t>, 541 U.S. at 43.</w:t>
      </w:r>
    </w:p>
  </w:footnote>
  <w:footnote w:id="201">
    <w:p w14:paraId="62588193" w14:textId="30A59706" w:rsidR="00CB502D" w:rsidRPr="00C95C1D" w:rsidRDefault="00CB502D" w:rsidP="00C95C1D">
      <w:pPr>
        <w:widowControl w:val="0"/>
        <w:autoSpaceDE w:val="0"/>
        <w:autoSpaceDN w:val="0"/>
        <w:adjustRightInd w:val="0"/>
        <w:rPr>
          <w:iCs/>
        </w:rPr>
      </w:pPr>
      <w:r w:rsidRPr="00CB502D">
        <w:rPr>
          <w:rStyle w:val="FootnoteReference"/>
          <w:sz w:val="18"/>
          <w:szCs w:val="18"/>
          <w:vertAlign w:val="baseline"/>
        </w:rPr>
        <w:footnoteRef/>
      </w:r>
      <w:r w:rsidRPr="00CB502D">
        <w:rPr>
          <w:sz w:val="18"/>
          <w:szCs w:val="18"/>
        </w:rPr>
        <w:t xml:space="preserve">. </w:t>
      </w:r>
      <w:r w:rsidR="00C95C1D" w:rsidRPr="00C95C1D">
        <w:rPr>
          <w:sz w:val="18"/>
          <w:szCs w:val="18"/>
        </w:rPr>
        <w:t>In pre-</w:t>
      </w:r>
      <w:r w:rsidR="00C95C1D" w:rsidRPr="00C95C1D">
        <w:rPr>
          <w:i/>
          <w:iCs/>
          <w:sz w:val="18"/>
          <w:szCs w:val="18"/>
        </w:rPr>
        <w:t>Crawford</w:t>
      </w:r>
      <w:r w:rsidR="00C95C1D" w:rsidRPr="00C95C1D">
        <w:rPr>
          <w:sz w:val="18"/>
          <w:szCs w:val="18"/>
        </w:rPr>
        <w:t xml:space="preserve"> cases, the U.S. Supreme Court has emphasized that the Confrontation Clause is a trial right. </w:t>
      </w:r>
      <w:r w:rsidR="00C95C1D" w:rsidRPr="00C95C1D">
        <w:rPr>
          <w:i/>
          <w:iCs/>
          <w:sz w:val="18"/>
          <w:szCs w:val="18"/>
        </w:rPr>
        <w:t>See, e.g.</w:t>
      </w:r>
      <w:r w:rsidR="00C95C1D" w:rsidRPr="00C95C1D">
        <w:rPr>
          <w:sz w:val="18"/>
          <w:szCs w:val="18"/>
        </w:rPr>
        <w:t xml:space="preserve">, Ritchie v. Pennsylvania, 480 U.S. 39, 52 (1987). Lower courts have largely rejected applying confrontation rights to pretrial matters. </w:t>
      </w:r>
      <w:r w:rsidR="00C95C1D" w:rsidRPr="00C95C1D">
        <w:rPr>
          <w:i/>
          <w:iCs/>
          <w:sz w:val="18"/>
          <w:szCs w:val="18"/>
        </w:rPr>
        <w:t>See, e.g.</w:t>
      </w:r>
      <w:r w:rsidR="00C95C1D">
        <w:rPr>
          <w:sz w:val="18"/>
          <w:szCs w:val="18"/>
        </w:rPr>
        <w:t>,</w:t>
      </w:r>
      <w:r w:rsidR="00C95C1D" w:rsidRPr="00C95C1D">
        <w:rPr>
          <w:sz w:val="18"/>
          <w:szCs w:val="18"/>
        </w:rPr>
        <w:t xml:space="preserve"> Peterson v. California, 604 F.3d 1166, 1169-70 (9th Cir. 2010) (rejecting confrontation rights at probable cause hearings); State v. Zamzow, 892 N.W.2d 637, 646 (Wisc. 2017) (same for suppression hearings); U</w:t>
      </w:r>
      <w:r w:rsidR="00870ED4">
        <w:rPr>
          <w:sz w:val="18"/>
          <w:szCs w:val="18"/>
        </w:rPr>
        <w:t xml:space="preserve">nited </w:t>
      </w:r>
      <w:r w:rsidR="00C95C1D" w:rsidRPr="00C95C1D">
        <w:rPr>
          <w:sz w:val="18"/>
          <w:szCs w:val="18"/>
        </w:rPr>
        <w:t>S</w:t>
      </w:r>
      <w:r w:rsidR="00870ED4">
        <w:rPr>
          <w:sz w:val="18"/>
          <w:szCs w:val="18"/>
        </w:rPr>
        <w:t>tates</w:t>
      </w:r>
      <w:r w:rsidR="00C95C1D" w:rsidRPr="00C95C1D">
        <w:rPr>
          <w:sz w:val="18"/>
          <w:szCs w:val="18"/>
        </w:rPr>
        <w:t xml:space="preserve"> v. Morgan, 505 F.3d 332, 339 (5th Cir. 2007) (same for preliminary hearings on the admissibility of evidence at trial); United States v. Hernandez, 778 F. Supp. 2d 1211, 1219-27 (D.N.M. 2011) (same for pretrial release and detention hearings).</w:t>
      </w:r>
    </w:p>
  </w:footnote>
  <w:footnote w:id="202">
    <w:p w14:paraId="71C8435B" w14:textId="77777777" w:rsidR="00CB502D" w:rsidRPr="00CB502D" w:rsidRDefault="00CB502D" w:rsidP="006906C0">
      <w:pPr>
        <w:pStyle w:val="FootnoteText"/>
      </w:pPr>
      <w:r w:rsidRPr="00CB502D">
        <w:footnoteRef/>
      </w:r>
      <w:r w:rsidRPr="00CB502D">
        <w:t xml:space="preserve">. State v. Bell, 359 N.C. 1, 34-35 (2004) (applying </w:t>
      </w:r>
      <w:r w:rsidRPr="00CB502D">
        <w:rPr>
          <w:rStyle w:val="FootnoteItalic"/>
          <w:rFonts w:ascii="Arial" w:hAnsi="Arial" w:cs="Arial"/>
          <w:sz w:val="18"/>
          <w:szCs w:val="18"/>
        </w:rPr>
        <w:t>Crawford</w:t>
      </w:r>
      <w:r w:rsidRPr="00CB502D">
        <w:t xml:space="preserve"> to such a proceeding).</w:t>
      </w:r>
    </w:p>
  </w:footnote>
  <w:footnote w:id="203">
    <w:p w14:paraId="2ACCF89D" w14:textId="079871D7" w:rsidR="00CB502D" w:rsidRPr="00CB502D" w:rsidRDefault="00CB502D" w:rsidP="006906C0">
      <w:pPr>
        <w:pStyle w:val="FootnoteText"/>
      </w:pPr>
      <w:r w:rsidRPr="00CB502D">
        <w:rPr>
          <w:rStyle w:val="FootnoteReference"/>
          <w:rFonts w:cs="Arial"/>
          <w:szCs w:val="18"/>
          <w:vertAlign w:val="baseline"/>
        </w:rPr>
        <w:footnoteRef/>
      </w:r>
      <w:r w:rsidRPr="00CB502D">
        <w:t>. State v. Hurt, 208 N.C. App. 1, 6 (2010) (</w:t>
      </w:r>
      <w:r w:rsidRPr="00CB502D">
        <w:rPr>
          <w:i/>
        </w:rPr>
        <w:t xml:space="preserve">Crawford </w:t>
      </w:r>
      <w:r w:rsidRPr="00CB502D">
        <w:t>applies to all “</w:t>
      </w:r>
      <w:r w:rsidRPr="00CB502D">
        <w:rPr>
          <w:i/>
        </w:rPr>
        <w:t>Blakely</w:t>
      </w:r>
      <w:r w:rsidRPr="00CB502D">
        <w:t xml:space="preserve">” sentencing proceedings in which a jury makes the determination of a fact or facts that, if found, increase the defendant’s sentence beyond the statutory maximum; here, the trial court’s admission of testimonial hearsay evidence during the defendant’s non-capital sentencing proceeding violated the defendant’s confrontation rights, where at the sentencing hearing the jury found the aggravating factor that the murder was especially heinous, atrocious, or cruel and the trial judge sentenced the defendant in the aggravated range; the court distinguished </w:t>
      </w:r>
      <w:r w:rsidRPr="00CB502D">
        <w:rPr>
          <w:i/>
        </w:rPr>
        <w:t>State v. Sings</w:t>
      </w:r>
      <w:r w:rsidRPr="00CB502D">
        <w:t xml:space="preserve">, 182 N.C. App. 162 (2007) (declining to apply the </w:t>
      </w:r>
      <w:r w:rsidR="00AE664A">
        <w:t>Confrontation Clause</w:t>
      </w:r>
      <w:r w:rsidRPr="00CB502D">
        <w:t xml:space="preserve"> in a non-capital sentencing hearing), on the basis that it involved a sentencing based on the defendant’s stipulation to aggravating factors not a </w:t>
      </w:r>
      <w:r w:rsidRPr="00CB502D">
        <w:rPr>
          <w:i/>
        </w:rPr>
        <w:t>Blakely</w:t>
      </w:r>
      <w:r w:rsidRPr="00CB502D">
        <w:t xml:space="preserve"> sentencing hearing and limited that decision’s holding to its facts), </w:t>
      </w:r>
      <w:r w:rsidRPr="00CB502D">
        <w:rPr>
          <w:i/>
        </w:rPr>
        <w:t xml:space="preserve">reversed on other grounds </w:t>
      </w:r>
      <w:r w:rsidRPr="00CB502D">
        <w:t>367 N.C. 80 ( 2013).</w:t>
      </w:r>
    </w:p>
  </w:footnote>
  <w:footnote w:id="204">
    <w:p w14:paraId="146A70EF" w14:textId="77777777" w:rsidR="00CB502D" w:rsidRPr="00CB502D" w:rsidRDefault="00CB502D" w:rsidP="006906C0">
      <w:pPr>
        <w:pStyle w:val="FootnoteText"/>
      </w:pPr>
      <w:r w:rsidRPr="00CB502D">
        <w:footnoteRef/>
      </w:r>
      <w:r w:rsidRPr="00CB502D">
        <w:t xml:space="preserve">. </w:t>
      </w:r>
      <w:r w:rsidRPr="00CB502D">
        <w:rPr>
          <w:rStyle w:val="FootnoteItalic"/>
          <w:rFonts w:ascii="Arial" w:hAnsi="Arial" w:cs="Arial"/>
          <w:sz w:val="18"/>
          <w:szCs w:val="18"/>
        </w:rPr>
        <w:t>In Re</w:t>
      </w:r>
      <w:r w:rsidRPr="00CB502D">
        <w:t xml:space="preserve"> D.R., 172 N.C. App. 300, 303 (2005); </w:t>
      </w:r>
      <w:r w:rsidRPr="00CB502D">
        <w:rPr>
          <w:rStyle w:val="FootnoteItalic"/>
          <w:rFonts w:ascii="Arial" w:hAnsi="Arial" w:cs="Arial"/>
          <w:sz w:val="18"/>
          <w:szCs w:val="18"/>
        </w:rPr>
        <w:t>see also</w:t>
      </w:r>
      <w:r w:rsidRPr="00CB502D">
        <w:t xml:space="preserve"> </w:t>
      </w:r>
      <w:r w:rsidRPr="00CB502D">
        <w:rPr>
          <w:i/>
          <w:iCs/>
        </w:rPr>
        <w:t>In Re</w:t>
      </w:r>
      <w:r w:rsidRPr="00CB502D">
        <w:t xml:space="preserve"> G.D.H., 186 N.C. App. 304, *4 (2007) (unpublished) (following </w:t>
      </w:r>
      <w:r w:rsidRPr="00CB502D">
        <w:rPr>
          <w:i/>
          <w:iCs/>
        </w:rPr>
        <w:t>In Re</w:t>
      </w:r>
      <w:r w:rsidRPr="00CB502D">
        <w:t xml:space="preserve"> D.R.).</w:t>
      </w:r>
    </w:p>
  </w:footnote>
  <w:footnote w:id="205">
    <w:p w14:paraId="527B48C1" w14:textId="787005CB" w:rsidR="00CB502D" w:rsidRPr="00CB502D" w:rsidRDefault="00CB502D" w:rsidP="006906C0">
      <w:pPr>
        <w:pStyle w:val="FootnoteText"/>
      </w:pPr>
      <w:r w:rsidRPr="00CB502D">
        <w:footnoteRef/>
      </w:r>
      <w:r w:rsidRPr="00CB502D">
        <w:t>.</w:t>
      </w:r>
      <w:r w:rsidR="00C95C1D">
        <w:t xml:space="preserve"> </w:t>
      </w:r>
      <w:r w:rsidR="00C95C1D">
        <w:rPr>
          <w:i/>
          <w:iCs/>
        </w:rPr>
        <w:t>In Re</w:t>
      </w:r>
      <w:r w:rsidR="00C95C1D" w:rsidRPr="00C95C1D">
        <w:t xml:space="preserve"> J.D., 267 N.C. App. 11 (2019) (finding a violation of the juvenile’s constitutional right to confrontation at a delinquency adjudication), </w:t>
      </w:r>
      <w:r w:rsidR="00C95C1D" w:rsidRPr="00C95C1D">
        <w:rPr>
          <w:i/>
          <w:iCs/>
        </w:rPr>
        <w:t>overruled on other grounds</w:t>
      </w:r>
      <w:r w:rsidR="00C95C1D" w:rsidRPr="00C95C1D">
        <w:t>, 376 N.C. 148 (2020)</w:t>
      </w:r>
      <w:r w:rsidR="00C95C1D">
        <w:t xml:space="preserve">; </w:t>
      </w:r>
      <w:r w:rsidR="00C95C1D">
        <w:rPr>
          <w:i/>
          <w:iCs/>
        </w:rPr>
        <w:t xml:space="preserve">see also </w:t>
      </w:r>
      <w:r w:rsidRPr="00CB502D">
        <w:rPr>
          <w:rStyle w:val="FootnoteItalic"/>
          <w:rFonts w:ascii="Arial" w:hAnsi="Arial" w:cs="Arial"/>
          <w:sz w:val="18"/>
          <w:szCs w:val="18"/>
        </w:rPr>
        <w:t>In Re</w:t>
      </w:r>
      <w:r w:rsidRPr="00CB502D">
        <w:t xml:space="preserve"> A.L., 175 N.C. App. 419, *2-3 (2006) (unpublished).</w:t>
      </w:r>
    </w:p>
  </w:footnote>
  <w:footnote w:id="206">
    <w:p w14:paraId="5EA2FC56" w14:textId="687F4855" w:rsidR="00CB502D" w:rsidRPr="00CB502D" w:rsidRDefault="00CB502D" w:rsidP="006906C0">
      <w:pPr>
        <w:pStyle w:val="FootnoteText"/>
      </w:pPr>
      <w:r w:rsidRPr="00CB502D">
        <w:footnoteRef/>
      </w:r>
      <w:r w:rsidRPr="00CB502D">
        <w:t xml:space="preserve">. </w:t>
      </w:r>
      <w:r w:rsidRPr="00CB502D">
        <w:rPr>
          <w:rStyle w:val="FootnoteItalic"/>
          <w:rFonts w:ascii="Arial" w:hAnsi="Arial" w:cs="Arial"/>
          <w:sz w:val="18"/>
          <w:szCs w:val="18"/>
        </w:rPr>
        <w:t xml:space="preserve">See </w:t>
      </w:r>
      <w:r w:rsidRPr="00CB502D">
        <w:t xml:space="preserve">D.G. v. Louisiana, </w:t>
      </w:r>
      <w:r w:rsidRPr="00CB502D">
        <w:rPr>
          <w:spacing w:val="-10"/>
        </w:rPr>
        <w:t xml:space="preserve">559 U.S. 967 </w:t>
      </w:r>
      <w:r w:rsidRPr="00CB502D">
        <w:t xml:space="preserve">(2010) (reversing and remanding a juvenile delinquency case for consideration in light of </w:t>
      </w:r>
      <w:r w:rsidRPr="00CB502D">
        <w:rPr>
          <w:rStyle w:val="FootnoteItalic"/>
          <w:rFonts w:ascii="Arial" w:hAnsi="Arial" w:cs="Arial"/>
          <w:sz w:val="18"/>
          <w:szCs w:val="18"/>
        </w:rPr>
        <w:t>Melendez-Diaz</w:t>
      </w:r>
      <w:r w:rsidRPr="00CB502D">
        <w:t xml:space="preserve">); </w:t>
      </w:r>
      <w:r w:rsidRPr="00CB502D">
        <w:rPr>
          <w:i/>
        </w:rPr>
        <w:t xml:space="preserve">see also In Re </w:t>
      </w:r>
      <w:r w:rsidRPr="00CB502D">
        <w:t xml:space="preserve">J.C., 877 N.W.2d 447, 452 (Iowa 2016) (stating that the “right of confrontation applies to juvenile delinquency proceedings” and conducting a </w:t>
      </w:r>
      <w:r w:rsidRPr="00CB502D">
        <w:rPr>
          <w:i/>
        </w:rPr>
        <w:t xml:space="preserve">Crawford </w:t>
      </w:r>
      <w:r w:rsidRPr="00CB502D">
        <w:t xml:space="preserve">analysis); </w:t>
      </w:r>
      <w:r w:rsidRPr="00CB502D">
        <w:rPr>
          <w:i/>
        </w:rPr>
        <w:t>In Re</w:t>
      </w:r>
      <w:r w:rsidRPr="00CB502D">
        <w:t xml:space="preserve"> N.C., 105 A.3d 1199 (Pa. 2014) (finding a confrontation violation in a delinquency adjudication).</w:t>
      </w:r>
    </w:p>
  </w:footnote>
  <w:footnote w:id="207">
    <w:p w14:paraId="2DB7627C" w14:textId="77777777" w:rsidR="00CB502D" w:rsidRPr="00CB502D" w:rsidRDefault="00CB502D" w:rsidP="006906C0">
      <w:pPr>
        <w:pStyle w:val="FootnoteText"/>
      </w:pPr>
      <w:r w:rsidRPr="00CB502D">
        <w:footnoteRef/>
      </w:r>
      <w:r w:rsidRPr="00CB502D">
        <w:t xml:space="preserve">. </w:t>
      </w:r>
      <w:r w:rsidRPr="00CB502D">
        <w:rPr>
          <w:rStyle w:val="FootnoteItalic"/>
          <w:rFonts w:ascii="Arial" w:hAnsi="Arial" w:cs="Arial"/>
          <w:sz w:val="18"/>
          <w:szCs w:val="18"/>
        </w:rPr>
        <w:t>Compare</w:t>
      </w:r>
      <w:r w:rsidRPr="00CB502D">
        <w:t xml:space="preserve"> State v. Lewis, 361 N.C. 541, 549 (2007) (error not harmless), </w:t>
      </w:r>
      <w:r w:rsidRPr="00CB502D">
        <w:rPr>
          <w:rStyle w:val="FootnoteItalic"/>
          <w:rFonts w:ascii="Arial" w:hAnsi="Arial" w:cs="Arial"/>
          <w:sz w:val="18"/>
          <w:szCs w:val="18"/>
        </w:rPr>
        <w:t xml:space="preserve">with </w:t>
      </w:r>
      <w:r w:rsidRPr="00CB502D">
        <w:t xml:space="preserve">State v. Morgan, 359 N.C. 131, 156 (2004) (error was harmless </w:t>
      </w:r>
      <w:proofErr w:type="gramStart"/>
      <w:r w:rsidRPr="00CB502D">
        <w:t>in light of</w:t>
      </w:r>
      <w:proofErr w:type="gramEnd"/>
      <w:r w:rsidRPr="00CB502D">
        <w:t xml:space="preserve"> overwhelming evidence of guilt); </w:t>
      </w:r>
      <w:r w:rsidRPr="00CB502D">
        <w:rPr>
          <w:rStyle w:val="FootnoteItalic"/>
          <w:rFonts w:ascii="Arial" w:hAnsi="Arial" w:cs="Arial"/>
          <w:sz w:val="18"/>
          <w:szCs w:val="18"/>
        </w:rPr>
        <w:t xml:space="preserve">see generally </w:t>
      </w:r>
      <w:r w:rsidRPr="00CB502D">
        <w:t>G.S. 15A-1443(b) (harmless error standard for constitutional errors).</w:t>
      </w:r>
    </w:p>
  </w:footnote>
  <w:footnote w:id="208">
    <w:p w14:paraId="6F49F075" w14:textId="77777777" w:rsidR="00CB502D" w:rsidRPr="006906C0" w:rsidRDefault="00CB502D" w:rsidP="006906C0">
      <w:pPr>
        <w:pStyle w:val="FootnoteText"/>
      </w:pPr>
      <w:r w:rsidRPr="00CB502D">
        <w:footnoteRef/>
      </w:r>
      <w:r w:rsidRPr="00CB502D">
        <w:t xml:space="preserve">. </w:t>
      </w:r>
      <w:r w:rsidRPr="00CB502D">
        <w:rPr>
          <w:rStyle w:val="FootnoteItalic"/>
          <w:rFonts w:ascii="Arial" w:hAnsi="Arial" w:cs="Arial"/>
          <w:sz w:val="18"/>
          <w:szCs w:val="18"/>
        </w:rPr>
        <w:t>See</w:t>
      </w:r>
      <w:r w:rsidRPr="00CB502D">
        <w:t xml:space="preserve"> G.S. 15A-1420(c)(6) (incorporating into motion for appropriate relief procedure the harmless error standard in G.S. 15A-1443).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2016" w14:textId="77777777" w:rsidR="00CB502D" w:rsidRDefault="00CB502D">
    <w:pPr>
      <w:pStyle w:val="Header"/>
    </w:pPr>
    <w:r w:rsidRPr="00EF1253">
      <w:rPr>
        <w:noProof/>
      </w:rPr>
      <w:drawing>
        <wp:anchor distT="0" distB="0" distL="114300" distR="114300" simplePos="0" relativeHeight="251659264" behindDoc="0" locked="0" layoutInCell="1" allowOverlap="0" wp14:anchorId="030B1EF7" wp14:editId="0CF2C354">
          <wp:simplePos x="0" y="0"/>
          <wp:positionH relativeFrom="page">
            <wp:posOffset>150395</wp:posOffset>
          </wp:positionH>
          <wp:positionV relativeFrom="page">
            <wp:posOffset>150395</wp:posOffset>
          </wp:positionV>
          <wp:extent cx="7772400" cy="342231"/>
          <wp:effectExtent l="0" t="0" r="0" b="1270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 SOG  NC Superior Court Judges' Benchbook title page masthead UNC BLACK.pdf"/>
                  <pic:cNvPicPr/>
                </pic:nvPicPr>
                <pic:blipFill>
                  <a:blip r:embed="rId1">
                    <a:extLst>
                      <a:ext uri="{28A0092B-C50C-407E-A947-70E740481C1C}">
                        <a14:useLocalDpi xmlns:a14="http://schemas.microsoft.com/office/drawing/2010/main" val="0"/>
                      </a:ext>
                    </a:extLst>
                  </a:blip>
                  <a:stretch>
                    <a:fillRect/>
                  </a:stretch>
                </pic:blipFill>
                <pic:spPr>
                  <a:xfrm>
                    <a:off x="0" y="0"/>
                    <a:ext cx="7772400" cy="34223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7817C8D3" w14:textId="77777777" w:rsidR="00CB502D" w:rsidRDefault="00CB5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881"/>
    <w:multiLevelType w:val="hybridMultilevel"/>
    <w:tmpl w:val="873C9B92"/>
    <w:lvl w:ilvl="0" w:tplc="338E3610">
      <w:start w:val="1"/>
      <w:numFmt w:val="upp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 w15:restartNumberingAfterBreak="0">
    <w:nsid w:val="0240712B"/>
    <w:multiLevelType w:val="hybridMultilevel"/>
    <w:tmpl w:val="BCE06DE8"/>
    <w:lvl w:ilvl="0" w:tplc="900A79D4">
      <w:start w:val="1"/>
      <w:numFmt w:val="upperLetter"/>
      <w:lvlText w:val="%1."/>
      <w:lvlJc w:val="left"/>
      <w:pPr>
        <w:ind w:left="81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37AE3"/>
    <w:multiLevelType w:val="hybridMultilevel"/>
    <w:tmpl w:val="E73EBE32"/>
    <w:lvl w:ilvl="0" w:tplc="15BE7750">
      <w:start w:val="1"/>
      <w:numFmt w:val="upperRoman"/>
      <w:lvlText w:val="%1."/>
      <w:lvlJc w:val="left"/>
      <w:pPr>
        <w:ind w:left="960" w:hanging="720"/>
      </w:pPr>
      <w:rPr>
        <w:rFonts w:ascii="Arial" w:hAnsi="Arial" w:cs="Arial" w:hint="default"/>
        <w:color w:val="0000FF"/>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03A20F99"/>
    <w:multiLevelType w:val="hybridMultilevel"/>
    <w:tmpl w:val="9B4E9CAC"/>
    <w:lvl w:ilvl="0" w:tplc="D800FA5C">
      <w:start w:val="1"/>
      <w:numFmt w:val="upperRoman"/>
      <w:lvlText w:val="%1."/>
      <w:lvlJc w:val="left"/>
      <w:pPr>
        <w:ind w:left="1080" w:hanging="72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81B9B"/>
    <w:multiLevelType w:val="hybridMultilevel"/>
    <w:tmpl w:val="9A96F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333559"/>
    <w:multiLevelType w:val="hybridMultilevel"/>
    <w:tmpl w:val="794A66D6"/>
    <w:lvl w:ilvl="0" w:tplc="3AE6D73A">
      <w:start w:val="1"/>
      <w:numFmt w:val="upperLetter"/>
      <w:lvlText w:val="%1."/>
      <w:lvlJc w:val="left"/>
      <w:pPr>
        <w:ind w:left="1095" w:hanging="855"/>
      </w:pPr>
      <w:rPr>
        <w:rFonts w:ascii="Arial" w:hAnsi="Arial" w:cs="Arial"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054900F1"/>
    <w:multiLevelType w:val="hybridMultilevel"/>
    <w:tmpl w:val="1C1CB51E"/>
    <w:lvl w:ilvl="0" w:tplc="C5643F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8026FFA"/>
    <w:multiLevelType w:val="hybridMultilevel"/>
    <w:tmpl w:val="C7302C50"/>
    <w:lvl w:ilvl="0" w:tplc="95A0A5F8">
      <w:start w:val="1"/>
      <w:numFmt w:val="upp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8" w15:restartNumberingAfterBreak="0">
    <w:nsid w:val="08931350"/>
    <w:multiLevelType w:val="hybridMultilevel"/>
    <w:tmpl w:val="E9C00346"/>
    <w:lvl w:ilvl="0" w:tplc="1CA8E1FA">
      <w:start w:val="1"/>
      <w:numFmt w:val="decimal"/>
      <w:lvlText w:val="%1."/>
      <w:lvlJc w:val="left"/>
      <w:pPr>
        <w:ind w:left="1800" w:hanging="360"/>
      </w:pPr>
      <w:rPr>
        <w:rFonts w:hint="default"/>
        <w:b/>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8B422EC"/>
    <w:multiLevelType w:val="hybridMultilevel"/>
    <w:tmpl w:val="42C4B65A"/>
    <w:lvl w:ilvl="0" w:tplc="DE005A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9C03924"/>
    <w:multiLevelType w:val="hybridMultilevel"/>
    <w:tmpl w:val="DC484F9C"/>
    <w:lvl w:ilvl="0" w:tplc="89680010">
      <w:start w:val="1"/>
      <w:numFmt w:val="upperLetter"/>
      <w:lvlText w:val="%1."/>
      <w:lvlJc w:val="right"/>
      <w:pPr>
        <w:ind w:left="9240" w:hanging="360"/>
      </w:pPr>
      <w:rPr>
        <w:rFonts w:ascii="Arial" w:eastAsia="Calibri" w:hAnsi="Arial" w:cs="Arial" w:hint="default"/>
        <w:b/>
        <w:sz w:val="20"/>
      </w:rPr>
    </w:lvl>
    <w:lvl w:ilvl="1" w:tplc="04090019" w:tentative="1">
      <w:start w:val="1"/>
      <w:numFmt w:val="lowerLetter"/>
      <w:lvlText w:val="%2."/>
      <w:lvlJc w:val="left"/>
      <w:pPr>
        <w:ind w:left="9960" w:hanging="360"/>
      </w:pPr>
    </w:lvl>
    <w:lvl w:ilvl="2" w:tplc="0409001B" w:tentative="1">
      <w:start w:val="1"/>
      <w:numFmt w:val="lowerRoman"/>
      <w:lvlText w:val="%3."/>
      <w:lvlJc w:val="right"/>
      <w:pPr>
        <w:ind w:left="10680" w:hanging="180"/>
      </w:pPr>
    </w:lvl>
    <w:lvl w:ilvl="3" w:tplc="0409000F" w:tentative="1">
      <w:start w:val="1"/>
      <w:numFmt w:val="decimal"/>
      <w:lvlText w:val="%4."/>
      <w:lvlJc w:val="left"/>
      <w:pPr>
        <w:ind w:left="11400" w:hanging="360"/>
      </w:pPr>
    </w:lvl>
    <w:lvl w:ilvl="4" w:tplc="04090019" w:tentative="1">
      <w:start w:val="1"/>
      <w:numFmt w:val="lowerLetter"/>
      <w:lvlText w:val="%5."/>
      <w:lvlJc w:val="left"/>
      <w:pPr>
        <w:ind w:left="12120" w:hanging="360"/>
      </w:pPr>
    </w:lvl>
    <w:lvl w:ilvl="5" w:tplc="0409001B" w:tentative="1">
      <w:start w:val="1"/>
      <w:numFmt w:val="lowerRoman"/>
      <w:lvlText w:val="%6."/>
      <w:lvlJc w:val="right"/>
      <w:pPr>
        <w:ind w:left="12840" w:hanging="180"/>
      </w:pPr>
    </w:lvl>
    <w:lvl w:ilvl="6" w:tplc="0409000F" w:tentative="1">
      <w:start w:val="1"/>
      <w:numFmt w:val="decimal"/>
      <w:lvlText w:val="%7."/>
      <w:lvlJc w:val="left"/>
      <w:pPr>
        <w:ind w:left="13560" w:hanging="360"/>
      </w:pPr>
    </w:lvl>
    <w:lvl w:ilvl="7" w:tplc="04090019" w:tentative="1">
      <w:start w:val="1"/>
      <w:numFmt w:val="lowerLetter"/>
      <w:lvlText w:val="%8."/>
      <w:lvlJc w:val="left"/>
      <w:pPr>
        <w:ind w:left="14280" w:hanging="360"/>
      </w:pPr>
    </w:lvl>
    <w:lvl w:ilvl="8" w:tplc="0409001B" w:tentative="1">
      <w:start w:val="1"/>
      <w:numFmt w:val="lowerRoman"/>
      <w:lvlText w:val="%9."/>
      <w:lvlJc w:val="right"/>
      <w:pPr>
        <w:ind w:left="15000" w:hanging="180"/>
      </w:pPr>
    </w:lvl>
  </w:abstractNum>
  <w:abstractNum w:abstractNumId="11" w15:restartNumberingAfterBreak="0">
    <w:nsid w:val="09E66946"/>
    <w:multiLevelType w:val="hybridMultilevel"/>
    <w:tmpl w:val="052836F8"/>
    <w:lvl w:ilvl="0" w:tplc="B13A7D3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A700A78"/>
    <w:multiLevelType w:val="hybridMultilevel"/>
    <w:tmpl w:val="F22883B0"/>
    <w:lvl w:ilvl="0" w:tplc="18B687DE">
      <w:start w:val="1"/>
      <w:numFmt w:val="decimal"/>
      <w:lvlText w:val="%1."/>
      <w:lvlJc w:val="left"/>
      <w:pPr>
        <w:ind w:left="1800" w:hanging="360"/>
      </w:pPr>
      <w:rPr>
        <w:rFonts w:eastAsiaTheme="majorEastAsia" w:cstheme="majorBid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A7723C7"/>
    <w:multiLevelType w:val="hybridMultilevel"/>
    <w:tmpl w:val="BB30CE3C"/>
    <w:lvl w:ilvl="0" w:tplc="4284437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B61C18"/>
    <w:multiLevelType w:val="hybridMultilevel"/>
    <w:tmpl w:val="E358451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0C5002D3"/>
    <w:multiLevelType w:val="hybridMultilevel"/>
    <w:tmpl w:val="01DA547E"/>
    <w:lvl w:ilvl="0" w:tplc="F614E274">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E2B448B"/>
    <w:multiLevelType w:val="hybridMultilevel"/>
    <w:tmpl w:val="56CC3398"/>
    <w:lvl w:ilvl="0" w:tplc="6D86479A">
      <w:start w:val="1"/>
      <w:numFmt w:val="decimal"/>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7" w15:restartNumberingAfterBreak="0">
    <w:nsid w:val="0FF97097"/>
    <w:multiLevelType w:val="hybridMultilevel"/>
    <w:tmpl w:val="DB9C98A2"/>
    <w:lvl w:ilvl="0" w:tplc="7884FB48">
      <w:start w:val="1"/>
      <w:numFmt w:val="decimal"/>
      <w:lvlText w:val="%1."/>
      <w:lvlJc w:val="left"/>
      <w:pPr>
        <w:ind w:left="2250" w:hanging="360"/>
      </w:pPr>
      <w:rPr>
        <w:rFonts w:hint="default"/>
        <w:b/>
      </w:rPr>
    </w:lvl>
    <w:lvl w:ilvl="1" w:tplc="056097AA">
      <w:start w:val="1"/>
      <w:numFmt w:val="lowerLetter"/>
      <w:lvlText w:val="%2."/>
      <w:lvlJc w:val="left"/>
      <w:pPr>
        <w:ind w:left="2970" w:hanging="360"/>
      </w:pPr>
      <w:rPr>
        <w:b/>
      </w:r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15:restartNumberingAfterBreak="0">
    <w:nsid w:val="11A80BF3"/>
    <w:multiLevelType w:val="hybridMultilevel"/>
    <w:tmpl w:val="C51AF202"/>
    <w:lvl w:ilvl="0" w:tplc="38B016B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1E41345"/>
    <w:multiLevelType w:val="hybridMultilevel"/>
    <w:tmpl w:val="A7560BFC"/>
    <w:lvl w:ilvl="0" w:tplc="218A37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61B4A53"/>
    <w:multiLevelType w:val="hybridMultilevel"/>
    <w:tmpl w:val="D566459E"/>
    <w:lvl w:ilvl="0" w:tplc="5588A2F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FC4526"/>
    <w:multiLevelType w:val="hybridMultilevel"/>
    <w:tmpl w:val="52C83084"/>
    <w:lvl w:ilvl="0" w:tplc="10E21B6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809409C"/>
    <w:multiLevelType w:val="hybridMultilevel"/>
    <w:tmpl w:val="4030F438"/>
    <w:lvl w:ilvl="0" w:tplc="089CBEDA">
      <w:start w:val="1"/>
      <w:numFmt w:val="upperLetter"/>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534CCC"/>
    <w:multiLevelType w:val="hybridMultilevel"/>
    <w:tmpl w:val="0C58C9BC"/>
    <w:lvl w:ilvl="0" w:tplc="2BBE734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6A4D4C"/>
    <w:multiLevelType w:val="hybridMultilevel"/>
    <w:tmpl w:val="91862994"/>
    <w:lvl w:ilvl="0" w:tplc="10E21B6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02C5D29"/>
    <w:multiLevelType w:val="hybridMultilevel"/>
    <w:tmpl w:val="592C5960"/>
    <w:lvl w:ilvl="0" w:tplc="236A2456">
      <w:start w:val="1"/>
      <w:numFmt w:val="decimal"/>
      <w:lvlText w:val="%1."/>
      <w:lvlJc w:val="left"/>
      <w:pPr>
        <w:ind w:left="21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943083"/>
    <w:multiLevelType w:val="hybridMultilevel"/>
    <w:tmpl w:val="1458BAFE"/>
    <w:lvl w:ilvl="0" w:tplc="147E9F5A">
      <w:start w:val="1"/>
      <w:numFmt w:val="lowerRoman"/>
      <w:lvlText w:val="%1."/>
      <w:lvlJc w:val="left"/>
      <w:pPr>
        <w:ind w:left="3870" w:hanging="720"/>
      </w:pPr>
      <w:rPr>
        <w:rFonts w:hint="default"/>
        <w:b/>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27" w15:restartNumberingAfterBreak="0">
    <w:nsid w:val="250145ED"/>
    <w:multiLevelType w:val="hybridMultilevel"/>
    <w:tmpl w:val="40C40A8E"/>
    <w:lvl w:ilvl="0" w:tplc="ABB26E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6222FB9"/>
    <w:multiLevelType w:val="hybridMultilevel"/>
    <w:tmpl w:val="60B21B86"/>
    <w:lvl w:ilvl="0" w:tplc="49A245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A0B2760"/>
    <w:multiLevelType w:val="hybridMultilevel"/>
    <w:tmpl w:val="A7587E80"/>
    <w:lvl w:ilvl="0" w:tplc="80AA6C1C">
      <w:start w:val="1"/>
      <w:numFmt w:val="upperRoman"/>
      <w:lvlText w:val="%1."/>
      <w:lvlJc w:val="righ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A8D0D60"/>
    <w:multiLevelType w:val="hybridMultilevel"/>
    <w:tmpl w:val="1D4C7556"/>
    <w:lvl w:ilvl="0" w:tplc="D27C7C98">
      <w:start w:val="1"/>
      <w:numFmt w:val="upperRoman"/>
      <w:pStyle w:val="Heading1"/>
      <w:lvlText w:val="%1."/>
      <w:lvlJc w:val="left"/>
      <w:pPr>
        <w:ind w:left="1080" w:hanging="720"/>
      </w:pPr>
      <w:rPr>
        <w:rFonts w:ascii="Arial" w:hAnsi="Arial" w:cs="Arial" w:hint="default"/>
        <w:b/>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BC7AA4"/>
    <w:multiLevelType w:val="hybridMultilevel"/>
    <w:tmpl w:val="79FAE3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2C5B4AED"/>
    <w:multiLevelType w:val="hybridMultilevel"/>
    <w:tmpl w:val="52C83084"/>
    <w:lvl w:ilvl="0" w:tplc="10E21B6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E081BAA"/>
    <w:multiLevelType w:val="hybridMultilevel"/>
    <w:tmpl w:val="1FCC2490"/>
    <w:lvl w:ilvl="0" w:tplc="1FA20FCE">
      <w:start w:val="1"/>
      <w:numFmt w:val="upperRoman"/>
      <w:lvlText w:val="%1."/>
      <w:lvlJc w:val="left"/>
      <w:pPr>
        <w:ind w:left="940" w:hanging="72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4" w15:restartNumberingAfterBreak="0">
    <w:nsid w:val="2F3E108B"/>
    <w:multiLevelType w:val="hybridMultilevel"/>
    <w:tmpl w:val="52C83084"/>
    <w:lvl w:ilvl="0" w:tplc="10E21B6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24A10E9"/>
    <w:multiLevelType w:val="hybridMultilevel"/>
    <w:tmpl w:val="3E34BFBA"/>
    <w:lvl w:ilvl="0" w:tplc="C94E416E">
      <w:start w:val="1"/>
      <w:numFmt w:val="lowerLetter"/>
      <w:lvlText w:val="%1."/>
      <w:lvlJc w:val="left"/>
      <w:pPr>
        <w:ind w:left="1440" w:hanging="360"/>
      </w:pPr>
      <w:rPr>
        <w:rFonts w:ascii="Arial" w:hAnsi="Arial" w:cs="Arial" w:hint="default"/>
        <w:b/>
      </w:rPr>
    </w:lvl>
    <w:lvl w:ilvl="1" w:tplc="04090019">
      <w:start w:val="1"/>
      <w:numFmt w:val="lowerLetter"/>
      <w:lvlText w:val="%2."/>
      <w:lvlJc w:val="left"/>
      <w:pPr>
        <w:ind w:left="2160" w:hanging="360"/>
      </w:pPr>
    </w:lvl>
    <w:lvl w:ilvl="2" w:tplc="900A79D4">
      <w:start w:val="1"/>
      <w:numFmt w:val="upperLetter"/>
      <w:lvlText w:val="%3."/>
      <w:lvlJc w:val="left"/>
      <w:pPr>
        <w:ind w:left="810" w:hanging="180"/>
      </w:pPr>
      <w:rPr>
        <w:rFonts w:hint="default"/>
        <w:b/>
      </w:rPr>
    </w:lvl>
    <w:lvl w:ilvl="3" w:tplc="22A6C5FA">
      <w:start w:val="1"/>
      <w:numFmt w:val="decimal"/>
      <w:lvlText w:val="%4."/>
      <w:lvlJc w:val="left"/>
      <w:pPr>
        <w:ind w:left="3600" w:hanging="360"/>
      </w:pPr>
      <w:rPr>
        <w:rFonts w:hint="default"/>
        <w:b/>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36A1D41"/>
    <w:multiLevelType w:val="hybridMultilevel"/>
    <w:tmpl w:val="4D588968"/>
    <w:lvl w:ilvl="0" w:tplc="A11E6B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9D525C"/>
    <w:multiLevelType w:val="hybridMultilevel"/>
    <w:tmpl w:val="A300B030"/>
    <w:lvl w:ilvl="0" w:tplc="BE32FFC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DB4166"/>
    <w:multiLevelType w:val="hybridMultilevel"/>
    <w:tmpl w:val="2DDE1C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6702596"/>
    <w:multiLevelType w:val="multilevel"/>
    <w:tmpl w:val="0D862BC4"/>
    <w:styleLink w:val="CurrentList1"/>
    <w:lvl w:ilvl="0">
      <w:start w:val="1"/>
      <w:numFmt w:val="upperLetter"/>
      <w:lvlText w:val="%1."/>
      <w:lvlJc w:val="left"/>
      <w:pPr>
        <w:ind w:left="1440" w:hanging="720"/>
      </w:pPr>
      <w:rPr>
        <w:rFonts w:hint="default"/>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36D30434"/>
    <w:multiLevelType w:val="hybridMultilevel"/>
    <w:tmpl w:val="9ECC8848"/>
    <w:lvl w:ilvl="0" w:tplc="1292E766">
      <w:start w:val="1"/>
      <w:numFmt w:val="decimal"/>
      <w:lvlText w:val="%1."/>
      <w:lvlJc w:val="left"/>
      <w:pPr>
        <w:ind w:left="1800" w:hanging="360"/>
      </w:pPr>
      <w:rPr>
        <w:rFonts w:eastAsia="Calibri" w:hint="default"/>
        <w:color w:val="auto"/>
      </w:rPr>
    </w:lvl>
    <w:lvl w:ilvl="1" w:tplc="A68CF8AC">
      <w:start w:val="1"/>
      <w:numFmt w:val="lowerLetter"/>
      <w:lvlText w:val="%2."/>
      <w:lvlJc w:val="left"/>
      <w:pPr>
        <w:ind w:left="2520" w:hanging="360"/>
      </w:pPr>
      <w:rPr>
        <w:b/>
        <w:bCs/>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37BC6A3B"/>
    <w:multiLevelType w:val="hybridMultilevel"/>
    <w:tmpl w:val="5F361BC6"/>
    <w:lvl w:ilvl="0" w:tplc="ABCAF4EC">
      <w:start w:val="1"/>
      <w:numFmt w:val="decimal"/>
      <w:lvlText w:val="%1."/>
      <w:lvlJc w:val="left"/>
      <w:pPr>
        <w:ind w:left="2160" w:hanging="360"/>
      </w:pPr>
      <w:rPr>
        <w:rFonts w:ascii="Arial" w:eastAsia="Calibri"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E06E62"/>
    <w:multiLevelType w:val="hybridMultilevel"/>
    <w:tmpl w:val="E708A3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3" w15:restartNumberingAfterBreak="0">
    <w:nsid w:val="3C5B3563"/>
    <w:multiLevelType w:val="hybridMultilevel"/>
    <w:tmpl w:val="C450E8A0"/>
    <w:lvl w:ilvl="0" w:tplc="A9CA14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E1326E2"/>
    <w:multiLevelType w:val="hybridMultilevel"/>
    <w:tmpl w:val="B3E4B67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F9331DB"/>
    <w:multiLevelType w:val="hybridMultilevel"/>
    <w:tmpl w:val="6638C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C36219"/>
    <w:multiLevelType w:val="hybridMultilevel"/>
    <w:tmpl w:val="09C4117C"/>
    <w:lvl w:ilvl="0" w:tplc="45ECCDC0">
      <w:start w:val="1"/>
      <w:numFmt w:val="lowerLetter"/>
      <w:lvlText w:val="%1."/>
      <w:lvlJc w:val="left"/>
      <w:pPr>
        <w:ind w:left="2520" w:hanging="360"/>
      </w:pPr>
      <w:rPr>
        <w:rFonts w:ascii="Arial" w:eastAsiaTheme="minorEastAsia" w:hAnsi="Arial" w:cs="Arial"/>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3FF972EB"/>
    <w:multiLevelType w:val="hybridMultilevel"/>
    <w:tmpl w:val="41CC967C"/>
    <w:lvl w:ilvl="0" w:tplc="9352443C">
      <w:start w:val="1"/>
      <w:numFmt w:val="upperLetter"/>
      <w:lvlText w:val="%1."/>
      <w:lvlJc w:val="left"/>
      <w:pPr>
        <w:ind w:left="1350" w:hanging="720"/>
      </w:pPr>
      <w:rPr>
        <w:rFonts w:ascii="Arial" w:hAnsi="Arial" w:cs="Arial" w:hint="default"/>
        <w:b/>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0652283"/>
    <w:multiLevelType w:val="hybridMultilevel"/>
    <w:tmpl w:val="76261730"/>
    <w:lvl w:ilvl="0" w:tplc="8F22A9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15174A6"/>
    <w:multiLevelType w:val="hybridMultilevel"/>
    <w:tmpl w:val="0D862BC4"/>
    <w:lvl w:ilvl="0" w:tplc="7F487C06">
      <w:start w:val="1"/>
      <w:numFmt w:val="upperLetter"/>
      <w:pStyle w:val="Heading2"/>
      <w:lvlText w:val="%1."/>
      <w:lvlJc w:val="left"/>
      <w:pPr>
        <w:ind w:left="1440" w:hanging="72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1727774"/>
    <w:multiLevelType w:val="hybridMultilevel"/>
    <w:tmpl w:val="81C256B6"/>
    <w:lvl w:ilvl="0" w:tplc="2B5E35A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18B40D7"/>
    <w:multiLevelType w:val="hybridMultilevel"/>
    <w:tmpl w:val="99EED326"/>
    <w:lvl w:ilvl="0" w:tplc="F9C6A49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2AD27EA"/>
    <w:multiLevelType w:val="hybridMultilevel"/>
    <w:tmpl w:val="B8DE9B72"/>
    <w:lvl w:ilvl="0" w:tplc="D24E8E96">
      <w:start w:val="5"/>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17139D"/>
    <w:multiLevelType w:val="hybridMultilevel"/>
    <w:tmpl w:val="120A6060"/>
    <w:lvl w:ilvl="0" w:tplc="DC927932">
      <w:start w:val="1"/>
      <w:numFmt w:val="lowerRoman"/>
      <w:lvlText w:val="%1."/>
      <w:lvlJc w:val="left"/>
      <w:pPr>
        <w:ind w:left="1800" w:hanging="360"/>
      </w:pPr>
      <w:rPr>
        <w:rFonts w:ascii="Arial" w:eastAsia="Calibri" w:hAnsi="Arial" w:cs="Arial"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43C34CC4"/>
    <w:multiLevelType w:val="hybridMultilevel"/>
    <w:tmpl w:val="A0AA2FDA"/>
    <w:lvl w:ilvl="0" w:tplc="E706692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3CE7513"/>
    <w:multiLevelType w:val="multilevel"/>
    <w:tmpl w:val="0D862BC4"/>
    <w:styleLink w:val="CurrentList2"/>
    <w:lvl w:ilvl="0">
      <w:start w:val="1"/>
      <w:numFmt w:val="upperLetter"/>
      <w:lvlText w:val="%1."/>
      <w:lvlJc w:val="left"/>
      <w:pPr>
        <w:ind w:left="1440" w:hanging="720"/>
      </w:pPr>
      <w:rPr>
        <w:rFonts w:hint="default"/>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43D04828"/>
    <w:multiLevelType w:val="hybridMultilevel"/>
    <w:tmpl w:val="0E82FD12"/>
    <w:lvl w:ilvl="0" w:tplc="DFF8E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47B686A"/>
    <w:multiLevelType w:val="hybridMultilevel"/>
    <w:tmpl w:val="10D4DA70"/>
    <w:lvl w:ilvl="0" w:tplc="747ADEE4">
      <w:start w:val="1"/>
      <w:numFmt w:val="decimal"/>
      <w:lvlText w:val="%1."/>
      <w:lvlJc w:val="left"/>
      <w:pPr>
        <w:ind w:left="2160" w:hanging="72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451460D9"/>
    <w:multiLevelType w:val="hybridMultilevel"/>
    <w:tmpl w:val="67F24354"/>
    <w:lvl w:ilvl="0" w:tplc="522E20A6">
      <w:start w:val="1"/>
      <w:numFmt w:val="upperLetter"/>
      <w:lvlText w:val="%1."/>
      <w:lvlJc w:val="right"/>
      <w:pPr>
        <w:ind w:left="1080" w:hanging="360"/>
      </w:pPr>
      <w:rPr>
        <w:rFonts w:ascii="Arial" w:eastAsia="Calibri" w:hAnsi="Arial" w:cs="Arial"/>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7FF45D7"/>
    <w:multiLevelType w:val="hybridMultilevel"/>
    <w:tmpl w:val="23F6F1FE"/>
    <w:lvl w:ilvl="0" w:tplc="62F827C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498C33C8"/>
    <w:multiLevelType w:val="hybridMultilevel"/>
    <w:tmpl w:val="AEAC9A70"/>
    <w:lvl w:ilvl="0" w:tplc="466ADF48">
      <w:start w:val="1"/>
      <w:numFmt w:val="upperLetter"/>
      <w:lvlText w:val="%1."/>
      <w:lvlJc w:val="left"/>
      <w:pPr>
        <w:ind w:left="720" w:hanging="360"/>
      </w:pPr>
      <w:rPr>
        <w:rFonts w:ascii="Arial" w:hAnsi="Arial" w:cs="Arial"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AD64221"/>
    <w:multiLevelType w:val="hybridMultilevel"/>
    <w:tmpl w:val="BA980110"/>
    <w:lvl w:ilvl="0" w:tplc="BBB4680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B385652"/>
    <w:multiLevelType w:val="hybridMultilevel"/>
    <w:tmpl w:val="5DCE3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4F261F7C"/>
    <w:multiLevelType w:val="hybridMultilevel"/>
    <w:tmpl w:val="A5F085A4"/>
    <w:lvl w:ilvl="0" w:tplc="C4BCE3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FDA14D8"/>
    <w:multiLevelType w:val="hybridMultilevel"/>
    <w:tmpl w:val="BB706B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50C550F9"/>
    <w:multiLevelType w:val="hybridMultilevel"/>
    <w:tmpl w:val="7160E334"/>
    <w:lvl w:ilvl="0" w:tplc="CF522F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510571BA"/>
    <w:multiLevelType w:val="hybridMultilevel"/>
    <w:tmpl w:val="D768324C"/>
    <w:lvl w:ilvl="0" w:tplc="4C1A011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1502414"/>
    <w:multiLevelType w:val="hybridMultilevel"/>
    <w:tmpl w:val="227679E0"/>
    <w:lvl w:ilvl="0" w:tplc="E70669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29032D8"/>
    <w:multiLevelType w:val="hybridMultilevel"/>
    <w:tmpl w:val="34F400AA"/>
    <w:lvl w:ilvl="0" w:tplc="E084B606">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3F40CA5"/>
    <w:multiLevelType w:val="hybridMultilevel"/>
    <w:tmpl w:val="19F2C3D2"/>
    <w:lvl w:ilvl="0" w:tplc="AF305276">
      <w:start w:val="1"/>
      <w:numFmt w:val="lowerLetter"/>
      <w:lvlText w:val="%1."/>
      <w:lvlJc w:val="left"/>
      <w:pPr>
        <w:ind w:left="2880" w:hanging="360"/>
      </w:pPr>
      <w:rPr>
        <w:rFonts w:hint="default"/>
        <w:b/>
      </w:rPr>
    </w:lvl>
    <w:lvl w:ilvl="1" w:tplc="F05CBBD8">
      <w:start w:val="1"/>
      <w:numFmt w:val="decimal"/>
      <w:lvlText w:val="%2."/>
      <w:lvlJc w:val="left"/>
      <w:pPr>
        <w:ind w:left="3600" w:hanging="360"/>
      </w:pPr>
      <w:rPr>
        <w:rFonts w:ascii="Arial" w:eastAsia="Calibri" w:hAnsi="Arial" w:cs="Arial" w:hint="default"/>
        <w:b/>
      </w:rPr>
    </w:lvl>
    <w:lvl w:ilvl="2" w:tplc="097E61CE">
      <w:start w:val="1"/>
      <w:numFmt w:val="lowerRoman"/>
      <w:lvlText w:val="%3."/>
      <w:lvlJc w:val="right"/>
      <w:pPr>
        <w:ind w:left="4320" w:hanging="180"/>
      </w:pPr>
      <w:rPr>
        <w:b/>
      </w:rPr>
    </w:lvl>
    <w:lvl w:ilvl="3" w:tplc="6C9E7052">
      <w:start w:val="2"/>
      <w:numFmt w:val="upperLetter"/>
      <w:lvlText w:val="%4."/>
      <w:lvlJc w:val="left"/>
      <w:pPr>
        <w:ind w:left="5040" w:hanging="360"/>
      </w:pPr>
      <w:rPr>
        <w:rFonts w:hint="default"/>
        <w:b/>
      </w:rPr>
    </w:lvl>
    <w:lvl w:ilvl="4" w:tplc="EA52FA82">
      <w:start w:val="3"/>
      <w:numFmt w:val="upperRoman"/>
      <w:lvlText w:val="%5."/>
      <w:lvlJc w:val="left"/>
      <w:pPr>
        <w:ind w:left="6120" w:hanging="720"/>
      </w:pPr>
      <w:rPr>
        <w:rFonts w:hint="default"/>
      </w:r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15:restartNumberingAfterBreak="0">
    <w:nsid w:val="542C7348"/>
    <w:multiLevelType w:val="hybridMultilevel"/>
    <w:tmpl w:val="2C20558C"/>
    <w:lvl w:ilvl="0" w:tplc="893898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55712350"/>
    <w:multiLevelType w:val="hybridMultilevel"/>
    <w:tmpl w:val="679060FA"/>
    <w:lvl w:ilvl="0" w:tplc="AC3E5D28">
      <w:start w:val="2"/>
      <w:numFmt w:val="lowerRoman"/>
      <w:lvlText w:val="%1."/>
      <w:lvlJc w:val="left"/>
      <w:pPr>
        <w:ind w:left="2160" w:hanging="720"/>
      </w:pPr>
      <w:rPr>
        <w:rFonts w:eastAsia="Calibri"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55D175EA"/>
    <w:multiLevelType w:val="hybridMultilevel"/>
    <w:tmpl w:val="533ED03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571215D7"/>
    <w:multiLevelType w:val="hybridMultilevel"/>
    <w:tmpl w:val="57826F92"/>
    <w:lvl w:ilvl="0" w:tplc="AB2E8186">
      <w:start w:val="1"/>
      <w:numFmt w:val="decimal"/>
      <w:lvlText w:val="(%1)"/>
      <w:lvlJc w:val="left"/>
      <w:pPr>
        <w:ind w:left="2520" w:hanging="360"/>
      </w:pPr>
      <w:rPr>
        <w:rFonts w:ascii="Arial"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4" w15:restartNumberingAfterBreak="0">
    <w:nsid w:val="586855AE"/>
    <w:multiLevelType w:val="hybridMultilevel"/>
    <w:tmpl w:val="51C68DEA"/>
    <w:lvl w:ilvl="0" w:tplc="DF541606">
      <w:start w:val="1"/>
      <w:numFmt w:val="upperLetter"/>
      <w:lvlText w:val="%1."/>
      <w:lvlJc w:val="left"/>
      <w:pPr>
        <w:ind w:left="1440" w:hanging="360"/>
      </w:pPr>
      <w:rPr>
        <w:rFonts w:asciiTheme="majorHAnsi" w:hAnsiTheme="majorHAnsi" w:cstheme="majorHAns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AB4033B"/>
    <w:multiLevelType w:val="hybridMultilevel"/>
    <w:tmpl w:val="47169D38"/>
    <w:lvl w:ilvl="0" w:tplc="D36A27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7556AB"/>
    <w:multiLevelType w:val="hybridMultilevel"/>
    <w:tmpl w:val="B17A0EBE"/>
    <w:lvl w:ilvl="0" w:tplc="7AA21F22">
      <w:start w:val="6"/>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B906C4B"/>
    <w:multiLevelType w:val="hybridMultilevel"/>
    <w:tmpl w:val="5636C394"/>
    <w:lvl w:ilvl="0" w:tplc="F6A00B04">
      <w:start w:val="2"/>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F2E743E">
      <w:start w:val="1"/>
      <w:numFmt w:val="decimal"/>
      <w:lvlText w:val="%4."/>
      <w:lvlJc w:val="left"/>
      <w:pPr>
        <w:ind w:left="2880" w:hanging="360"/>
      </w:pPr>
      <w:rPr>
        <w:rFonts w:ascii="Arial" w:eastAsiaTheme="minorEastAsia" w:hAnsi="Arial" w:cs="Arial"/>
        <w:b/>
      </w:rPr>
    </w:lvl>
    <w:lvl w:ilvl="4" w:tplc="64F467DC">
      <w:start w:val="5"/>
      <w:numFmt w:val="upperRoman"/>
      <w:lvlText w:val="%5."/>
      <w:lvlJc w:val="left"/>
      <w:pPr>
        <w:ind w:left="720" w:hanging="720"/>
      </w:pPr>
      <w:rPr>
        <w:rFonts w:hint="default"/>
        <w:b/>
      </w:rPr>
    </w:lvl>
    <w:lvl w:ilvl="5" w:tplc="3584799A">
      <w:start w:val="1"/>
      <w:numFmt w:val="upperLetter"/>
      <w:lvlText w:val="%6."/>
      <w:lvlJc w:val="left"/>
      <w:pPr>
        <w:ind w:left="4500" w:hanging="36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FAF11EC"/>
    <w:multiLevelType w:val="hybridMultilevel"/>
    <w:tmpl w:val="11CC1E86"/>
    <w:lvl w:ilvl="0" w:tplc="A712E8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604D26F7"/>
    <w:multiLevelType w:val="hybridMultilevel"/>
    <w:tmpl w:val="263C141A"/>
    <w:lvl w:ilvl="0" w:tplc="838AB6A4">
      <w:start w:val="1"/>
      <w:numFmt w:val="upp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625B7750"/>
    <w:multiLevelType w:val="hybridMultilevel"/>
    <w:tmpl w:val="191A3BD6"/>
    <w:lvl w:ilvl="0" w:tplc="F7FC1B00">
      <w:start w:val="1"/>
      <w:numFmt w:val="upperLetter"/>
      <w:lvlText w:val="%1."/>
      <w:lvlJc w:val="left"/>
      <w:pPr>
        <w:ind w:left="1440" w:hanging="72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2C57024"/>
    <w:multiLevelType w:val="hybridMultilevel"/>
    <w:tmpl w:val="E3909DF0"/>
    <w:lvl w:ilvl="0" w:tplc="12721B7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631E4A41"/>
    <w:multiLevelType w:val="hybridMultilevel"/>
    <w:tmpl w:val="0FC8A9FC"/>
    <w:lvl w:ilvl="0" w:tplc="BDF0192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44E5664"/>
    <w:multiLevelType w:val="hybridMultilevel"/>
    <w:tmpl w:val="EE6E8152"/>
    <w:lvl w:ilvl="0" w:tplc="93ACA76C">
      <w:start w:val="1"/>
      <w:numFmt w:val="upperLetter"/>
      <w:lvlText w:val="%1."/>
      <w:lvlJc w:val="left"/>
      <w:pPr>
        <w:ind w:left="1440" w:hanging="360"/>
      </w:pPr>
      <w:rPr>
        <w:rFonts w:ascii="Arial" w:eastAsiaTheme="minorEastAsia" w:hAnsi="Arial" w:cs="Arial"/>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64596C60"/>
    <w:multiLevelType w:val="hybridMultilevel"/>
    <w:tmpl w:val="9ECC8848"/>
    <w:lvl w:ilvl="0" w:tplc="FFFFFFFF">
      <w:start w:val="1"/>
      <w:numFmt w:val="decimal"/>
      <w:lvlText w:val="%1."/>
      <w:lvlJc w:val="left"/>
      <w:pPr>
        <w:ind w:left="1800" w:hanging="360"/>
      </w:pPr>
      <w:rPr>
        <w:rFonts w:eastAsia="Calibri" w:hint="default"/>
        <w:color w:val="auto"/>
      </w:rPr>
    </w:lvl>
    <w:lvl w:ilvl="1" w:tplc="FFFFFFFF">
      <w:start w:val="1"/>
      <w:numFmt w:val="lowerLetter"/>
      <w:lvlText w:val="%2."/>
      <w:lvlJc w:val="left"/>
      <w:pPr>
        <w:ind w:left="2520" w:hanging="360"/>
      </w:pPr>
      <w:rPr>
        <w:b/>
        <w:bCs/>
      </w:rPr>
    </w:lvl>
    <w:lvl w:ilvl="2" w:tplc="FFFFFFFF" w:tentative="1">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5" w15:restartNumberingAfterBreak="0">
    <w:nsid w:val="66441D57"/>
    <w:multiLevelType w:val="hybridMultilevel"/>
    <w:tmpl w:val="9C12CDCA"/>
    <w:lvl w:ilvl="0" w:tplc="F496DB0A">
      <w:start w:val="1"/>
      <w:numFmt w:val="upp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67696B36"/>
    <w:multiLevelType w:val="hybridMultilevel"/>
    <w:tmpl w:val="D13CA468"/>
    <w:lvl w:ilvl="0" w:tplc="BEA42318">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C81B5C"/>
    <w:multiLevelType w:val="hybridMultilevel"/>
    <w:tmpl w:val="E7C89DB8"/>
    <w:lvl w:ilvl="0" w:tplc="085C0C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68F67244"/>
    <w:multiLevelType w:val="hybridMultilevel"/>
    <w:tmpl w:val="C96E31E6"/>
    <w:lvl w:ilvl="0" w:tplc="A9C8D1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69A11FD5"/>
    <w:multiLevelType w:val="hybridMultilevel"/>
    <w:tmpl w:val="DAB257FA"/>
    <w:lvl w:ilvl="0" w:tplc="A732B42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A201368"/>
    <w:multiLevelType w:val="hybridMultilevel"/>
    <w:tmpl w:val="33B28832"/>
    <w:lvl w:ilvl="0" w:tplc="86FE4A2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6D1C2914"/>
    <w:multiLevelType w:val="hybridMultilevel"/>
    <w:tmpl w:val="6F8E0654"/>
    <w:lvl w:ilvl="0" w:tplc="CD8C3076">
      <w:start w:val="1"/>
      <w:numFmt w:val="upp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92" w15:restartNumberingAfterBreak="0">
    <w:nsid w:val="6E2C53AB"/>
    <w:multiLevelType w:val="hybridMultilevel"/>
    <w:tmpl w:val="7DB4E4C0"/>
    <w:lvl w:ilvl="0" w:tplc="513CE4F0">
      <w:start w:val="1"/>
      <w:numFmt w:val="upperLetter"/>
      <w:lvlText w:val="%1."/>
      <w:lvlJc w:val="left"/>
      <w:pPr>
        <w:ind w:left="1440" w:hanging="720"/>
      </w:pPr>
      <w:rPr>
        <w:rFonts w:ascii="Arial" w:hAnsi="Arial" w:cs="Arial"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E4A691D"/>
    <w:multiLevelType w:val="hybridMultilevel"/>
    <w:tmpl w:val="986CD11A"/>
    <w:lvl w:ilvl="0" w:tplc="6F023C5A">
      <w:start w:val="1"/>
      <w:numFmt w:val="upp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94" w15:restartNumberingAfterBreak="0">
    <w:nsid w:val="6FA00E32"/>
    <w:multiLevelType w:val="hybridMultilevel"/>
    <w:tmpl w:val="9D506B50"/>
    <w:lvl w:ilvl="0" w:tplc="397831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5B62078"/>
    <w:multiLevelType w:val="hybridMultilevel"/>
    <w:tmpl w:val="46E08F4E"/>
    <w:lvl w:ilvl="0" w:tplc="4A028838">
      <w:start w:val="1"/>
      <w:numFmt w:val="upperLetter"/>
      <w:lvlText w:val="%1."/>
      <w:lvlJc w:val="left"/>
      <w:pPr>
        <w:ind w:left="1530"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96" w15:restartNumberingAfterBreak="0">
    <w:nsid w:val="76C00318"/>
    <w:multiLevelType w:val="hybridMultilevel"/>
    <w:tmpl w:val="C11E0FE2"/>
    <w:lvl w:ilvl="0" w:tplc="548CF61A">
      <w:start w:val="2"/>
      <w:numFmt w:val="upperLetter"/>
      <w:lvlText w:val="%1."/>
      <w:lvlJc w:val="lef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6FD205D"/>
    <w:multiLevelType w:val="hybridMultilevel"/>
    <w:tmpl w:val="4724BACC"/>
    <w:lvl w:ilvl="0" w:tplc="2E0E3C5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7BA240FD"/>
    <w:multiLevelType w:val="hybridMultilevel"/>
    <w:tmpl w:val="F51CBB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9" w15:restartNumberingAfterBreak="0">
    <w:nsid w:val="7C966504"/>
    <w:multiLevelType w:val="hybridMultilevel"/>
    <w:tmpl w:val="7D12AB84"/>
    <w:lvl w:ilvl="0" w:tplc="2F8426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7D4D3969"/>
    <w:multiLevelType w:val="hybridMultilevel"/>
    <w:tmpl w:val="93A22ABA"/>
    <w:lvl w:ilvl="0" w:tplc="5BE0148A">
      <w:start w:val="1"/>
      <w:numFmt w:val="decimal"/>
      <w:lvlText w:val="%1."/>
      <w:lvlJc w:val="left"/>
      <w:pPr>
        <w:ind w:left="1440" w:hanging="360"/>
      </w:pPr>
      <w:rPr>
        <w:rFonts w:ascii="Arial" w:eastAsia="Calibri" w:hAnsi="Arial" w:cs="Arial" w:hint="default"/>
        <w:b/>
      </w:rPr>
    </w:lvl>
    <w:lvl w:ilvl="1" w:tplc="ABCAF4EC">
      <w:start w:val="1"/>
      <w:numFmt w:val="decimal"/>
      <w:lvlText w:val="%2."/>
      <w:lvlJc w:val="left"/>
      <w:pPr>
        <w:ind w:left="2160" w:hanging="360"/>
      </w:pPr>
      <w:rPr>
        <w:rFonts w:ascii="Arial" w:eastAsia="Calibri" w:hAnsi="Arial" w:cs="Arial" w:hint="default"/>
        <w:b/>
      </w:rPr>
    </w:lvl>
    <w:lvl w:ilvl="2" w:tplc="85BAD0D6">
      <w:start w:val="1"/>
      <w:numFmt w:val="upperLetter"/>
      <w:lvlText w:val="%3."/>
      <w:lvlJc w:val="left"/>
      <w:pPr>
        <w:ind w:left="3060" w:hanging="36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7DFC11FA"/>
    <w:multiLevelType w:val="hybridMultilevel"/>
    <w:tmpl w:val="E3BC58FE"/>
    <w:lvl w:ilvl="0" w:tplc="7EFE75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05989915">
    <w:abstractNumId w:val="30"/>
  </w:num>
  <w:num w:numId="2" w16cid:durableId="1761293627">
    <w:abstractNumId w:val="64"/>
  </w:num>
  <w:num w:numId="3" w16cid:durableId="1895046925">
    <w:abstractNumId w:val="100"/>
  </w:num>
  <w:num w:numId="4" w16cid:durableId="1861622846">
    <w:abstractNumId w:val="38"/>
  </w:num>
  <w:num w:numId="5" w16cid:durableId="847141408">
    <w:abstractNumId w:val="4"/>
  </w:num>
  <w:num w:numId="6" w16cid:durableId="1967080135">
    <w:abstractNumId w:val="75"/>
  </w:num>
  <w:num w:numId="7" w16cid:durableId="1149637809">
    <w:abstractNumId w:val="42"/>
  </w:num>
  <w:num w:numId="8" w16cid:durableId="1425228282">
    <w:abstractNumId w:val="53"/>
  </w:num>
  <w:num w:numId="9" w16cid:durableId="2071683670">
    <w:abstractNumId w:val="69"/>
  </w:num>
  <w:num w:numId="10" w16cid:durableId="1970358689">
    <w:abstractNumId w:val="71"/>
  </w:num>
  <w:num w:numId="11" w16cid:durableId="1762137472">
    <w:abstractNumId w:val="35"/>
  </w:num>
  <w:num w:numId="12" w16cid:durableId="418209503">
    <w:abstractNumId w:val="86"/>
  </w:num>
  <w:num w:numId="13" w16cid:durableId="1289513418">
    <w:abstractNumId w:val="77"/>
  </w:num>
  <w:num w:numId="14" w16cid:durableId="893849650">
    <w:abstractNumId w:val="52"/>
  </w:num>
  <w:num w:numId="15" w16cid:durableId="1714573520">
    <w:abstractNumId w:val="26"/>
  </w:num>
  <w:num w:numId="16" w16cid:durableId="349987515">
    <w:abstractNumId w:val="46"/>
  </w:num>
  <w:num w:numId="17" w16cid:durableId="1188327699">
    <w:abstractNumId w:val="83"/>
  </w:num>
  <w:num w:numId="18" w16cid:durableId="711080984">
    <w:abstractNumId w:val="6"/>
  </w:num>
  <w:num w:numId="19" w16cid:durableId="920989100">
    <w:abstractNumId w:val="17"/>
  </w:num>
  <w:num w:numId="20" w16cid:durableId="383722512">
    <w:abstractNumId w:val="67"/>
  </w:num>
  <w:num w:numId="21" w16cid:durableId="735863753">
    <w:abstractNumId w:val="13"/>
  </w:num>
  <w:num w:numId="22" w16cid:durableId="279919666">
    <w:abstractNumId w:val="65"/>
  </w:num>
  <w:num w:numId="23" w16cid:durableId="733503086">
    <w:abstractNumId w:val="9"/>
  </w:num>
  <w:num w:numId="24" w16cid:durableId="27612786">
    <w:abstractNumId w:val="97"/>
  </w:num>
  <w:num w:numId="25" w16cid:durableId="1783306892">
    <w:abstractNumId w:val="20"/>
  </w:num>
  <w:num w:numId="26" w16cid:durableId="1032534045">
    <w:abstractNumId w:val="63"/>
  </w:num>
  <w:num w:numId="27" w16cid:durableId="585262759">
    <w:abstractNumId w:val="101"/>
  </w:num>
  <w:num w:numId="28" w16cid:durableId="1564177757">
    <w:abstractNumId w:val="81"/>
  </w:num>
  <w:num w:numId="29" w16cid:durableId="869298677">
    <w:abstractNumId w:val="19"/>
  </w:num>
  <w:num w:numId="30" w16cid:durableId="242109217">
    <w:abstractNumId w:val="20"/>
    <w:lvlOverride w:ilvl="0">
      <w:startOverride w:val="1"/>
    </w:lvlOverride>
  </w:num>
  <w:num w:numId="31" w16cid:durableId="1740403794">
    <w:abstractNumId w:val="20"/>
    <w:lvlOverride w:ilvl="0">
      <w:startOverride w:val="1"/>
    </w:lvlOverride>
  </w:num>
  <w:num w:numId="32" w16cid:durableId="1265073733">
    <w:abstractNumId w:val="20"/>
    <w:lvlOverride w:ilvl="0">
      <w:startOverride w:val="1"/>
    </w:lvlOverride>
  </w:num>
  <w:num w:numId="33" w16cid:durableId="476067041">
    <w:abstractNumId w:val="74"/>
  </w:num>
  <w:num w:numId="34" w16cid:durableId="1011449274">
    <w:abstractNumId w:val="61"/>
  </w:num>
  <w:num w:numId="35" w16cid:durableId="1149244954">
    <w:abstractNumId w:val="78"/>
  </w:num>
  <w:num w:numId="36" w16cid:durableId="245115133">
    <w:abstractNumId w:val="22"/>
  </w:num>
  <w:num w:numId="37" w16cid:durableId="394009942">
    <w:abstractNumId w:val="34"/>
  </w:num>
  <w:num w:numId="38" w16cid:durableId="717364775">
    <w:abstractNumId w:val="21"/>
  </w:num>
  <w:num w:numId="39" w16cid:durableId="1098864611">
    <w:abstractNumId w:val="32"/>
  </w:num>
  <w:num w:numId="40" w16cid:durableId="1982153632">
    <w:abstractNumId w:val="33"/>
  </w:num>
  <w:num w:numId="41" w16cid:durableId="1861897128">
    <w:abstractNumId w:val="91"/>
  </w:num>
  <w:num w:numId="42" w16cid:durableId="1500345603">
    <w:abstractNumId w:val="93"/>
  </w:num>
  <w:num w:numId="43" w16cid:durableId="150371668">
    <w:abstractNumId w:val="16"/>
  </w:num>
  <w:num w:numId="44" w16cid:durableId="1267884024">
    <w:abstractNumId w:val="10"/>
  </w:num>
  <w:num w:numId="45" w16cid:durableId="1002705641">
    <w:abstractNumId w:val="7"/>
  </w:num>
  <w:num w:numId="46" w16cid:durableId="805781372">
    <w:abstractNumId w:val="33"/>
    <w:lvlOverride w:ilvl="0">
      <w:startOverride w:val="1"/>
    </w:lvlOverride>
  </w:num>
  <w:num w:numId="47" w16cid:durableId="1608343515">
    <w:abstractNumId w:val="33"/>
    <w:lvlOverride w:ilvl="0">
      <w:startOverride w:val="1"/>
    </w:lvlOverride>
  </w:num>
  <w:num w:numId="48" w16cid:durableId="1547795872">
    <w:abstractNumId w:val="0"/>
  </w:num>
  <w:num w:numId="49" w16cid:durableId="708144110">
    <w:abstractNumId w:val="29"/>
  </w:num>
  <w:num w:numId="50" w16cid:durableId="1806266867">
    <w:abstractNumId w:val="76"/>
  </w:num>
  <w:num w:numId="51" w16cid:durableId="1992515448">
    <w:abstractNumId w:val="37"/>
  </w:num>
  <w:num w:numId="52" w16cid:durableId="992173742">
    <w:abstractNumId w:val="59"/>
  </w:num>
  <w:num w:numId="53" w16cid:durableId="905068979">
    <w:abstractNumId w:val="87"/>
  </w:num>
  <w:num w:numId="54" w16cid:durableId="1579486260">
    <w:abstractNumId w:val="28"/>
  </w:num>
  <w:num w:numId="55" w16cid:durableId="293027487">
    <w:abstractNumId w:val="29"/>
    <w:lvlOverride w:ilvl="0">
      <w:startOverride w:val="1"/>
    </w:lvlOverride>
  </w:num>
  <w:num w:numId="56" w16cid:durableId="499081522">
    <w:abstractNumId w:val="48"/>
  </w:num>
  <w:num w:numId="57" w16cid:durableId="1841700476">
    <w:abstractNumId w:val="23"/>
  </w:num>
  <w:num w:numId="58" w16cid:durableId="832721330">
    <w:abstractNumId w:val="58"/>
  </w:num>
  <w:num w:numId="59" w16cid:durableId="674575702">
    <w:abstractNumId w:val="82"/>
  </w:num>
  <w:num w:numId="60" w16cid:durableId="809980088">
    <w:abstractNumId w:val="85"/>
  </w:num>
  <w:num w:numId="61" w16cid:durableId="51540428">
    <w:abstractNumId w:val="51"/>
  </w:num>
  <w:num w:numId="62" w16cid:durableId="1913928197">
    <w:abstractNumId w:val="95"/>
  </w:num>
  <w:num w:numId="63" w16cid:durableId="14843592">
    <w:abstractNumId w:val="50"/>
  </w:num>
  <w:num w:numId="64" w16cid:durableId="1760830983">
    <w:abstractNumId w:val="51"/>
    <w:lvlOverride w:ilvl="0">
      <w:startOverride w:val="1"/>
    </w:lvlOverride>
  </w:num>
  <w:num w:numId="65" w16cid:durableId="920524460">
    <w:abstractNumId w:val="89"/>
  </w:num>
  <w:num w:numId="66" w16cid:durableId="1134325626">
    <w:abstractNumId w:val="45"/>
  </w:num>
  <w:num w:numId="67" w16cid:durableId="1317879750">
    <w:abstractNumId w:val="24"/>
  </w:num>
  <w:num w:numId="68" w16cid:durableId="1967422251">
    <w:abstractNumId w:val="72"/>
  </w:num>
  <w:num w:numId="69" w16cid:durableId="1195924133">
    <w:abstractNumId w:val="5"/>
  </w:num>
  <w:num w:numId="70" w16cid:durableId="556740276">
    <w:abstractNumId w:val="2"/>
  </w:num>
  <w:num w:numId="71" w16cid:durableId="1226643637">
    <w:abstractNumId w:val="36"/>
  </w:num>
  <w:num w:numId="72" w16cid:durableId="294877612">
    <w:abstractNumId w:val="56"/>
  </w:num>
  <w:num w:numId="73" w16cid:durableId="331838215">
    <w:abstractNumId w:val="88"/>
  </w:num>
  <w:num w:numId="74" w16cid:durableId="1891185257">
    <w:abstractNumId w:val="3"/>
  </w:num>
  <w:num w:numId="75" w16cid:durableId="1033534273">
    <w:abstractNumId w:val="79"/>
  </w:num>
  <w:num w:numId="76" w16cid:durableId="1137797985">
    <w:abstractNumId w:val="43"/>
  </w:num>
  <w:num w:numId="77" w16cid:durableId="798449486">
    <w:abstractNumId w:val="44"/>
  </w:num>
  <w:num w:numId="78" w16cid:durableId="1464159412">
    <w:abstractNumId w:val="11"/>
  </w:num>
  <w:num w:numId="79" w16cid:durableId="936255495">
    <w:abstractNumId w:val="18"/>
  </w:num>
  <w:num w:numId="80" w16cid:durableId="1836262502">
    <w:abstractNumId w:val="70"/>
  </w:num>
  <w:num w:numId="81" w16cid:durableId="72245368">
    <w:abstractNumId w:val="62"/>
  </w:num>
  <w:num w:numId="82" w16cid:durableId="1058355783">
    <w:abstractNumId w:val="31"/>
  </w:num>
  <w:num w:numId="83" w16cid:durableId="718434830">
    <w:abstractNumId w:val="49"/>
  </w:num>
  <w:num w:numId="84" w16cid:durableId="1314748749">
    <w:abstractNumId w:val="47"/>
  </w:num>
  <w:num w:numId="85" w16cid:durableId="1585260200">
    <w:abstractNumId w:val="57"/>
  </w:num>
  <w:num w:numId="86" w16cid:durableId="949701062">
    <w:abstractNumId w:val="94"/>
  </w:num>
  <w:num w:numId="87" w16cid:durableId="192228171">
    <w:abstractNumId w:val="92"/>
  </w:num>
  <w:num w:numId="88" w16cid:durableId="1635670859">
    <w:abstractNumId w:val="90"/>
  </w:num>
  <w:num w:numId="89" w16cid:durableId="1960523047">
    <w:abstractNumId w:val="66"/>
  </w:num>
  <w:num w:numId="90" w16cid:durableId="2004309822">
    <w:abstractNumId w:val="98"/>
  </w:num>
  <w:num w:numId="91" w16cid:durableId="1358771568">
    <w:abstractNumId w:val="41"/>
  </w:num>
  <w:num w:numId="92" w16cid:durableId="354700633">
    <w:abstractNumId w:val="27"/>
  </w:num>
  <w:num w:numId="93" w16cid:durableId="1852524938">
    <w:abstractNumId w:val="99"/>
  </w:num>
  <w:num w:numId="94" w16cid:durableId="441800527">
    <w:abstractNumId w:val="49"/>
    <w:lvlOverride w:ilvl="0">
      <w:startOverride w:val="4"/>
    </w:lvlOverride>
  </w:num>
  <w:num w:numId="95" w16cid:durableId="755782178">
    <w:abstractNumId w:val="1"/>
  </w:num>
  <w:num w:numId="96" w16cid:durableId="1010334915">
    <w:abstractNumId w:val="25"/>
  </w:num>
  <w:num w:numId="97" w16cid:durableId="1008406537">
    <w:abstractNumId w:val="49"/>
    <w:lvlOverride w:ilvl="0">
      <w:startOverride w:val="1"/>
    </w:lvlOverride>
  </w:num>
  <w:num w:numId="98" w16cid:durableId="1862546117">
    <w:abstractNumId w:val="80"/>
  </w:num>
  <w:num w:numId="99" w16cid:durableId="865485255">
    <w:abstractNumId w:val="96"/>
  </w:num>
  <w:num w:numId="100" w16cid:durableId="1867333042">
    <w:abstractNumId w:val="73"/>
  </w:num>
  <w:num w:numId="101" w16cid:durableId="1906866475">
    <w:abstractNumId w:val="68"/>
  </w:num>
  <w:num w:numId="102" w16cid:durableId="2120566083">
    <w:abstractNumId w:val="15"/>
  </w:num>
  <w:num w:numId="103" w16cid:durableId="49813835">
    <w:abstractNumId w:val="40"/>
  </w:num>
  <w:num w:numId="104" w16cid:durableId="1267233909">
    <w:abstractNumId w:val="8"/>
  </w:num>
  <w:num w:numId="105" w16cid:durableId="726799459">
    <w:abstractNumId w:val="54"/>
  </w:num>
  <w:num w:numId="106" w16cid:durableId="466170935">
    <w:abstractNumId w:val="60"/>
  </w:num>
  <w:num w:numId="107" w16cid:durableId="854076455">
    <w:abstractNumId w:val="39"/>
  </w:num>
  <w:num w:numId="108" w16cid:durableId="2138986224">
    <w:abstractNumId w:val="12"/>
  </w:num>
  <w:num w:numId="109" w16cid:durableId="594362530">
    <w:abstractNumId w:val="55"/>
  </w:num>
  <w:num w:numId="110" w16cid:durableId="1565333141">
    <w:abstractNumId w:val="14"/>
  </w:num>
  <w:num w:numId="111" w16cid:durableId="1901020704">
    <w:abstractNumId w:val="8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CC4B4BE-CE79-412B-8EF0-16E78C90C97C}"/>
    <w:docVar w:name="dgnword-eventsink" w:val="793315208"/>
  </w:docVars>
  <w:rsids>
    <w:rsidRoot w:val="00721378"/>
    <w:rsid w:val="00000E4D"/>
    <w:rsid w:val="00001D28"/>
    <w:rsid w:val="00004237"/>
    <w:rsid w:val="000049E8"/>
    <w:rsid w:val="00005AA6"/>
    <w:rsid w:val="00005E89"/>
    <w:rsid w:val="00006883"/>
    <w:rsid w:val="00006997"/>
    <w:rsid w:val="00007CF5"/>
    <w:rsid w:val="00007D88"/>
    <w:rsid w:val="00007F0F"/>
    <w:rsid w:val="00007F49"/>
    <w:rsid w:val="000128FB"/>
    <w:rsid w:val="00012D63"/>
    <w:rsid w:val="00012FEA"/>
    <w:rsid w:val="000136A4"/>
    <w:rsid w:val="000139DB"/>
    <w:rsid w:val="00014BAE"/>
    <w:rsid w:val="00014BE7"/>
    <w:rsid w:val="0001538F"/>
    <w:rsid w:val="000164E1"/>
    <w:rsid w:val="00017A33"/>
    <w:rsid w:val="00017D26"/>
    <w:rsid w:val="00020146"/>
    <w:rsid w:val="000208B0"/>
    <w:rsid w:val="00020A6C"/>
    <w:rsid w:val="00020B2A"/>
    <w:rsid w:val="000222D6"/>
    <w:rsid w:val="000225BA"/>
    <w:rsid w:val="00023117"/>
    <w:rsid w:val="00024634"/>
    <w:rsid w:val="00024E96"/>
    <w:rsid w:val="0002632E"/>
    <w:rsid w:val="00026F2E"/>
    <w:rsid w:val="000304AE"/>
    <w:rsid w:val="000308E8"/>
    <w:rsid w:val="00031578"/>
    <w:rsid w:val="00031728"/>
    <w:rsid w:val="000330EF"/>
    <w:rsid w:val="00033BA1"/>
    <w:rsid w:val="00035D4F"/>
    <w:rsid w:val="000367D1"/>
    <w:rsid w:val="00037107"/>
    <w:rsid w:val="00040D4F"/>
    <w:rsid w:val="000412F6"/>
    <w:rsid w:val="000429CF"/>
    <w:rsid w:val="00043130"/>
    <w:rsid w:val="000437E8"/>
    <w:rsid w:val="00043949"/>
    <w:rsid w:val="00044F58"/>
    <w:rsid w:val="000452C7"/>
    <w:rsid w:val="00045BAD"/>
    <w:rsid w:val="00045C75"/>
    <w:rsid w:val="00045E4E"/>
    <w:rsid w:val="00046448"/>
    <w:rsid w:val="000472CA"/>
    <w:rsid w:val="00047CA6"/>
    <w:rsid w:val="00051D55"/>
    <w:rsid w:val="000527E1"/>
    <w:rsid w:val="0005411E"/>
    <w:rsid w:val="0005453E"/>
    <w:rsid w:val="00055FCB"/>
    <w:rsid w:val="00056411"/>
    <w:rsid w:val="00057827"/>
    <w:rsid w:val="00057E61"/>
    <w:rsid w:val="000614EB"/>
    <w:rsid w:val="00061D5A"/>
    <w:rsid w:val="00062BD7"/>
    <w:rsid w:val="00062F89"/>
    <w:rsid w:val="00063E77"/>
    <w:rsid w:val="0006530D"/>
    <w:rsid w:val="0006713E"/>
    <w:rsid w:val="00070041"/>
    <w:rsid w:val="00072591"/>
    <w:rsid w:val="000725E8"/>
    <w:rsid w:val="00072E90"/>
    <w:rsid w:val="000731B9"/>
    <w:rsid w:val="00073323"/>
    <w:rsid w:val="00073E11"/>
    <w:rsid w:val="000741E1"/>
    <w:rsid w:val="00074339"/>
    <w:rsid w:val="00074F8D"/>
    <w:rsid w:val="000768B1"/>
    <w:rsid w:val="0008230B"/>
    <w:rsid w:val="000829A1"/>
    <w:rsid w:val="00082BB2"/>
    <w:rsid w:val="00084096"/>
    <w:rsid w:val="00084585"/>
    <w:rsid w:val="00086247"/>
    <w:rsid w:val="00087C0D"/>
    <w:rsid w:val="00087DDC"/>
    <w:rsid w:val="000909F6"/>
    <w:rsid w:val="00090CD9"/>
    <w:rsid w:val="0009227B"/>
    <w:rsid w:val="000925F1"/>
    <w:rsid w:val="000930C4"/>
    <w:rsid w:val="00093584"/>
    <w:rsid w:val="00093A37"/>
    <w:rsid w:val="00095B78"/>
    <w:rsid w:val="000961B8"/>
    <w:rsid w:val="00096986"/>
    <w:rsid w:val="0009787B"/>
    <w:rsid w:val="00097ADB"/>
    <w:rsid w:val="00097E33"/>
    <w:rsid w:val="000A1DD5"/>
    <w:rsid w:val="000A2479"/>
    <w:rsid w:val="000A26CB"/>
    <w:rsid w:val="000A3BE9"/>
    <w:rsid w:val="000A4BE6"/>
    <w:rsid w:val="000A4DF0"/>
    <w:rsid w:val="000A4ED5"/>
    <w:rsid w:val="000A5079"/>
    <w:rsid w:val="000A5BBF"/>
    <w:rsid w:val="000A5F6B"/>
    <w:rsid w:val="000A641C"/>
    <w:rsid w:val="000A6D4E"/>
    <w:rsid w:val="000B266D"/>
    <w:rsid w:val="000B2CB1"/>
    <w:rsid w:val="000B3DF5"/>
    <w:rsid w:val="000B45E5"/>
    <w:rsid w:val="000B57D4"/>
    <w:rsid w:val="000B5D54"/>
    <w:rsid w:val="000B716F"/>
    <w:rsid w:val="000B7526"/>
    <w:rsid w:val="000C032D"/>
    <w:rsid w:val="000C08CF"/>
    <w:rsid w:val="000C1E43"/>
    <w:rsid w:val="000C3520"/>
    <w:rsid w:val="000C3A0E"/>
    <w:rsid w:val="000C3A66"/>
    <w:rsid w:val="000C3E5A"/>
    <w:rsid w:val="000C3EFD"/>
    <w:rsid w:val="000C427A"/>
    <w:rsid w:val="000C4883"/>
    <w:rsid w:val="000C631A"/>
    <w:rsid w:val="000C68F5"/>
    <w:rsid w:val="000C7604"/>
    <w:rsid w:val="000C7657"/>
    <w:rsid w:val="000D00F7"/>
    <w:rsid w:val="000D0828"/>
    <w:rsid w:val="000D1236"/>
    <w:rsid w:val="000D1A5C"/>
    <w:rsid w:val="000D2475"/>
    <w:rsid w:val="000D32DB"/>
    <w:rsid w:val="000D35C8"/>
    <w:rsid w:val="000D38F0"/>
    <w:rsid w:val="000D3D74"/>
    <w:rsid w:val="000D4CAD"/>
    <w:rsid w:val="000D507D"/>
    <w:rsid w:val="000D5CCC"/>
    <w:rsid w:val="000D6D60"/>
    <w:rsid w:val="000D790F"/>
    <w:rsid w:val="000E0D8B"/>
    <w:rsid w:val="000E35EB"/>
    <w:rsid w:val="000E361C"/>
    <w:rsid w:val="000E5473"/>
    <w:rsid w:val="000E68C9"/>
    <w:rsid w:val="000E7EB9"/>
    <w:rsid w:val="000F0055"/>
    <w:rsid w:val="000F06C5"/>
    <w:rsid w:val="000F1242"/>
    <w:rsid w:val="000F27FB"/>
    <w:rsid w:val="000F3DF7"/>
    <w:rsid w:val="000F4875"/>
    <w:rsid w:val="000F579B"/>
    <w:rsid w:val="00100BE5"/>
    <w:rsid w:val="00101039"/>
    <w:rsid w:val="001019CA"/>
    <w:rsid w:val="00101E9B"/>
    <w:rsid w:val="00103038"/>
    <w:rsid w:val="001066AA"/>
    <w:rsid w:val="0010679A"/>
    <w:rsid w:val="0010719C"/>
    <w:rsid w:val="001071CD"/>
    <w:rsid w:val="0010738B"/>
    <w:rsid w:val="00110D39"/>
    <w:rsid w:val="00111518"/>
    <w:rsid w:val="00111E59"/>
    <w:rsid w:val="00111FF5"/>
    <w:rsid w:val="00112D19"/>
    <w:rsid w:val="00114E33"/>
    <w:rsid w:val="00117C3C"/>
    <w:rsid w:val="001215DE"/>
    <w:rsid w:val="00121B2C"/>
    <w:rsid w:val="001265E0"/>
    <w:rsid w:val="0012738C"/>
    <w:rsid w:val="0013072C"/>
    <w:rsid w:val="00130DCA"/>
    <w:rsid w:val="0013252C"/>
    <w:rsid w:val="00134450"/>
    <w:rsid w:val="00137C6E"/>
    <w:rsid w:val="00137CFA"/>
    <w:rsid w:val="0014013B"/>
    <w:rsid w:val="0014031D"/>
    <w:rsid w:val="00141B90"/>
    <w:rsid w:val="00142C79"/>
    <w:rsid w:val="00142EE5"/>
    <w:rsid w:val="001430AF"/>
    <w:rsid w:val="0014353B"/>
    <w:rsid w:val="00143636"/>
    <w:rsid w:val="001437A5"/>
    <w:rsid w:val="00143BD2"/>
    <w:rsid w:val="00143DA3"/>
    <w:rsid w:val="00144129"/>
    <w:rsid w:val="00145EB2"/>
    <w:rsid w:val="0014605F"/>
    <w:rsid w:val="00146155"/>
    <w:rsid w:val="001461A4"/>
    <w:rsid w:val="0014788C"/>
    <w:rsid w:val="001479C5"/>
    <w:rsid w:val="00147EE8"/>
    <w:rsid w:val="00150DAE"/>
    <w:rsid w:val="00151180"/>
    <w:rsid w:val="00151821"/>
    <w:rsid w:val="00152DBD"/>
    <w:rsid w:val="00153B5C"/>
    <w:rsid w:val="00153F36"/>
    <w:rsid w:val="001541E5"/>
    <w:rsid w:val="001554DE"/>
    <w:rsid w:val="00156679"/>
    <w:rsid w:val="001573A4"/>
    <w:rsid w:val="00157457"/>
    <w:rsid w:val="0016067C"/>
    <w:rsid w:val="00161833"/>
    <w:rsid w:val="00161856"/>
    <w:rsid w:val="00163352"/>
    <w:rsid w:val="00167940"/>
    <w:rsid w:val="00171AFE"/>
    <w:rsid w:val="001742EE"/>
    <w:rsid w:val="001761F1"/>
    <w:rsid w:val="00180E56"/>
    <w:rsid w:val="0018213F"/>
    <w:rsid w:val="00183DB0"/>
    <w:rsid w:val="00184F56"/>
    <w:rsid w:val="001854A4"/>
    <w:rsid w:val="00190B1E"/>
    <w:rsid w:val="001910D5"/>
    <w:rsid w:val="00191FFD"/>
    <w:rsid w:val="00192DBF"/>
    <w:rsid w:val="001933CB"/>
    <w:rsid w:val="00193DF4"/>
    <w:rsid w:val="0019538B"/>
    <w:rsid w:val="00195F63"/>
    <w:rsid w:val="00196D29"/>
    <w:rsid w:val="001970B1"/>
    <w:rsid w:val="001A0524"/>
    <w:rsid w:val="001A0A78"/>
    <w:rsid w:val="001A0BC4"/>
    <w:rsid w:val="001A1529"/>
    <w:rsid w:val="001A360D"/>
    <w:rsid w:val="001A517F"/>
    <w:rsid w:val="001A5336"/>
    <w:rsid w:val="001A5B36"/>
    <w:rsid w:val="001A668F"/>
    <w:rsid w:val="001A6E09"/>
    <w:rsid w:val="001A7E1B"/>
    <w:rsid w:val="001B0142"/>
    <w:rsid w:val="001B04A6"/>
    <w:rsid w:val="001B0DA7"/>
    <w:rsid w:val="001B4DFD"/>
    <w:rsid w:val="001B5406"/>
    <w:rsid w:val="001C1CB1"/>
    <w:rsid w:val="001C1E08"/>
    <w:rsid w:val="001C34D2"/>
    <w:rsid w:val="001C64C1"/>
    <w:rsid w:val="001C6E8C"/>
    <w:rsid w:val="001C6EEE"/>
    <w:rsid w:val="001D0107"/>
    <w:rsid w:val="001D02AD"/>
    <w:rsid w:val="001D0531"/>
    <w:rsid w:val="001D07D0"/>
    <w:rsid w:val="001D1227"/>
    <w:rsid w:val="001D4B6B"/>
    <w:rsid w:val="001D7B46"/>
    <w:rsid w:val="001D7FD5"/>
    <w:rsid w:val="001E014A"/>
    <w:rsid w:val="001E11E1"/>
    <w:rsid w:val="001E17ED"/>
    <w:rsid w:val="001E1EF1"/>
    <w:rsid w:val="001E381C"/>
    <w:rsid w:val="001E4BA8"/>
    <w:rsid w:val="001E77F4"/>
    <w:rsid w:val="001E7C4E"/>
    <w:rsid w:val="001F03BC"/>
    <w:rsid w:val="001F063A"/>
    <w:rsid w:val="001F19BF"/>
    <w:rsid w:val="001F2419"/>
    <w:rsid w:val="001F3B22"/>
    <w:rsid w:val="001F452D"/>
    <w:rsid w:val="001F4FE2"/>
    <w:rsid w:val="001F5D08"/>
    <w:rsid w:val="001F773B"/>
    <w:rsid w:val="001F7AFC"/>
    <w:rsid w:val="0020030E"/>
    <w:rsid w:val="00200BF9"/>
    <w:rsid w:val="00200F9B"/>
    <w:rsid w:val="0020130D"/>
    <w:rsid w:val="0020151E"/>
    <w:rsid w:val="00201B46"/>
    <w:rsid w:val="0020276A"/>
    <w:rsid w:val="002048BC"/>
    <w:rsid w:val="002053D4"/>
    <w:rsid w:val="00205A64"/>
    <w:rsid w:val="00206209"/>
    <w:rsid w:val="00206E7B"/>
    <w:rsid w:val="00207B5C"/>
    <w:rsid w:val="00210C5D"/>
    <w:rsid w:val="0021148E"/>
    <w:rsid w:val="00211BA0"/>
    <w:rsid w:val="00213246"/>
    <w:rsid w:val="0021363F"/>
    <w:rsid w:val="00213E38"/>
    <w:rsid w:val="002156B8"/>
    <w:rsid w:val="00215BF6"/>
    <w:rsid w:val="00215E6F"/>
    <w:rsid w:val="0021749F"/>
    <w:rsid w:val="00221855"/>
    <w:rsid w:val="0022206D"/>
    <w:rsid w:val="00222C85"/>
    <w:rsid w:val="002239BA"/>
    <w:rsid w:val="00224634"/>
    <w:rsid w:val="0022682A"/>
    <w:rsid w:val="00226B84"/>
    <w:rsid w:val="002272DC"/>
    <w:rsid w:val="00227F67"/>
    <w:rsid w:val="00230F74"/>
    <w:rsid w:val="00233A2E"/>
    <w:rsid w:val="0023408E"/>
    <w:rsid w:val="0023492E"/>
    <w:rsid w:val="002359D1"/>
    <w:rsid w:val="00235E16"/>
    <w:rsid w:val="00236C56"/>
    <w:rsid w:val="002404BD"/>
    <w:rsid w:val="00240DC1"/>
    <w:rsid w:val="00240F9C"/>
    <w:rsid w:val="00240F9F"/>
    <w:rsid w:val="00241673"/>
    <w:rsid w:val="0024263F"/>
    <w:rsid w:val="00245E64"/>
    <w:rsid w:val="00245F74"/>
    <w:rsid w:val="00246519"/>
    <w:rsid w:val="00246B73"/>
    <w:rsid w:val="00247254"/>
    <w:rsid w:val="00250AF1"/>
    <w:rsid w:val="00250B62"/>
    <w:rsid w:val="0025272F"/>
    <w:rsid w:val="002529A9"/>
    <w:rsid w:val="002548B2"/>
    <w:rsid w:val="00256BA0"/>
    <w:rsid w:val="00260928"/>
    <w:rsid w:val="00260E8A"/>
    <w:rsid w:val="00263E57"/>
    <w:rsid w:val="00264AD0"/>
    <w:rsid w:val="00264D15"/>
    <w:rsid w:val="0026615C"/>
    <w:rsid w:val="002679DF"/>
    <w:rsid w:val="002701A9"/>
    <w:rsid w:val="002708EE"/>
    <w:rsid w:val="00272387"/>
    <w:rsid w:val="00273319"/>
    <w:rsid w:val="00273335"/>
    <w:rsid w:val="00276772"/>
    <w:rsid w:val="0027684B"/>
    <w:rsid w:val="00280E70"/>
    <w:rsid w:val="00281C0F"/>
    <w:rsid w:val="00282548"/>
    <w:rsid w:val="00282E0B"/>
    <w:rsid w:val="00283DF2"/>
    <w:rsid w:val="00285669"/>
    <w:rsid w:val="00285DB2"/>
    <w:rsid w:val="0028655B"/>
    <w:rsid w:val="002868A1"/>
    <w:rsid w:val="00286980"/>
    <w:rsid w:val="00290B61"/>
    <w:rsid w:val="00294544"/>
    <w:rsid w:val="00296564"/>
    <w:rsid w:val="00296C8F"/>
    <w:rsid w:val="002975F7"/>
    <w:rsid w:val="00297E19"/>
    <w:rsid w:val="00297F0C"/>
    <w:rsid w:val="002A01DA"/>
    <w:rsid w:val="002A077F"/>
    <w:rsid w:val="002A194B"/>
    <w:rsid w:val="002A25D8"/>
    <w:rsid w:val="002A33CE"/>
    <w:rsid w:val="002A4E70"/>
    <w:rsid w:val="002A543E"/>
    <w:rsid w:val="002A5AC3"/>
    <w:rsid w:val="002A61D6"/>
    <w:rsid w:val="002B0A15"/>
    <w:rsid w:val="002B0F6F"/>
    <w:rsid w:val="002B17C0"/>
    <w:rsid w:val="002B28ED"/>
    <w:rsid w:val="002B2F1B"/>
    <w:rsid w:val="002B5FC2"/>
    <w:rsid w:val="002B73A3"/>
    <w:rsid w:val="002C01D4"/>
    <w:rsid w:val="002C01E8"/>
    <w:rsid w:val="002C0798"/>
    <w:rsid w:val="002C112F"/>
    <w:rsid w:val="002C1FCD"/>
    <w:rsid w:val="002C4C60"/>
    <w:rsid w:val="002C5B9A"/>
    <w:rsid w:val="002D00A3"/>
    <w:rsid w:val="002D0F70"/>
    <w:rsid w:val="002D22C2"/>
    <w:rsid w:val="002D25CA"/>
    <w:rsid w:val="002D2B7F"/>
    <w:rsid w:val="002D3677"/>
    <w:rsid w:val="002D412D"/>
    <w:rsid w:val="002D4675"/>
    <w:rsid w:val="002D569E"/>
    <w:rsid w:val="002D6CD4"/>
    <w:rsid w:val="002E2C54"/>
    <w:rsid w:val="002E2EB5"/>
    <w:rsid w:val="002E2EFE"/>
    <w:rsid w:val="002E34AE"/>
    <w:rsid w:val="002E34E9"/>
    <w:rsid w:val="002E36A2"/>
    <w:rsid w:val="002E561A"/>
    <w:rsid w:val="002E6311"/>
    <w:rsid w:val="002E7481"/>
    <w:rsid w:val="002F06EB"/>
    <w:rsid w:val="002F0CC0"/>
    <w:rsid w:val="002F149E"/>
    <w:rsid w:val="002F1570"/>
    <w:rsid w:val="002F22E2"/>
    <w:rsid w:val="002F4108"/>
    <w:rsid w:val="002F59F3"/>
    <w:rsid w:val="002F68D8"/>
    <w:rsid w:val="00300011"/>
    <w:rsid w:val="0030183F"/>
    <w:rsid w:val="00302216"/>
    <w:rsid w:val="0030295C"/>
    <w:rsid w:val="00302E98"/>
    <w:rsid w:val="0030426E"/>
    <w:rsid w:val="003049A9"/>
    <w:rsid w:val="00304AF6"/>
    <w:rsid w:val="00306177"/>
    <w:rsid w:val="00307951"/>
    <w:rsid w:val="00307A77"/>
    <w:rsid w:val="00310065"/>
    <w:rsid w:val="003101B8"/>
    <w:rsid w:val="00310AE7"/>
    <w:rsid w:val="00310E2F"/>
    <w:rsid w:val="00312011"/>
    <w:rsid w:val="003131C7"/>
    <w:rsid w:val="0031351A"/>
    <w:rsid w:val="00314ADA"/>
    <w:rsid w:val="00320180"/>
    <w:rsid w:val="00320BA3"/>
    <w:rsid w:val="00320EEE"/>
    <w:rsid w:val="00322852"/>
    <w:rsid w:val="00322BF8"/>
    <w:rsid w:val="003232D2"/>
    <w:rsid w:val="00324F97"/>
    <w:rsid w:val="0032552C"/>
    <w:rsid w:val="00325C7C"/>
    <w:rsid w:val="0032618F"/>
    <w:rsid w:val="00326E1B"/>
    <w:rsid w:val="00330A72"/>
    <w:rsid w:val="003329DE"/>
    <w:rsid w:val="003338A2"/>
    <w:rsid w:val="00336459"/>
    <w:rsid w:val="00336DFA"/>
    <w:rsid w:val="003374D5"/>
    <w:rsid w:val="00341546"/>
    <w:rsid w:val="003420D2"/>
    <w:rsid w:val="003435EE"/>
    <w:rsid w:val="0034416E"/>
    <w:rsid w:val="00344646"/>
    <w:rsid w:val="00344990"/>
    <w:rsid w:val="00344A6E"/>
    <w:rsid w:val="00344C79"/>
    <w:rsid w:val="00345075"/>
    <w:rsid w:val="00345B6F"/>
    <w:rsid w:val="00346FB9"/>
    <w:rsid w:val="00347093"/>
    <w:rsid w:val="00350CE7"/>
    <w:rsid w:val="0035121B"/>
    <w:rsid w:val="00351A70"/>
    <w:rsid w:val="00354289"/>
    <w:rsid w:val="00354D57"/>
    <w:rsid w:val="00356AE5"/>
    <w:rsid w:val="003575B4"/>
    <w:rsid w:val="003577DC"/>
    <w:rsid w:val="00360450"/>
    <w:rsid w:val="00360539"/>
    <w:rsid w:val="00363783"/>
    <w:rsid w:val="00364965"/>
    <w:rsid w:val="00364CCD"/>
    <w:rsid w:val="00365B23"/>
    <w:rsid w:val="003667BB"/>
    <w:rsid w:val="003706B0"/>
    <w:rsid w:val="0037079C"/>
    <w:rsid w:val="00370B20"/>
    <w:rsid w:val="00371945"/>
    <w:rsid w:val="00371EB8"/>
    <w:rsid w:val="003720F4"/>
    <w:rsid w:val="00373DB9"/>
    <w:rsid w:val="00374551"/>
    <w:rsid w:val="003765E2"/>
    <w:rsid w:val="003766DD"/>
    <w:rsid w:val="00376A49"/>
    <w:rsid w:val="00376B42"/>
    <w:rsid w:val="00376C06"/>
    <w:rsid w:val="0038067C"/>
    <w:rsid w:val="003806A6"/>
    <w:rsid w:val="00380B1C"/>
    <w:rsid w:val="00380E1F"/>
    <w:rsid w:val="00381F78"/>
    <w:rsid w:val="00382C39"/>
    <w:rsid w:val="00383A52"/>
    <w:rsid w:val="00386648"/>
    <w:rsid w:val="00387C24"/>
    <w:rsid w:val="00387D9F"/>
    <w:rsid w:val="00390074"/>
    <w:rsid w:val="00390FAA"/>
    <w:rsid w:val="0039220B"/>
    <w:rsid w:val="003923EB"/>
    <w:rsid w:val="00393977"/>
    <w:rsid w:val="00393DE6"/>
    <w:rsid w:val="0039415C"/>
    <w:rsid w:val="0039480C"/>
    <w:rsid w:val="003966E9"/>
    <w:rsid w:val="00396C56"/>
    <w:rsid w:val="003A0260"/>
    <w:rsid w:val="003A1F8E"/>
    <w:rsid w:val="003A21BC"/>
    <w:rsid w:val="003A3638"/>
    <w:rsid w:val="003A44D7"/>
    <w:rsid w:val="003A4AFD"/>
    <w:rsid w:val="003A531A"/>
    <w:rsid w:val="003A57D7"/>
    <w:rsid w:val="003A5FF7"/>
    <w:rsid w:val="003A743F"/>
    <w:rsid w:val="003B1D08"/>
    <w:rsid w:val="003B351C"/>
    <w:rsid w:val="003B3A95"/>
    <w:rsid w:val="003B4164"/>
    <w:rsid w:val="003B6394"/>
    <w:rsid w:val="003C097E"/>
    <w:rsid w:val="003C2406"/>
    <w:rsid w:val="003C40F8"/>
    <w:rsid w:val="003C4CBD"/>
    <w:rsid w:val="003C57FA"/>
    <w:rsid w:val="003C6ADC"/>
    <w:rsid w:val="003C7D37"/>
    <w:rsid w:val="003D10BF"/>
    <w:rsid w:val="003D1E23"/>
    <w:rsid w:val="003D2FFE"/>
    <w:rsid w:val="003D3377"/>
    <w:rsid w:val="003D3810"/>
    <w:rsid w:val="003D758A"/>
    <w:rsid w:val="003E0DF8"/>
    <w:rsid w:val="003E0E0C"/>
    <w:rsid w:val="003E1A16"/>
    <w:rsid w:val="003E3035"/>
    <w:rsid w:val="003E3C62"/>
    <w:rsid w:val="003E4905"/>
    <w:rsid w:val="003E4A8C"/>
    <w:rsid w:val="003E5E02"/>
    <w:rsid w:val="003F1198"/>
    <w:rsid w:val="003F25F3"/>
    <w:rsid w:val="003F2977"/>
    <w:rsid w:val="003F3BA0"/>
    <w:rsid w:val="003F40FB"/>
    <w:rsid w:val="003F4C5D"/>
    <w:rsid w:val="003F6653"/>
    <w:rsid w:val="003F66C0"/>
    <w:rsid w:val="003F6CFA"/>
    <w:rsid w:val="0040228D"/>
    <w:rsid w:val="00402514"/>
    <w:rsid w:val="00403032"/>
    <w:rsid w:val="004034D7"/>
    <w:rsid w:val="0040533F"/>
    <w:rsid w:val="004063F4"/>
    <w:rsid w:val="00407620"/>
    <w:rsid w:val="004100C0"/>
    <w:rsid w:val="0041056D"/>
    <w:rsid w:val="004139FB"/>
    <w:rsid w:val="00413DC2"/>
    <w:rsid w:val="00414E4A"/>
    <w:rsid w:val="004158F7"/>
    <w:rsid w:val="00415A67"/>
    <w:rsid w:val="00417280"/>
    <w:rsid w:val="00420782"/>
    <w:rsid w:val="004227BC"/>
    <w:rsid w:val="0042291F"/>
    <w:rsid w:val="00422B3B"/>
    <w:rsid w:val="00422D9D"/>
    <w:rsid w:val="004243EF"/>
    <w:rsid w:val="004248CE"/>
    <w:rsid w:val="0042521D"/>
    <w:rsid w:val="00425536"/>
    <w:rsid w:val="00426361"/>
    <w:rsid w:val="00427BF8"/>
    <w:rsid w:val="004316A3"/>
    <w:rsid w:val="004316B0"/>
    <w:rsid w:val="00431A41"/>
    <w:rsid w:val="0043259D"/>
    <w:rsid w:val="00432E5B"/>
    <w:rsid w:val="00434EAC"/>
    <w:rsid w:val="0043796C"/>
    <w:rsid w:val="004429FF"/>
    <w:rsid w:val="00444F83"/>
    <w:rsid w:val="004459E6"/>
    <w:rsid w:val="00445E0C"/>
    <w:rsid w:val="00450D46"/>
    <w:rsid w:val="0045138E"/>
    <w:rsid w:val="0045144E"/>
    <w:rsid w:val="00451BB1"/>
    <w:rsid w:val="00451D6E"/>
    <w:rsid w:val="0045288E"/>
    <w:rsid w:val="00452E0A"/>
    <w:rsid w:val="004538DE"/>
    <w:rsid w:val="00454E0D"/>
    <w:rsid w:val="00456427"/>
    <w:rsid w:val="00456AF7"/>
    <w:rsid w:val="004577E4"/>
    <w:rsid w:val="00457AFD"/>
    <w:rsid w:val="004609E5"/>
    <w:rsid w:val="0046188C"/>
    <w:rsid w:val="0046300C"/>
    <w:rsid w:val="004637D0"/>
    <w:rsid w:val="00463F91"/>
    <w:rsid w:val="004657EC"/>
    <w:rsid w:val="00465F31"/>
    <w:rsid w:val="00466320"/>
    <w:rsid w:val="00466C48"/>
    <w:rsid w:val="00466E55"/>
    <w:rsid w:val="00467CE0"/>
    <w:rsid w:val="00470ECA"/>
    <w:rsid w:val="004715E6"/>
    <w:rsid w:val="004717D1"/>
    <w:rsid w:val="00471F28"/>
    <w:rsid w:val="004727E6"/>
    <w:rsid w:val="00472F15"/>
    <w:rsid w:val="00476731"/>
    <w:rsid w:val="00476F75"/>
    <w:rsid w:val="004816D3"/>
    <w:rsid w:val="0048286A"/>
    <w:rsid w:val="00482EC3"/>
    <w:rsid w:val="00483717"/>
    <w:rsid w:val="00483B93"/>
    <w:rsid w:val="00485027"/>
    <w:rsid w:val="00485DA3"/>
    <w:rsid w:val="0048687E"/>
    <w:rsid w:val="00487234"/>
    <w:rsid w:val="0049095C"/>
    <w:rsid w:val="00491EC4"/>
    <w:rsid w:val="00491EF8"/>
    <w:rsid w:val="00492ED1"/>
    <w:rsid w:val="0049381C"/>
    <w:rsid w:val="00494149"/>
    <w:rsid w:val="00494231"/>
    <w:rsid w:val="004948B9"/>
    <w:rsid w:val="00495E81"/>
    <w:rsid w:val="00497FAF"/>
    <w:rsid w:val="004A02DC"/>
    <w:rsid w:val="004A052F"/>
    <w:rsid w:val="004A0E8C"/>
    <w:rsid w:val="004A27C4"/>
    <w:rsid w:val="004A27EF"/>
    <w:rsid w:val="004A2D06"/>
    <w:rsid w:val="004A4279"/>
    <w:rsid w:val="004A428C"/>
    <w:rsid w:val="004A48C5"/>
    <w:rsid w:val="004A5DEC"/>
    <w:rsid w:val="004A61E0"/>
    <w:rsid w:val="004A6792"/>
    <w:rsid w:val="004A6D0D"/>
    <w:rsid w:val="004A7428"/>
    <w:rsid w:val="004A7E3F"/>
    <w:rsid w:val="004A7E76"/>
    <w:rsid w:val="004B01AE"/>
    <w:rsid w:val="004B4212"/>
    <w:rsid w:val="004B6DDA"/>
    <w:rsid w:val="004C0B65"/>
    <w:rsid w:val="004C0CD4"/>
    <w:rsid w:val="004C1DA5"/>
    <w:rsid w:val="004C2B77"/>
    <w:rsid w:val="004C3078"/>
    <w:rsid w:val="004C47AE"/>
    <w:rsid w:val="004C55DE"/>
    <w:rsid w:val="004D069D"/>
    <w:rsid w:val="004D2B8D"/>
    <w:rsid w:val="004D35F9"/>
    <w:rsid w:val="004D5416"/>
    <w:rsid w:val="004D6F0D"/>
    <w:rsid w:val="004E0C7A"/>
    <w:rsid w:val="004E135F"/>
    <w:rsid w:val="004E2523"/>
    <w:rsid w:val="004E3AA4"/>
    <w:rsid w:val="004E446F"/>
    <w:rsid w:val="004E514C"/>
    <w:rsid w:val="004E58DD"/>
    <w:rsid w:val="004E5ED3"/>
    <w:rsid w:val="004E733C"/>
    <w:rsid w:val="004E7614"/>
    <w:rsid w:val="004E7AFF"/>
    <w:rsid w:val="004F006F"/>
    <w:rsid w:val="004F0B4D"/>
    <w:rsid w:val="004F34EE"/>
    <w:rsid w:val="004F4534"/>
    <w:rsid w:val="004F4837"/>
    <w:rsid w:val="004F5A43"/>
    <w:rsid w:val="0050074D"/>
    <w:rsid w:val="00500B20"/>
    <w:rsid w:val="00500BD7"/>
    <w:rsid w:val="005012FD"/>
    <w:rsid w:val="00501325"/>
    <w:rsid w:val="005039F9"/>
    <w:rsid w:val="0050428B"/>
    <w:rsid w:val="005045B8"/>
    <w:rsid w:val="00505B7A"/>
    <w:rsid w:val="00506BB7"/>
    <w:rsid w:val="00510D20"/>
    <w:rsid w:val="005119B4"/>
    <w:rsid w:val="00512406"/>
    <w:rsid w:val="005126FD"/>
    <w:rsid w:val="0051278A"/>
    <w:rsid w:val="005132F4"/>
    <w:rsid w:val="005133CD"/>
    <w:rsid w:val="005133D7"/>
    <w:rsid w:val="005134F6"/>
    <w:rsid w:val="00514BF9"/>
    <w:rsid w:val="00514EB8"/>
    <w:rsid w:val="00515905"/>
    <w:rsid w:val="00515A18"/>
    <w:rsid w:val="00516A58"/>
    <w:rsid w:val="00516AA1"/>
    <w:rsid w:val="0052050F"/>
    <w:rsid w:val="005209F8"/>
    <w:rsid w:val="005215F4"/>
    <w:rsid w:val="005218B5"/>
    <w:rsid w:val="00521A03"/>
    <w:rsid w:val="00524CAC"/>
    <w:rsid w:val="00525A5B"/>
    <w:rsid w:val="00525C83"/>
    <w:rsid w:val="00531A1C"/>
    <w:rsid w:val="00531CD5"/>
    <w:rsid w:val="0053270D"/>
    <w:rsid w:val="00532FF1"/>
    <w:rsid w:val="00533BAA"/>
    <w:rsid w:val="005342C2"/>
    <w:rsid w:val="0053546F"/>
    <w:rsid w:val="005357F4"/>
    <w:rsid w:val="005358CF"/>
    <w:rsid w:val="00537522"/>
    <w:rsid w:val="0053786C"/>
    <w:rsid w:val="00537A5D"/>
    <w:rsid w:val="00540905"/>
    <w:rsid w:val="0054094D"/>
    <w:rsid w:val="0054134B"/>
    <w:rsid w:val="00542256"/>
    <w:rsid w:val="00545BC4"/>
    <w:rsid w:val="0054796D"/>
    <w:rsid w:val="00550862"/>
    <w:rsid w:val="00551F85"/>
    <w:rsid w:val="00552D5B"/>
    <w:rsid w:val="005535B1"/>
    <w:rsid w:val="0055507E"/>
    <w:rsid w:val="00555DDC"/>
    <w:rsid w:val="005568C7"/>
    <w:rsid w:val="00556D62"/>
    <w:rsid w:val="005575EE"/>
    <w:rsid w:val="00557D2D"/>
    <w:rsid w:val="0056118C"/>
    <w:rsid w:val="00561E97"/>
    <w:rsid w:val="005630A3"/>
    <w:rsid w:val="005630C3"/>
    <w:rsid w:val="005635B2"/>
    <w:rsid w:val="00563836"/>
    <w:rsid w:val="00563A05"/>
    <w:rsid w:val="005673C0"/>
    <w:rsid w:val="00570BA2"/>
    <w:rsid w:val="00571A14"/>
    <w:rsid w:val="005721C2"/>
    <w:rsid w:val="00575EAE"/>
    <w:rsid w:val="00576E51"/>
    <w:rsid w:val="00580F61"/>
    <w:rsid w:val="00581485"/>
    <w:rsid w:val="00581FA6"/>
    <w:rsid w:val="00582E28"/>
    <w:rsid w:val="00583AAD"/>
    <w:rsid w:val="00584AF4"/>
    <w:rsid w:val="005853FC"/>
    <w:rsid w:val="00590E2D"/>
    <w:rsid w:val="00592509"/>
    <w:rsid w:val="00593126"/>
    <w:rsid w:val="00593434"/>
    <w:rsid w:val="005939E4"/>
    <w:rsid w:val="00595659"/>
    <w:rsid w:val="00595F8C"/>
    <w:rsid w:val="005968BD"/>
    <w:rsid w:val="005A09F2"/>
    <w:rsid w:val="005A0EE7"/>
    <w:rsid w:val="005A235A"/>
    <w:rsid w:val="005A2631"/>
    <w:rsid w:val="005A2B7E"/>
    <w:rsid w:val="005A31B9"/>
    <w:rsid w:val="005A3C56"/>
    <w:rsid w:val="005A4C13"/>
    <w:rsid w:val="005A5788"/>
    <w:rsid w:val="005A5BF5"/>
    <w:rsid w:val="005A76C3"/>
    <w:rsid w:val="005A770F"/>
    <w:rsid w:val="005A79B5"/>
    <w:rsid w:val="005B01DB"/>
    <w:rsid w:val="005B2959"/>
    <w:rsid w:val="005B3803"/>
    <w:rsid w:val="005B3BF9"/>
    <w:rsid w:val="005B47CB"/>
    <w:rsid w:val="005B5FE8"/>
    <w:rsid w:val="005C2083"/>
    <w:rsid w:val="005C2357"/>
    <w:rsid w:val="005C4264"/>
    <w:rsid w:val="005C4519"/>
    <w:rsid w:val="005C4E29"/>
    <w:rsid w:val="005C5743"/>
    <w:rsid w:val="005C60D9"/>
    <w:rsid w:val="005C7AFB"/>
    <w:rsid w:val="005D0C6B"/>
    <w:rsid w:val="005D1CF2"/>
    <w:rsid w:val="005D1E21"/>
    <w:rsid w:val="005D21E3"/>
    <w:rsid w:val="005D2206"/>
    <w:rsid w:val="005D259C"/>
    <w:rsid w:val="005D2A38"/>
    <w:rsid w:val="005D321C"/>
    <w:rsid w:val="005D3597"/>
    <w:rsid w:val="005D409A"/>
    <w:rsid w:val="005D4360"/>
    <w:rsid w:val="005D52D4"/>
    <w:rsid w:val="005D554D"/>
    <w:rsid w:val="005D6AD9"/>
    <w:rsid w:val="005E187F"/>
    <w:rsid w:val="005E245F"/>
    <w:rsid w:val="005E2EB9"/>
    <w:rsid w:val="005E30FE"/>
    <w:rsid w:val="005E3739"/>
    <w:rsid w:val="005E500B"/>
    <w:rsid w:val="005E66C8"/>
    <w:rsid w:val="005E7210"/>
    <w:rsid w:val="005F685C"/>
    <w:rsid w:val="005F7058"/>
    <w:rsid w:val="00601730"/>
    <w:rsid w:val="0060206F"/>
    <w:rsid w:val="00606693"/>
    <w:rsid w:val="006114BE"/>
    <w:rsid w:val="00611A35"/>
    <w:rsid w:val="00612A69"/>
    <w:rsid w:val="0061367D"/>
    <w:rsid w:val="00615211"/>
    <w:rsid w:val="0061577E"/>
    <w:rsid w:val="00616805"/>
    <w:rsid w:val="006168C5"/>
    <w:rsid w:val="006177D9"/>
    <w:rsid w:val="00617BE3"/>
    <w:rsid w:val="00621602"/>
    <w:rsid w:val="00623319"/>
    <w:rsid w:val="00623A32"/>
    <w:rsid w:val="00624B17"/>
    <w:rsid w:val="00624DEA"/>
    <w:rsid w:val="00624E6B"/>
    <w:rsid w:val="006258D3"/>
    <w:rsid w:val="00625F24"/>
    <w:rsid w:val="0063033C"/>
    <w:rsid w:val="00632576"/>
    <w:rsid w:val="00633156"/>
    <w:rsid w:val="006336FA"/>
    <w:rsid w:val="00634102"/>
    <w:rsid w:val="0063425E"/>
    <w:rsid w:val="00634C62"/>
    <w:rsid w:val="00634D70"/>
    <w:rsid w:val="006350B1"/>
    <w:rsid w:val="0063584F"/>
    <w:rsid w:val="006408F7"/>
    <w:rsid w:val="00641107"/>
    <w:rsid w:val="0064177C"/>
    <w:rsid w:val="00642212"/>
    <w:rsid w:val="006422EE"/>
    <w:rsid w:val="006429E1"/>
    <w:rsid w:val="006445D4"/>
    <w:rsid w:val="0064621E"/>
    <w:rsid w:val="006501C2"/>
    <w:rsid w:val="0065077C"/>
    <w:rsid w:val="00651159"/>
    <w:rsid w:val="00651898"/>
    <w:rsid w:val="00652F34"/>
    <w:rsid w:val="0065487A"/>
    <w:rsid w:val="006548C9"/>
    <w:rsid w:val="0065511A"/>
    <w:rsid w:val="00656794"/>
    <w:rsid w:val="006569E6"/>
    <w:rsid w:val="00656F42"/>
    <w:rsid w:val="00657158"/>
    <w:rsid w:val="0065727F"/>
    <w:rsid w:val="00657300"/>
    <w:rsid w:val="006577C1"/>
    <w:rsid w:val="00660B5B"/>
    <w:rsid w:val="0066106A"/>
    <w:rsid w:val="00662176"/>
    <w:rsid w:val="00662FF5"/>
    <w:rsid w:val="0066377E"/>
    <w:rsid w:val="00663E4A"/>
    <w:rsid w:val="00664B71"/>
    <w:rsid w:val="00665BDE"/>
    <w:rsid w:val="00665FEE"/>
    <w:rsid w:val="006665DE"/>
    <w:rsid w:val="00666A66"/>
    <w:rsid w:val="00666F16"/>
    <w:rsid w:val="00667222"/>
    <w:rsid w:val="00667587"/>
    <w:rsid w:val="006677C7"/>
    <w:rsid w:val="0066782C"/>
    <w:rsid w:val="00667C3C"/>
    <w:rsid w:val="006701CE"/>
    <w:rsid w:val="0067025F"/>
    <w:rsid w:val="0067219B"/>
    <w:rsid w:val="00672CD7"/>
    <w:rsid w:val="00672E6D"/>
    <w:rsid w:val="00673028"/>
    <w:rsid w:val="00673741"/>
    <w:rsid w:val="0067380F"/>
    <w:rsid w:val="00674563"/>
    <w:rsid w:val="0067536D"/>
    <w:rsid w:val="00675D8B"/>
    <w:rsid w:val="006762DD"/>
    <w:rsid w:val="006774D7"/>
    <w:rsid w:val="00680B3D"/>
    <w:rsid w:val="006810B2"/>
    <w:rsid w:val="00683236"/>
    <w:rsid w:val="006839A8"/>
    <w:rsid w:val="0068450D"/>
    <w:rsid w:val="00685770"/>
    <w:rsid w:val="00690316"/>
    <w:rsid w:val="006906C0"/>
    <w:rsid w:val="00690DB5"/>
    <w:rsid w:val="0069187E"/>
    <w:rsid w:val="00691A35"/>
    <w:rsid w:val="00691E66"/>
    <w:rsid w:val="00691FF2"/>
    <w:rsid w:val="00692E57"/>
    <w:rsid w:val="0069312D"/>
    <w:rsid w:val="00693997"/>
    <w:rsid w:val="00694164"/>
    <w:rsid w:val="00694B5A"/>
    <w:rsid w:val="00696E78"/>
    <w:rsid w:val="00697BFA"/>
    <w:rsid w:val="006A00F7"/>
    <w:rsid w:val="006A01CC"/>
    <w:rsid w:val="006A0FDB"/>
    <w:rsid w:val="006A1313"/>
    <w:rsid w:val="006A3699"/>
    <w:rsid w:val="006A44F8"/>
    <w:rsid w:val="006A52F8"/>
    <w:rsid w:val="006A748C"/>
    <w:rsid w:val="006A7CF9"/>
    <w:rsid w:val="006B0AAE"/>
    <w:rsid w:val="006B4C83"/>
    <w:rsid w:val="006B4F91"/>
    <w:rsid w:val="006B64F4"/>
    <w:rsid w:val="006B69E3"/>
    <w:rsid w:val="006B78DE"/>
    <w:rsid w:val="006C012D"/>
    <w:rsid w:val="006C12BA"/>
    <w:rsid w:val="006C2072"/>
    <w:rsid w:val="006C207A"/>
    <w:rsid w:val="006C39F1"/>
    <w:rsid w:val="006C3AC5"/>
    <w:rsid w:val="006C49AD"/>
    <w:rsid w:val="006C582F"/>
    <w:rsid w:val="006C7B56"/>
    <w:rsid w:val="006D141B"/>
    <w:rsid w:val="006D186A"/>
    <w:rsid w:val="006D1944"/>
    <w:rsid w:val="006D3E87"/>
    <w:rsid w:val="006D522A"/>
    <w:rsid w:val="006D733D"/>
    <w:rsid w:val="006D7ECD"/>
    <w:rsid w:val="006E06EE"/>
    <w:rsid w:val="006E0F9F"/>
    <w:rsid w:val="006E1DB4"/>
    <w:rsid w:val="006E2619"/>
    <w:rsid w:val="006E30CA"/>
    <w:rsid w:val="006E4E57"/>
    <w:rsid w:val="006E6862"/>
    <w:rsid w:val="006F06D0"/>
    <w:rsid w:val="006F14A7"/>
    <w:rsid w:val="006F5843"/>
    <w:rsid w:val="00701F16"/>
    <w:rsid w:val="00702BDD"/>
    <w:rsid w:val="00702FE0"/>
    <w:rsid w:val="00703034"/>
    <w:rsid w:val="00703553"/>
    <w:rsid w:val="00704642"/>
    <w:rsid w:val="00704814"/>
    <w:rsid w:val="00704BBB"/>
    <w:rsid w:val="00705D8D"/>
    <w:rsid w:val="0070629E"/>
    <w:rsid w:val="007073A6"/>
    <w:rsid w:val="007101BA"/>
    <w:rsid w:val="0071242C"/>
    <w:rsid w:val="007129D9"/>
    <w:rsid w:val="007161F5"/>
    <w:rsid w:val="0071725E"/>
    <w:rsid w:val="00717BB1"/>
    <w:rsid w:val="00717C08"/>
    <w:rsid w:val="00721378"/>
    <w:rsid w:val="00721A4E"/>
    <w:rsid w:val="007236B5"/>
    <w:rsid w:val="00723D45"/>
    <w:rsid w:val="007246A6"/>
    <w:rsid w:val="007260EE"/>
    <w:rsid w:val="007264DB"/>
    <w:rsid w:val="0073029B"/>
    <w:rsid w:val="00730E81"/>
    <w:rsid w:val="007311D9"/>
    <w:rsid w:val="0073193A"/>
    <w:rsid w:val="0073347E"/>
    <w:rsid w:val="00733D57"/>
    <w:rsid w:val="00734F2A"/>
    <w:rsid w:val="00736076"/>
    <w:rsid w:val="00736240"/>
    <w:rsid w:val="007365EC"/>
    <w:rsid w:val="00740957"/>
    <w:rsid w:val="00740E23"/>
    <w:rsid w:val="007418E2"/>
    <w:rsid w:val="00741AD8"/>
    <w:rsid w:val="0074211C"/>
    <w:rsid w:val="0074252A"/>
    <w:rsid w:val="00742BC6"/>
    <w:rsid w:val="00743006"/>
    <w:rsid w:val="0074320A"/>
    <w:rsid w:val="00743531"/>
    <w:rsid w:val="00743BF1"/>
    <w:rsid w:val="0074614E"/>
    <w:rsid w:val="00746E3E"/>
    <w:rsid w:val="00747804"/>
    <w:rsid w:val="007479CF"/>
    <w:rsid w:val="00747C78"/>
    <w:rsid w:val="00750569"/>
    <w:rsid w:val="00750880"/>
    <w:rsid w:val="00752913"/>
    <w:rsid w:val="00753597"/>
    <w:rsid w:val="0075492A"/>
    <w:rsid w:val="00754AE4"/>
    <w:rsid w:val="00757850"/>
    <w:rsid w:val="00757E77"/>
    <w:rsid w:val="00760434"/>
    <w:rsid w:val="00760751"/>
    <w:rsid w:val="00760FBC"/>
    <w:rsid w:val="007611D7"/>
    <w:rsid w:val="00762859"/>
    <w:rsid w:val="00762E7E"/>
    <w:rsid w:val="007654EA"/>
    <w:rsid w:val="007669A7"/>
    <w:rsid w:val="007670B3"/>
    <w:rsid w:val="00767618"/>
    <w:rsid w:val="00767BF7"/>
    <w:rsid w:val="0077000F"/>
    <w:rsid w:val="0077366B"/>
    <w:rsid w:val="00773810"/>
    <w:rsid w:val="00776273"/>
    <w:rsid w:val="00776358"/>
    <w:rsid w:val="00776BDA"/>
    <w:rsid w:val="00777714"/>
    <w:rsid w:val="007806B1"/>
    <w:rsid w:val="00782056"/>
    <w:rsid w:val="007832D8"/>
    <w:rsid w:val="007854C8"/>
    <w:rsid w:val="0078660C"/>
    <w:rsid w:val="00786D1B"/>
    <w:rsid w:val="00787761"/>
    <w:rsid w:val="007877B4"/>
    <w:rsid w:val="00787F54"/>
    <w:rsid w:val="007900C6"/>
    <w:rsid w:val="0079327A"/>
    <w:rsid w:val="00793581"/>
    <w:rsid w:val="00793F35"/>
    <w:rsid w:val="00794D60"/>
    <w:rsid w:val="00795484"/>
    <w:rsid w:val="007977CB"/>
    <w:rsid w:val="00797B0A"/>
    <w:rsid w:val="007A039D"/>
    <w:rsid w:val="007A15AB"/>
    <w:rsid w:val="007A1FFF"/>
    <w:rsid w:val="007A3F4C"/>
    <w:rsid w:val="007A5F10"/>
    <w:rsid w:val="007A6235"/>
    <w:rsid w:val="007A7C05"/>
    <w:rsid w:val="007B0167"/>
    <w:rsid w:val="007B0633"/>
    <w:rsid w:val="007B06D7"/>
    <w:rsid w:val="007B1F69"/>
    <w:rsid w:val="007B22D6"/>
    <w:rsid w:val="007B255B"/>
    <w:rsid w:val="007B5B93"/>
    <w:rsid w:val="007B6B16"/>
    <w:rsid w:val="007C071D"/>
    <w:rsid w:val="007C0BE9"/>
    <w:rsid w:val="007C22A0"/>
    <w:rsid w:val="007C2FA5"/>
    <w:rsid w:val="007C39F3"/>
    <w:rsid w:val="007C40DB"/>
    <w:rsid w:val="007C4B88"/>
    <w:rsid w:val="007C520A"/>
    <w:rsid w:val="007C5ABC"/>
    <w:rsid w:val="007C6C1E"/>
    <w:rsid w:val="007C6D31"/>
    <w:rsid w:val="007C6FAF"/>
    <w:rsid w:val="007C7841"/>
    <w:rsid w:val="007C7D46"/>
    <w:rsid w:val="007D0DD6"/>
    <w:rsid w:val="007D1EBF"/>
    <w:rsid w:val="007D32D9"/>
    <w:rsid w:val="007D3EE3"/>
    <w:rsid w:val="007D50E7"/>
    <w:rsid w:val="007E0735"/>
    <w:rsid w:val="007E18BD"/>
    <w:rsid w:val="007E1B48"/>
    <w:rsid w:val="007E2417"/>
    <w:rsid w:val="007E2D85"/>
    <w:rsid w:val="007E436A"/>
    <w:rsid w:val="007E6FE9"/>
    <w:rsid w:val="007F0302"/>
    <w:rsid w:val="007F040C"/>
    <w:rsid w:val="007F297F"/>
    <w:rsid w:val="007F3EF5"/>
    <w:rsid w:val="007F4E35"/>
    <w:rsid w:val="007F6C25"/>
    <w:rsid w:val="0080052B"/>
    <w:rsid w:val="008011C4"/>
    <w:rsid w:val="00801987"/>
    <w:rsid w:val="00801D1D"/>
    <w:rsid w:val="00802BC3"/>
    <w:rsid w:val="008042F6"/>
    <w:rsid w:val="008052E3"/>
    <w:rsid w:val="0080612F"/>
    <w:rsid w:val="00807FED"/>
    <w:rsid w:val="0081020F"/>
    <w:rsid w:val="008106B9"/>
    <w:rsid w:val="0081142B"/>
    <w:rsid w:val="0081280A"/>
    <w:rsid w:val="00812C52"/>
    <w:rsid w:val="008161E7"/>
    <w:rsid w:val="00817A17"/>
    <w:rsid w:val="008209DB"/>
    <w:rsid w:val="00821CF4"/>
    <w:rsid w:val="0082440F"/>
    <w:rsid w:val="0082469E"/>
    <w:rsid w:val="00825BD1"/>
    <w:rsid w:val="0082609B"/>
    <w:rsid w:val="00826326"/>
    <w:rsid w:val="00826A6C"/>
    <w:rsid w:val="00827036"/>
    <w:rsid w:val="00827699"/>
    <w:rsid w:val="008301C9"/>
    <w:rsid w:val="00831513"/>
    <w:rsid w:val="00832B7E"/>
    <w:rsid w:val="00832BBB"/>
    <w:rsid w:val="00832EF1"/>
    <w:rsid w:val="0083314B"/>
    <w:rsid w:val="00834F48"/>
    <w:rsid w:val="0083590E"/>
    <w:rsid w:val="00835E77"/>
    <w:rsid w:val="00836D0D"/>
    <w:rsid w:val="008404CB"/>
    <w:rsid w:val="00840507"/>
    <w:rsid w:val="00840661"/>
    <w:rsid w:val="008430B3"/>
    <w:rsid w:val="00843D4D"/>
    <w:rsid w:val="0084580E"/>
    <w:rsid w:val="00846CAC"/>
    <w:rsid w:val="00850002"/>
    <w:rsid w:val="00853BA7"/>
    <w:rsid w:val="00853FB3"/>
    <w:rsid w:val="00854580"/>
    <w:rsid w:val="008546B1"/>
    <w:rsid w:val="008550F6"/>
    <w:rsid w:val="008562D4"/>
    <w:rsid w:val="008566EB"/>
    <w:rsid w:val="00861450"/>
    <w:rsid w:val="0086152F"/>
    <w:rsid w:val="00861763"/>
    <w:rsid w:val="00862625"/>
    <w:rsid w:val="0086411B"/>
    <w:rsid w:val="008644FA"/>
    <w:rsid w:val="00864E93"/>
    <w:rsid w:val="00865599"/>
    <w:rsid w:val="00865C64"/>
    <w:rsid w:val="00866AB2"/>
    <w:rsid w:val="00866B3E"/>
    <w:rsid w:val="0086724C"/>
    <w:rsid w:val="00867363"/>
    <w:rsid w:val="00867D01"/>
    <w:rsid w:val="00870ED4"/>
    <w:rsid w:val="00872024"/>
    <w:rsid w:val="0087298D"/>
    <w:rsid w:val="00873533"/>
    <w:rsid w:val="00873F26"/>
    <w:rsid w:val="008750F6"/>
    <w:rsid w:val="008755E3"/>
    <w:rsid w:val="0087573D"/>
    <w:rsid w:val="0087698D"/>
    <w:rsid w:val="008775EB"/>
    <w:rsid w:val="008817CC"/>
    <w:rsid w:val="00881A49"/>
    <w:rsid w:val="00882AAA"/>
    <w:rsid w:val="008836A5"/>
    <w:rsid w:val="00884479"/>
    <w:rsid w:val="00884C6C"/>
    <w:rsid w:val="00885607"/>
    <w:rsid w:val="00887D2D"/>
    <w:rsid w:val="00891E04"/>
    <w:rsid w:val="008929E1"/>
    <w:rsid w:val="00892B7F"/>
    <w:rsid w:val="00892DC5"/>
    <w:rsid w:val="00893C11"/>
    <w:rsid w:val="00893FC9"/>
    <w:rsid w:val="008942DE"/>
    <w:rsid w:val="0089472D"/>
    <w:rsid w:val="00895456"/>
    <w:rsid w:val="0089591B"/>
    <w:rsid w:val="0089617D"/>
    <w:rsid w:val="00896BAB"/>
    <w:rsid w:val="00896DEA"/>
    <w:rsid w:val="008A0B46"/>
    <w:rsid w:val="008A0DAF"/>
    <w:rsid w:val="008A1783"/>
    <w:rsid w:val="008A1AC6"/>
    <w:rsid w:val="008A2201"/>
    <w:rsid w:val="008A2DA7"/>
    <w:rsid w:val="008A2F15"/>
    <w:rsid w:val="008A5661"/>
    <w:rsid w:val="008A58EF"/>
    <w:rsid w:val="008A5DF0"/>
    <w:rsid w:val="008B06F2"/>
    <w:rsid w:val="008B09D9"/>
    <w:rsid w:val="008B1067"/>
    <w:rsid w:val="008B2FCF"/>
    <w:rsid w:val="008B3DCF"/>
    <w:rsid w:val="008B4ED6"/>
    <w:rsid w:val="008B51A9"/>
    <w:rsid w:val="008B6DA7"/>
    <w:rsid w:val="008B7483"/>
    <w:rsid w:val="008B7614"/>
    <w:rsid w:val="008B7EEB"/>
    <w:rsid w:val="008C0B6B"/>
    <w:rsid w:val="008C3A01"/>
    <w:rsid w:val="008C3F92"/>
    <w:rsid w:val="008C4B23"/>
    <w:rsid w:val="008C5D7E"/>
    <w:rsid w:val="008C687C"/>
    <w:rsid w:val="008C799E"/>
    <w:rsid w:val="008D0B0E"/>
    <w:rsid w:val="008D0C85"/>
    <w:rsid w:val="008D139E"/>
    <w:rsid w:val="008D1D1E"/>
    <w:rsid w:val="008D2184"/>
    <w:rsid w:val="008D3CDF"/>
    <w:rsid w:val="008D3EE0"/>
    <w:rsid w:val="008D4883"/>
    <w:rsid w:val="008D51DC"/>
    <w:rsid w:val="008D667C"/>
    <w:rsid w:val="008D7CAD"/>
    <w:rsid w:val="008E0965"/>
    <w:rsid w:val="008E2853"/>
    <w:rsid w:val="008E29AF"/>
    <w:rsid w:val="008E3035"/>
    <w:rsid w:val="008E3060"/>
    <w:rsid w:val="008E3886"/>
    <w:rsid w:val="008E5634"/>
    <w:rsid w:val="008E5DA5"/>
    <w:rsid w:val="008F0255"/>
    <w:rsid w:val="008F0C26"/>
    <w:rsid w:val="008F237D"/>
    <w:rsid w:val="008F257A"/>
    <w:rsid w:val="008F49C7"/>
    <w:rsid w:val="008F5479"/>
    <w:rsid w:val="008F62C2"/>
    <w:rsid w:val="008F6A80"/>
    <w:rsid w:val="008F6ACC"/>
    <w:rsid w:val="00900853"/>
    <w:rsid w:val="00900AC6"/>
    <w:rsid w:val="00903E52"/>
    <w:rsid w:val="00905E52"/>
    <w:rsid w:val="009069C7"/>
    <w:rsid w:val="00907316"/>
    <w:rsid w:val="00907379"/>
    <w:rsid w:val="00907951"/>
    <w:rsid w:val="0091128E"/>
    <w:rsid w:val="00911659"/>
    <w:rsid w:val="00912508"/>
    <w:rsid w:val="0091353E"/>
    <w:rsid w:val="00913A97"/>
    <w:rsid w:val="00915A1F"/>
    <w:rsid w:val="00916D9C"/>
    <w:rsid w:val="0091731E"/>
    <w:rsid w:val="00917714"/>
    <w:rsid w:val="009179F1"/>
    <w:rsid w:val="0092032C"/>
    <w:rsid w:val="00920FE5"/>
    <w:rsid w:val="00922520"/>
    <w:rsid w:val="009245F4"/>
    <w:rsid w:val="009252ED"/>
    <w:rsid w:val="00925553"/>
    <w:rsid w:val="00925738"/>
    <w:rsid w:val="009258E0"/>
    <w:rsid w:val="00926D21"/>
    <w:rsid w:val="009305EF"/>
    <w:rsid w:val="00930B41"/>
    <w:rsid w:val="00930EE3"/>
    <w:rsid w:val="00931DA3"/>
    <w:rsid w:val="00933E1E"/>
    <w:rsid w:val="00934F1B"/>
    <w:rsid w:val="00934F6C"/>
    <w:rsid w:val="009368AD"/>
    <w:rsid w:val="00936EF6"/>
    <w:rsid w:val="00940199"/>
    <w:rsid w:val="0094145A"/>
    <w:rsid w:val="0094325C"/>
    <w:rsid w:val="00944E5F"/>
    <w:rsid w:val="00946269"/>
    <w:rsid w:val="00946795"/>
    <w:rsid w:val="009468AB"/>
    <w:rsid w:val="009474BB"/>
    <w:rsid w:val="00947692"/>
    <w:rsid w:val="00947B70"/>
    <w:rsid w:val="00950382"/>
    <w:rsid w:val="00950FC0"/>
    <w:rsid w:val="009519FF"/>
    <w:rsid w:val="00951CE2"/>
    <w:rsid w:val="009535F7"/>
    <w:rsid w:val="00955B6E"/>
    <w:rsid w:val="00956400"/>
    <w:rsid w:val="009565CD"/>
    <w:rsid w:val="009571CF"/>
    <w:rsid w:val="0095754C"/>
    <w:rsid w:val="009605E0"/>
    <w:rsid w:val="009609B4"/>
    <w:rsid w:val="00960ECE"/>
    <w:rsid w:val="00961A49"/>
    <w:rsid w:val="00963167"/>
    <w:rsid w:val="009638A1"/>
    <w:rsid w:val="00963B97"/>
    <w:rsid w:val="00963BCB"/>
    <w:rsid w:val="00964FD4"/>
    <w:rsid w:val="00970601"/>
    <w:rsid w:val="0097196A"/>
    <w:rsid w:val="00972203"/>
    <w:rsid w:val="009749F4"/>
    <w:rsid w:val="00975F3E"/>
    <w:rsid w:val="009806C3"/>
    <w:rsid w:val="00980A7D"/>
    <w:rsid w:val="00983CFA"/>
    <w:rsid w:val="00985068"/>
    <w:rsid w:val="0098543C"/>
    <w:rsid w:val="009902A1"/>
    <w:rsid w:val="00990D99"/>
    <w:rsid w:val="00993A8C"/>
    <w:rsid w:val="00995DBE"/>
    <w:rsid w:val="00997200"/>
    <w:rsid w:val="00997672"/>
    <w:rsid w:val="009A0DE5"/>
    <w:rsid w:val="009A2CBE"/>
    <w:rsid w:val="009A39A1"/>
    <w:rsid w:val="009A4559"/>
    <w:rsid w:val="009A4F67"/>
    <w:rsid w:val="009A5915"/>
    <w:rsid w:val="009B2B0B"/>
    <w:rsid w:val="009B3A17"/>
    <w:rsid w:val="009B473C"/>
    <w:rsid w:val="009B6300"/>
    <w:rsid w:val="009B6424"/>
    <w:rsid w:val="009B6A86"/>
    <w:rsid w:val="009C07A1"/>
    <w:rsid w:val="009C158F"/>
    <w:rsid w:val="009C301D"/>
    <w:rsid w:val="009C3301"/>
    <w:rsid w:val="009C3769"/>
    <w:rsid w:val="009C4A12"/>
    <w:rsid w:val="009C5229"/>
    <w:rsid w:val="009C6249"/>
    <w:rsid w:val="009C6556"/>
    <w:rsid w:val="009C697C"/>
    <w:rsid w:val="009C7DF5"/>
    <w:rsid w:val="009D0018"/>
    <w:rsid w:val="009D0449"/>
    <w:rsid w:val="009D0668"/>
    <w:rsid w:val="009D1274"/>
    <w:rsid w:val="009D1619"/>
    <w:rsid w:val="009D20DA"/>
    <w:rsid w:val="009D2DA5"/>
    <w:rsid w:val="009D3DA5"/>
    <w:rsid w:val="009D4987"/>
    <w:rsid w:val="009D52AE"/>
    <w:rsid w:val="009D58DD"/>
    <w:rsid w:val="009D78C3"/>
    <w:rsid w:val="009E203C"/>
    <w:rsid w:val="009E27D2"/>
    <w:rsid w:val="009E295D"/>
    <w:rsid w:val="009E3F7D"/>
    <w:rsid w:val="009E593A"/>
    <w:rsid w:val="009E59BF"/>
    <w:rsid w:val="009E5CC8"/>
    <w:rsid w:val="009E63AD"/>
    <w:rsid w:val="009F02E8"/>
    <w:rsid w:val="009F2C98"/>
    <w:rsid w:val="009F39FA"/>
    <w:rsid w:val="009F4C49"/>
    <w:rsid w:val="009F5C05"/>
    <w:rsid w:val="009F5E7E"/>
    <w:rsid w:val="00A00704"/>
    <w:rsid w:val="00A01864"/>
    <w:rsid w:val="00A02AFF"/>
    <w:rsid w:val="00A03831"/>
    <w:rsid w:val="00A038B4"/>
    <w:rsid w:val="00A03E66"/>
    <w:rsid w:val="00A0478A"/>
    <w:rsid w:val="00A06A1D"/>
    <w:rsid w:val="00A077DC"/>
    <w:rsid w:val="00A110D6"/>
    <w:rsid w:val="00A11599"/>
    <w:rsid w:val="00A1294A"/>
    <w:rsid w:val="00A13784"/>
    <w:rsid w:val="00A13A50"/>
    <w:rsid w:val="00A14279"/>
    <w:rsid w:val="00A14B7E"/>
    <w:rsid w:val="00A16FB5"/>
    <w:rsid w:val="00A22030"/>
    <w:rsid w:val="00A22144"/>
    <w:rsid w:val="00A2260F"/>
    <w:rsid w:val="00A23916"/>
    <w:rsid w:val="00A239BF"/>
    <w:rsid w:val="00A2427C"/>
    <w:rsid w:val="00A24AC4"/>
    <w:rsid w:val="00A25437"/>
    <w:rsid w:val="00A25AFC"/>
    <w:rsid w:val="00A25CB4"/>
    <w:rsid w:val="00A2652D"/>
    <w:rsid w:val="00A27DD6"/>
    <w:rsid w:val="00A30AB1"/>
    <w:rsid w:val="00A30F4E"/>
    <w:rsid w:val="00A31A13"/>
    <w:rsid w:val="00A34895"/>
    <w:rsid w:val="00A34A77"/>
    <w:rsid w:val="00A37228"/>
    <w:rsid w:val="00A373BA"/>
    <w:rsid w:val="00A376BD"/>
    <w:rsid w:val="00A4087F"/>
    <w:rsid w:val="00A41935"/>
    <w:rsid w:val="00A41AD9"/>
    <w:rsid w:val="00A43F85"/>
    <w:rsid w:val="00A44BF6"/>
    <w:rsid w:val="00A50407"/>
    <w:rsid w:val="00A50654"/>
    <w:rsid w:val="00A50C0F"/>
    <w:rsid w:val="00A51B44"/>
    <w:rsid w:val="00A529AB"/>
    <w:rsid w:val="00A532F5"/>
    <w:rsid w:val="00A53850"/>
    <w:rsid w:val="00A54D19"/>
    <w:rsid w:val="00A552E7"/>
    <w:rsid w:val="00A5545E"/>
    <w:rsid w:val="00A55830"/>
    <w:rsid w:val="00A55AF0"/>
    <w:rsid w:val="00A5711D"/>
    <w:rsid w:val="00A60B10"/>
    <w:rsid w:val="00A60E25"/>
    <w:rsid w:val="00A61949"/>
    <w:rsid w:val="00A6406B"/>
    <w:rsid w:val="00A64DCF"/>
    <w:rsid w:val="00A6533C"/>
    <w:rsid w:val="00A65DBF"/>
    <w:rsid w:val="00A66218"/>
    <w:rsid w:val="00A667DE"/>
    <w:rsid w:val="00A67AE3"/>
    <w:rsid w:val="00A7308D"/>
    <w:rsid w:val="00A73CCF"/>
    <w:rsid w:val="00A749AB"/>
    <w:rsid w:val="00A759D3"/>
    <w:rsid w:val="00A76257"/>
    <w:rsid w:val="00A8066C"/>
    <w:rsid w:val="00A807F0"/>
    <w:rsid w:val="00A84A78"/>
    <w:rsid w:val="00A84BE9"/>
    <w:rsid w:val="00A855F9"/>
    <w:rsid w:val="00A85D54"/>
    <w:rsid w:val="00A867D1"/>
    <w:rsid w:val="00A90B63"/>
    <w:rsid w:val="00A91455"/>
    <w:rsid w:val="00A927DC"/>
    <w:rsid w:val="00A9321C"/>
    <w:rsid w:val="00A946B8"/>
    <w:rsid w:val="00A950C4"/>
    <w:rsid w:val="00A96DF3"/>
    <w:rsid w:val="00A97591"/>
    <w:rsid w:val="00AA04CF"/>
    <w:rsid w:val="00AA3AD8"/>
    <w:rsid w:val="00AA3CB6"/>
    <w:rsid w:val="00AA4C5F"/>
    <w:rsid w:val="00AA60C0"/>
    <w:rsid w:val="00AB054D"/>
    <w:rsid w:val="00AB0E65"/>
    <w:rsid w:val="00AB225B"/>
    <w:rsid w:val="00AB2494"/>
    <w:rsid w:val="00AB3A9F"/>
    <w:rsid w:val="00AB412B"/>
    <w:rsid w:val="00AB56C1"/>
    <w:rsid w:val="00AB58C5"/>
    <w:rsid w:val="00AB5B6A"/>
    <w:rsid w:val="00AB696B"/>
    <w:rsid w:val="00AB6FF3"/>
    <w:rsid w:val="00AC05CD"/>
    <w:rsid w:val="00AC14FE"/>
    <w:rsid w:val="00AC1976"/>
    <w:rsid w:val="00AC42F9"/>
    <w:rsid w:val="00AC68DF"/>
    <w:rsid w:val="00AC7434"/>
    <w:rsid w:val="00AC75E5"/>
    <w:rsid w:val="00AD03D8"/>
    <w:rsid w:val="00AD3005"/>
    <w:rsid w:val="00AD506D"/>
    <w:rsid w:val="00AD6961"/>
    <w:rsid w:val="00AD7DEE"/>
    <w:rsid w:val="00AE0202"/>
    <w:rsid w:val="00AE1ADC"/>
    <w:rsid w:val="00AE3725"/>
    <w:rsid w:val="00AE3C4B"/>
    <w:rsid w:val="00AE4D7F"/>
    <w:rsid w:val="00AE54C1"/>
    <w:rsid w:val="00AE5AF4"/>
    <w:rsid w:val="00AE606A"/>
    <w:rsid w:val="00AE664A"/>
    <w:rsid w:val="00AE6C2A"/>
    <w:rsid w:val="00AF07D7"/>
    <w:rsid w:val="00AF1EE2"/>
    <w:rsid w:val="00AF4780"/>
    <w:rsid w:val="00AF5A16"/>
    <w:rsid w:val="00AF738F"/>
    <w:rsid w:val="00B00167"/>
    <w:rsid w:val="00B03A84"/>
    <w:rsid w:val="00B060C5"/>
    <w:rsid w:val="00B06281"/>
    <w:rsid w:val="00B076BC"/>
    <w:rsid w:val="00B07E40"/>
    <w:rsid w:val="00B07F0E"/>
    <w:rsid w:val="00B13797"/>
    <w:rsid w:val="00B15E69"/>
    <w:rsid w:val="00B20B29"/>
    <w:rsid w:val="00B20E6F"/>
    <w:rsid w:val="00B223F3"/>
    <w:rsid w:val="00B23441"/>
    <w:rsid w:val="00B235BF"/>
    <w:rsid w:val="00B23FD6"/>
    <w:rsid w:val="00B24128"/>
    <w:rsid w:val="00B26540"/>
    <w:rsid w:val="00B26BBF"/>
    <w:rsid w:val="00B27BED"/>
    <w:rsid w:val="00B302D4"/>
    <w:rsid w:val="00B30417"/>
    <w:rsid w:val="00B33068"/>
    <w:rsid w:val="00B33363"/>
    <w:rsid w:val="00B357D9"/>
    <w:rsid w:val="00B35815"/>
    <w:rsid w:val="00B358F7"/>
    <w:rsid w:val="00B36E79"/>
    <w:rsid w:val="00B37546"/>
    <w:rsid w:val="00B37AC1"/>
    <w:rsid w:val="00B40ECA"/>
    <w:rsid w:val="00B41003"/>
    <w:rsid w:val="00B413CD"/>
    <w:rsid w:val="00B421E7"/>
    <w:rsid w:val="00B4291B"/>
    <w:rsid w:val="00B43831"/>
    <w:rsid w:val="00B43A43"/>
    <w:rsid w:val="00B45DA3"/>
    <w:rsid w:val="00B4658E"/>
    <w:rsid w:val="00B4681F"/>
    <w:rsid w:val="00B47570"/>
    <w:rsid w:val="00B508E0"/>
    <w:rsid w:val="00B53850"/>
    <w:rsid w:val="00B570A7"/>
    <w:rsid w:val="00B572A5"/>
    <w:rsid w:val="00B61E76"/>
    <w:rsid w:val="00B61F2B"/>
    <w:rsid w:val="00B64545"/>
    <w:rsid w:val="00B64BE2"/>
    <w:rsid w:val="00B70635"/>
    <w:rsid w:val="00B708D9"/>
    <w:rsid w:val="00B70E69"/>
    <w:rsid w:val="00B71267"/>
    <w:rsid w:val="00B7242E"/>
    <w:rsid w:val="00B74652"/>
    <w:rsid w:val="00B747AE"/>
    <w:rsid w:val="00B74884"/>
    <w:rsid w:val="00B76E32"/>
    <w:rsid w:val="00B77A89"/>
    <w:rsid w:val="00B8048D"/>
    <w:rsid w:val="00B80872"/>
    <w:rsid w:val="00B811D0"/>
    <w:rsid w:val="00B81262"/>
    <w:rsid w:val="00B81F21"/>
    <w:rsid w:val="00B8223F"/>
    <w:rsid w:val="00B8297A"/>
    <w:rsid w:val="00B82AED"/>
    <w:rsid w:val="00B834C1"/>
    <w:rsid w:val="00B84787"/>
    <w:rsid w:val="00B84CC0"/>
    <w:rsid w:val="00B85018"/>
    <w:rsid w:val="00B8670C"/>
    <w:rsid w:val="00B8680D"/>
    <w:rsid w:val="00B876E7"/>
    <w:rsid w:val="00B877F1"/>
    <w:rsid w:val="00B87BDB"/>
    <w:rsid w:val="00B87EAE"/>
    <w:rsid w:val="00B90425"/>
    <w:rsid w:val="00B90459"/>
    <w:rsid w:val="00B91DB2"/>
    <w:rsid w:val="00B92CD5"/>
    <w:rsid w:val="00B9496E"/>
    <w:rsid w:val="00B952A7"/>
    <w:rsid w:val="00B95CF3"/>
    <w:rsid w:val="00BA0511"/>
    <w:rsid w:val="00BA0BCF"/>
    <w:rsid w:val="00BA18CD"/>
    <w:rsid w:val="00BA35E8"/>
    <w:rsid w:val="00BA573D"/>
    <w:rsid w:val="00BA5F14"/>
    <w:rsid w:val="00BA7734"/>
    <w:rsid w:val="00BB01DA"/>
    <w:rsid w:val="00BB09E5"/>
    <w:rsid w:val="00BB2627"/>
    <w:rsid w:val="00BB42F3"/>
    <w:rsid w:val="00BB4919"/>
    <w:rsid w:val="00BB4D6E"/>
    <w:rsid w:val="00BB5946"/>
    <w:rsid w:val="00BB6D10"/>
    <w:rsid w:val="00BB71F1"/>
    <w:rsid w:val="00BB7691"/>
    <w:rsid w:val="00BC0290"/>
    <w:rsid w:val="00BC1DC2"/>
    <w:rsid w:val="00BC20B6"/>
    <w:rsid w:val="00BC23F7"/>
    <w:rsid w:val="00BC26AD"/>
    <w:rsid w:val="00BC2A50"/>
    <w:rsid w:val="00BC2D6F"/>
    <w:rsid w:val="00BC2E6E"/>
    <w:rsid w:val="00BC3B39"/>
    <w:rsid w:val="00BC4109"/>
    <w:rsid w:val="00BC4CF8"/>
    <w:rsid w:val="00BC4E20"/>
    <w:rsid w:val="00BC6306"/>
    <w:rsid w:val="00BC6BFB"/>
    <w:rsid w:val="00BC74C3"/>
    <w:rsid w:val="00BD0EDE"/>
    <w:rsid w:val="00BD1A8C"/>
    <w:rsid w:val="00BD3689"/>
    <w:rsid w:val="00BD36FC"/>
    <w:rsid w:val="00BD5A04"/>
    <w:rsid w:val="00BD5B79"/>
    <w:rsid w:val="00BD6602"/>
    <w:rsid w:val="00BD76E5"/>
    <w:rsid w:val="00BE148B"/>
    <w:rsid w:val="00BE1B37"/>
    <w:rsid w:val="00BE27D0"/>
    <w:rsid w:val="00BE2F67"/>
    <w:rsid w:val="00BE3002"/>
    <w:rsid w:val="00BE3A52"/>
    <w:rsid w:val="00BE3FB8"/>
    <w:rsid w:val="00BE4E02"/>
    <w:rsid w:val="00BE52A0"/>
    <w:rsid w:val="00BE52AD"/>
    <w:rsid w:val="00BE59F1"/>
    <w:rsid w:val="00BE5E29"/>
    <w:rsid w:val="00BE614F"/>
    <w:rsid w:val="00BE6E48"/>
    <w:rsid w:val="00BF03F3"/>
    <w:rsid w:val="00BF1A7A"/>
    <w:rsid w:val="00BF2264"/>
    <w:rsid w:val="00BF268F"/>
    <w:rsid w:val="00BF2AA1"/>
    <w:rsid w:val="00BF47DA"/>
    <w:rsid w:val="00BF50C8"/>
    <w:rsid w:val="00BF57DB"/>
    <w:rsid w:val="00C00D0B"/>
    <w:rsid w:val="00C00E65"/>
    <w:rsid w:val="00C01584"/>
    <w:rsid w:val="00C043A7"/>
    <w:rsid w:val="00C04A2B"/>
    <w:rsid w:val="00C04E1D"/>
    <w:rsid w:val="00C05785"/>
    <w:rsid w:val="00C1055E"/>
    <w:rsid w:val="00C113E5"/>
    <w:rsid w:val="00C121DA"/>
    <w:rsid w:val="00C12A1E"/>
    <w:rsid w:val="00C1308F"/>
    <w:rsid w:val="00C13D49"/>
    <w:rsid w:val="00C145EC"/>
    <w:rsid w:val="00C145ED"/>
    <w:rsid w:val="00C14B8F"/>
    <w:rsid w:val="00C15181"/>
    <w:rsid w:val="00C152F2"/>
    <w:rsid w:val="00C15B84"/>
    <w:rsid w:val="00C17D43"/>
    <w:rsid w:val="00C217F0"/>
    <w:rsid w:val="00C21ACA"/>
    <w:rsid w:val="00C23966"/>
    <w:rsid w:val="00C255F7"/>
    <w:rsid w:val="00C26611"/>
    <w:rsid w:val="00C267FA"/>
    <w:rsid w:val="00C2741B"/>
    <w:rsid w:val="00C27D1A"/>
    <w:rsid w:val="00C27F98"/>
    <w:rsid w:val="00C3033C"/>
    <w:rsid w:val="00C31601"/>
    <w:rsid w:val="00C31BE2"/>
    <w:rsid w:val="00C32205"/>
    <w:rsid w:val="00C326FA"/>
    <w:rsid w:val="00C32756"/>
    <w:rsid w:val="00C33671"/>
    <w:rsid w:val="00C337C7"/>
    <w:rsid w:val="00C33DC0"/>
    <w:rsid w:val="00C340DA"/>
    <w:rsid w:val="00C343A1"/>
    <w:rsid w:val="00C34925"/>
    <w:rsid w:val="00C369E1"/>
    <w:rsid w:val="00C37877"/>
    <w:rsid w:val="00C41AFB"/>
    <w:rsid w:val="00C41C98"/>
    <w:rsid w:val="00C42D31"/>
    <w:rsid w:val="00C42DC9"/>
    <w:rsid w:val="00C4313C"/>
    <w:rsid w:val="00C43CD2"/>
    <w:rsid w:val="00C44A6D"/>
    <w:rsid w:val="00C50112"/>
    <w:rsid w:val="00C518CC"/>
    <w:rsid w:val="00C5228D"/>
    <w:rsid w:val="00C532C4"/>
    <w:rsid w:val="00C53A90"/>
    <w:rsid w:val="00C55F1E"/>
    <w:rsid w:val="00C57755"/>
    <w:rsid w:val="00C57F81"/>
    <w:rsid w:val="00C60107"/>
    <w:rsid w:val="00C608A7"/>
    <w:rsid w:val="00C626E3"/>
    <w:rsid w:val="00C62D2E"/>
    <w:rsid w:val="00C6382A"/>
    <w:rsid w:val="00C65C83"/>
    <w:rsid w:val="00C6660A"/>
    <w:rsid w:val="00C70EFA"/>
    <w:rsid w:val="00C713C1"/>
    <w:rsid w:val="00C7187A"/>
    <w:rsid w:val="00C719FC"/>
    <w:rsid w:val="00C73016"/>
    <w:rsid w:val="00C735E0"/>
    <w:rsid w:val="00C756DC"/>
    <w:rsid w:val="00C7571F"/>
    <w:rsid w:val="00C75FD3"/>
    <w:rsid w:val="00C76367"/>
    <w:rsid w:val="00C768C9"/>
    <w:rsid w:val="00C76F26"/>
    <w:rsid w:val="00C81D58"/>
    <w:rsid w:val="00C82966"/>
    <w:rsid w:val="00C83692"/>
    <w:rsid w:val="00C83CEA"/>
    <w:rsid w:val="00C83F09"/>
    <w:rsid w:val="00C8540A"/>
    <w:rsid w:val="00C872FA"/>
    <w:rsid w:val="00C900AA"/>
    <w:rsid w:val="00C90D70"/>
    <w:rsid w:val="00C911CB"/>
    <w:rsid w:val="00C92C5D"/>
    <w:rsid w:val="00C951B0"/>
    <w:rsid w:val="00C9588B"/>
    <w:rsid w:val="00C95C1D"/>
    <w:rsid w:val="00C96273"/>
    <w:rsid w:val="00C9763F"/>
    <w:rsid w:val="00CA42CB"/>
    <w:rsid w:val="00CA4AA1"/>
    <w:rsid w:val="00CA4C1A"/>
    <w:rsid w:val="00CA597A"/>
    <w:rsid w:val="00CA5F1D"/>
    <w:rsid w:val="00CA692F"/>
    <w:rsid w:val="00CA6B75"/>
    <w:rsid w:val="00CB066F"/>
    <w:rsid w:val="00CB1076"/>
    <w:rsid w:val="00CB1209"/>
    <w:rsid w:val="00CB3553"/>
    <w:rsid w:val="00CB435B"/>
    <w:rsid w:val="00CB502D"/>
    <w:rsid w:val="00CB61BE"/>
    <w:rsid w:val="00CB6677"/>
    <w:rsid w:val="00CB6A94"/>
    <w:rsid w:val="00CB7407"/>
    <w:rsid w:val="00CB75F3"/>
    <w:rsid w:val="00CC029D"/>
    <w:rsid w:val="00CC05A0"/>
    <w:rsid w:val="00CC26CA"/>
    <w:rsid w:val="00CC2D3B"/>
    <w:rsid w:val="00CC3A3A"/>
    <w:rsid w:val="00CC3A6D"/>
    <w:rsid w:val="00CC6EE5"/>
    <w:rsid w:val="00CD1029"/>
    <w:rsid w:val="00CD1554"/>
    <w:rsid w:val="00CD2C28"/>
    <w:rsid w:val="00CD3BC0"/>
    <w:rsid w:val="00CD5288"/>
    <w:rsid w:val="00CD5DF2"/>
    <w:rsid w:val="00CD7017"/>
    <w:rsid w:val="00CE1380"/>
    <w:rsid w:val="00CE1655"/>
    <w:rsid w:val="00CE1A87"/>
    <w:rsid w:val="00CE1CBB"/>
    <w:rsid w:val="00CE1EEE"/>
    <w:rsid w:val="00CE5318"/>
    <w:rsid w:val="00CE5F9F"/>
    <w:rsid w:val="00CE6420"/>
    <w:rsid w:val="00CE6771"/>
    <w:rsid w:val="00CE72BC"/>
    <w:rsid w:val="00CE7BD2"/>
    <w:rsid w:val="00CF10A0"/>
    <w:rsid w:val="00CF2CEA"/>
    <w:rsid w:val="00CF39AF"/>
    <w:rsid w:val="00CF3DC9"/>
    <w:rsid w:val="00CF4125"/>
    <w:rsid w:val="00CF436B"/>
    <w:rsid w:val="00CF437B"/>
    <w:rsid w:val="00CF549D"/>
    <w:rsid w:val="00CF6A92"/>
    <w:rsid w:val="00CF78FA"/>
    <w:rsid w:val="00CF7986"/>
    <w:rsid w:val="00CF7B1E"/>
    <w:rsid w:val="00CF7C45"/>
    <w:rsid w:val="00D00B2E"/>
    <w:rsid w:val="00D01434"/>
    <w:rsid w:val="00D02345"/>
    <w:rsid w:val="00D03A84"/>
    <w:rsid w:val="00D04273"/>
    <w:rsid w:val="00D046EE"/>
    <w:rsid w:val="00D07676"/>
    <w:rsid w:val="00D10781"/>
    <w:rsid w:val="00D122A7"/>
    <w:rsid w:val="00D134A6"/>
    <w:rsid w:val="00D13F33"/>
    <w:rsid w:val="00D14140"/>
    <w:rsid w:val="00D1547C"/>
    <w:rsid w:val="00D16D38"/>
    <w:rsid w:val="00D21626"/>
    <w:rsid w:val="00D23F31"/>
    <w:rsid w:val="00D2485C"/>
    <w:rsid w:val="00D249B2"/>
    <w:rsid w:val="00D26CB1"/>
    <w:rsid w:val="00D272A0"/>
    <w:rsid w:val="00D30E24"/>
    <w:rsid w:val="00D30FD9"/>
    <w:rsid w:val="00D327A3"/>
    <w:rsid w:val="00D34ED9"/>
    <w:rsid w:val="00D4033F"/>
    <w:rsid w:val="00D40404"/>
    <w:rsid w:val="00D43A15"/>
    <w:rsid w:val="00D43DBC"/>
    <w:rsid w:val="00D4504D"/>
    <w:rsid w:val="00D461A6"/>
    <w:rsid w:val="00D505B9"/>
    <w:rsid w:val="00D527DB"/>
    <w:rsid w:val="00D53ADC"/>
    <w:rsid w:val="00D54AFC"/>
    <w:rsid w:val="00D558F7"/>
    <w:rsid w:val="00D55C8E"/>
    <w:rsid w:val="00D612BF"/>
    <w:rsid w:val="00D61704"/>
    <w:rsid w:val="00D62FE1"/>
    <w:rsid w:val="00D63669"/>
    <w:rsid w:val="00D646D8"/>
    <w:rsid w:val="00D64B4F"/>
    <w:rsid w:val="00D64BE5"/>
    <w:rsid w:val="00D65271"/>
    <w:rsid w:val="00D65E75"/>
    <w:rsid w:val="00D667E0"/>
    <w:rsid w:val="00D675D8"/>
    <w:rsid w:val="00D707F3"/>
    <w:rsid w:val="00D7260D"/>
    <w:rsid w:val="00D72643"/>
    <w:rsid w:val="00D73F2C"/>
    <w:rsid w:val="00D75017"/>
    <w:rsid w:val="00D76614"/>
    <w:rsid w:val="00D76E3D"/>
    <w:rsid w:val="00D800C6"/>
    <w:rsid w:val="00D80B58"/>
    <w:rsid w:val="00D8266E"/>
    <w:rsid w:val="00D82B4A"/>
    <w:rsid w:val="00D82B4F"/>
    <w:rsid w:val="00D82C44"/>
    <w:rsid w:val="00D83585"/>
    <w:rsid w:val="00D842DA"/>
    <w:rsid w:val="00D84B22"/>
    <w:rsid w:val="00D85EE1"/>
    <w:rsid w:val="00D90E04"/>
    <w:rsid w:val="00D91D55"/>
    <w:rsid w:val="00D92D4D"/>
    <w:rsid w:val="00D9302F"/>
    <w:rsid w:val="00D9315B"/>
    <w:rsid w:val="00D9377D"/>
    <w:rsid w:val="00D93BF0"/>
    <w:rsid w:val="00D93D02"/>
    <w:rsid w:val="00D94B5A"/>
    <w:rsid w:val="00D95F9A"/>
    <w:rsid w:val="00DA0E38"/>
    <w:rsid w:val="00DA14D3"/>
    <w:rsid w:val="00DA2592"/>
    <w:rsid w:val="00DA2AAF"/>
    <w:rsid w:val="00DA2EC3"/>
    <w:rsid w:val="00DA376E"/>
    <w:rsid w:val="00DA4995"/>
    <w:rsid w:val="00DA4D8F"/>
    <w:rsid w:val="00DB0BDA"/>
    <w:rsid w:val="00DB110C"/>
    <w:rsid w:val="00DB2217"/>
    <w:rsid w:val="00DB2343"/>
    <w:rsid w:val="00DB7C88"/>
    <w:rsid w:val="00DB7F8D"/>
    <w:rsid w:val="00DC1F34"/>
    <w:rsid w:val="00DC1FC4"/>
    <w:rsid w:val="00DC2401"/>
    <w:rsid w:val="00DC283B"/>
    <w:rsid w:val="00DC40F6"/>
    <w:rsid w:val="00DC5F35"/>
    <w:rsid w:val="00DC650E"/>
    <w:rsid w:val="00DC7217"/>
    <w:rsid w:val="00DD2021"/>
    <w:rsid w:val="00DD2B3E"/>
    <w:rsid w:val="00DD5DCD"/>
    <w:rsid w:val="00DD6C3B"/>
    <w:rsid w:val="00DE0AF8"/>
    <w:rsid w:val="00DE1323"/>
    <w:rsid w:val="00DE1DD5"/>
    <w:rsid w:val="00DE30C0"/>
    <w:rsid w:val="00DE3552"/>
    <w:rsid w:val="00DE3DC7"/>
    <w:rsid w:val="00DE43CD"/>
    <w:rsid w:val="00DE45B9"/>
    <w:rsid w:val="00DE4B32"/>
    <w:rsid w:val="00DE572F"/>
    <w:rsid w:val="00DE6174"/>
    <w:rsid w:val="00DE633B"/>
    <w:rsid w:val="00DF0880"/>
    <w:rsid w:val="00DF1636"/>
    <w:rsid w:val="00DF3900"/>
    <w:rsid w:val="00DF4831"/>
    <w:rsid w:val="00DF5387"/>
    <w:rsid w:val="00DF5408"/>
    <w:rsid w:val="00DF57DE"/>
    <w:rsid w:val="00DF659F"/>
    <w:rsid w:val="00DF7001"/>
    <w:rsid w:val="00E00415"/>
    <w:rsid w:val="00E00734"/>
    <w:rsid w:val="00E0112A"/>
    <w:rsid w:val="00E01C55"/>
    <w:rsid w:val="00E030D9"/>
    <w:rsid w:val="00E03E37"/>
    <w:rsid w:val="00E049FA"/>
    <w:rsid w:val="00E05811"/>
    <w:rsid w:val="00E078A2"/>
    <w:rsid w:val="00E1060F"/>
    <w:rsid w:val="00E1113C"/>
    <w:rsid w:val="00E11604"/>
    <w:rsid w:val="00E11D42"/>
    <w:rsid w:val="00E124B4"/>
    <w:rsid w:val="00E12BD2"/>
    <w:rsid w:val="00E1320B"/>
    <w:rsid w:val="00E134A7"/>
    <w:rsid w:val="00E14C49"/>
    <w:rsid w:val="00E14E11"/>
    <w:rsid w:val="00E15899"/>
    <w:rsid w:val="00E16057"/>
    <w:rsid w:val="00E16ABE"/>
    <w:rsid w:val="00E20BC5"/>
    <w:rsid w:val="00E21631"/>
    <w:rsid w:val="00E2277F"/>
    <w:rsid w:val="00E22B29"/>
    <w:rsid w:val="00E22DA0"/>
    <w:rsid w:val="00E259C7"/>
    <w:rsid w:val="00E262CD"/>
    <w:rsid w:val="00E26E48"/>
    <w:rsid w:val="00E30117"/>
    <w:rsid w:val="00E312B1"/>
    <w:rsid w:val="00E32B2A"/>
    <w:rsid w:val="00E356A2"/>
    <w:rsid w:val="00E35D52"/>
    <w:rsid w:val="00E40022"/>
    <w:rsid w:val="00E41176"/>
    <w:rsid w:val="00E423EC"/>
    <w:rsid w:val="00E4256F"/>
    <w:rsid w:val="00E431B2"/>
    <w:rsid w:val="00E44AA4"/>
    <w:rsid w:val="00E45E6C"/>
    <w:rsid w:val="00E45F64"/>
    <w:rsid w:val="00E4643B"/>
    <w:rsid w:val="00E46B2D"/>
    <w:rsid w:val="00E50229"/>
    <w:rsid w:val="00E506F7"/>
    <w:rsid w:val="00E50764"/>
    <w:rsid w:val="00E50DB2"/>
    <w:rsid w:val="00E51F81"/>
    <w:rsid w:val="00E527AC"/>
    <w:rsid w:val="00E53C2F"/>
    <w:rsid w:val="00E53FB1"/>
    <w:rsid w:val="00E55E0C"/>
    <w:rsid w:val="00E57365"/>
    <w:rsid w:val="00E603D6"/>
    <w:rsid w:val="00E60972"/>
    <w:rsid w:val="00E60C5A"/>
    <w:rsid w:val="00E61B96"/>
    <w:rsid w:val="00E63C57"/>
    <w:rsid w:val="00E64C08"/>
    <w:rsid w:val="00E66AC5"/>
    <w:rsid w:val="00E67C48"/>
    <w:rsid w:val="00E71561"/>
    <w:rsid w:val="00E718F4"/>
    <w:rsid w:val="00E739E8"/>
    <w:rsid w:val="00E74DA3"/>
    <w:rsid w:val="00E75B6A"/>
    <w:rsid w:val="00E81181"/>
    <w:rsid w:val="00E82496"/>
    <w:rsid w:val="00E82E02"/>
    <w:rsid w:val="00E82E22"/>
    <w:rsid w:val="00E83192"/>
    <w:rsid w:val="00E84EC2"/>
    <w:rsid w:val="00E862E1"/>
    <w:rsid w:val="00E8649B"/>
    <w:rsid w:val="00E86DF9"/>
    <w:rsid w:val="00E87502"/>
    <w:rsid w:val="00E90EAE"/>
    <w:rsid w:val="00E91014"/>
    <w:rsid w:val="00E9199F"/>
    <w:rsid w:val="00E925BF"/>
    <w:rsid w:val="00E92A17"/>
    <w:rsid w:val="00E92CEB"/>
    <w:rsid w:val="00E93882"/>
    <w:rsid w:val="00E9697F"/>
    <w:rsid w:val="00E97251"/>
    <w:rsid w:val="00E9731E"/>
    <w:rsid w:val="00EA05B9"/>
    <w:rsid w:val="00EA0CBB"/>
    <w:rsid w:val="00EA141E"/>
    <w:rsid w:val="00EA2730"/>
    <w:rsid w:val="00EA2C7F"/>
    <w:rsid w:val="00EA2CF3"/>
    <w:rsid w:val="00EA4D8F"/>
    <w:rsid w:val="00EA5DC8"/>
    <w:rsid w:val="00EA6315"/>
    <w:rsid w:val="00EA6585"/>
    <w:rsid w:val="00EA658A"/>
    <w:rsid w:val="00EA6779"/>
    <w:rsid w:val="00EA6DCC"/>
    <w:rsid w:val="00EB0A51"/>
    <w:rsid w:val="00EB71C1"/>
    <w:rsid w:val="00EB765B"/>
    <w:rsid w:val="00EC2A0A"/>
    <w:rsid w:val="00EC6162"/>
    <w:rsid w:val="00EC638F"/>
    <w:rsid w:val="00EC66EE"/>
    <w:rsid w:val="00ED06FF"/>
    <w:rsid w:val="00ED106B"/>
    <w:rsid w:val="00ED1D89"/>
    <w:rsid w:val="00ED20D0"/>
    <w:rsid w:val="00ED2620"/>
    <w:rsid w:val="00ED4B89"/>
    <w:rsid w:val="00ED578F"/>
    <w:rsid w:val="00ED5CFE"/>
    <w:rsid w:val="00ED623A"/>
    <w:rsid w:val="00ED6905"/>
    <w:rsid w:val="00ED730F"/>
    <w:rsid w:val="00ED764C"/>
    <w:rsid w:val="00EE1EFA"/>
    <w:rsid w:val="00EE20E5"/>
    <w:rsid w:val="00EE2253"/>
    <w:rsid w:val="00EE4329"/>
    <w:rsid w:val="00EE45AD"/>
    <w:rsid w:val="00EE5B19"/>
    <w:rsid w:val="00EE72B5"/>
    <w:rsid w:val="00EE75FD"/>
    <w:rsid w:val="00EF06E9"/>
    <w:rsid w:val="00EF071F"/>
    <w:rsid w:val="00EF0C63"/>
    <w:rsid w:val="00EF1253"/>
    <w:rsid w:val="00EF28B6"/>
    <w:rsid w:val="00EF37CD"/>
    <w:rsid w:val="00EF3932"/>
    <w:rsid w:val="00EF4104"/>
    <w:rsid w:val="00EF43EF"/>
    <w:rsid w:val="00EF62AD"/>
    <w:rsid w:val="00EF6BF6"/>
    <w:rsid w:val="00F00578"/>
    <w:rsid w:val="00F01785"/>
    <w:rsid w:val="00F01CE7"/>
    <w:rsid w:val="00F035F0"/>
    <w:rsid w:val="00F03F6A"/>
    <w:rsid w:val="00F069E8"/>
    <w:rsid w:val="00F105BC"/>
    <w:rsid w:val="00F12279"/>
    <w:rsid w:val="00F12D53"/>
    <w:rsid w:val="00F12FD6"/>
    <w:rsid w:val="00F13C62"/>
    <w:rsid w:val="00F13D6F"/>
    <w:rsid w:val="00F16B0A"/>
    <w:rsid w:val="00F20121"/>
    <w:rsid w:val="00F20B68"/>
    <w:rsid w:val="00F219A9"/>
    <w:rsid w:val="00F225A3"/>
    <w:rsid w:val="00F22C4C"/>
    <w:rsid w:val="00F23CC6"/>
    <w:rsid w:val="00F24484"/>
    <w:rsid w:val="00F2468E"/>
    <w:rsid w:val="00F25AF8"/>
    <w:rsid w:val="00F273B0"/>
    <w:rsid w:val="00F30842"/>
    <w:rsid w:val="00F30E45"/>
    <w:rsid w:val="00F31242"/>
    <w:rsid w:val="00F320C1"/>
    <w:rsid w:val="00F32D19"/>
    <w:rsid w:val="00F33E63"/>
    <w:rsid w:val="00F34F69"/>
    <w:rsid w:val="00F3632A"/>
    <w:rsid w:val="00F36564"/>
    <w:rsid w:val="00F366C8"/>
    <w:rsid w:val="00F3738D"/>
    <w:rsid w:val="00F4127D"/>
    <w:rsid w:val="00F435CA"/>
    <w:rsid w:val="00F50541"/>
    <w:rsid w:val="00F50871"/>
    <w:rsid w:val="00F51998"/>
    <w:rsid w:val="00F51AFC"/>
    <w:rsid w:val="00F51DEA"/>
    <w:rsid w:val="00F5347D"/>
    <w:rsid w:val="00F53C02"/>
    <w:rsid w:val="00F55DBC"/>
    <w:rsid w:val="00F55FDB"/>
    <w:rsid w:val="00F575D4"/>
    <w:rsid w:val="00F579B8"/>
    <w:rsid w:val="00F604C3"/>
    <w:rsid w:val="00F604F9"/>
    <w:rsid w:val="00F60D35"/>
    <w:rsid w:val="00F622BD"/>
    <w:rsid w:val="00F63149"/>
    <w:rsid w:val="00F639DF"/>
    <w:rsid w:val="00F64109"/>
    <w:rsid w:val="00F647A1"/>
    <w:rsid w:val="00F64CB6"/>
    <w:rsid w:val="00F65083"/>
    <w:rsid w:val="00F65AE3"/>
    <w:rsid w:val="00F6630D"/>
    <w:rsid w:val="00F66561"/>
    <w:rsid w:val="00F665A4"/>
    <w:rsid w:val="00F67E81"/>
    <w:rsid w:val="00F715F3"/>
    <w:rsid w:val="00F71B8E"/>
    <w:rsid w:val="00F73D5D"/>
    <w:rsid w:val="00F75A64"/>
    <w:rsid w:val="00F75C25"/>
    <w:rsid w:val="00F7617C"/>
    <w:rsid w:val="00F76AE6"/>
    <w:rsid w:val="00F77E15"/>
    <w:rsid w:val="00F8054C"/>
    <w:rsid w:val="00F80DE6"/>
    <w:rsid w:val="00F81530"/>
    <w:rsid w:val="00F81B2D"/>
    <w:rsid w:val="00F82600"/>
    <w:rsid w:val="00F83EBA"/>
    <w:rsid w:val="00F8434A"/>
    <w:rsid w:val="00F8439B"/>
    <w:rsid w:val="00F87C26"/>
    <w:rsid w:val="00F90BD3"/>
    <w:rsid w:val="00F90C54"/>
    <w:rsid w:val="00F90E4B"/>
    <w:rsid w:val="00F91C6F"/>
    <w:rsid w:val="00F9271D"/>
    <w:rsid w:val="00F93339"/>
    <w:rsid w:val="00F94C8C"/>
    <w:rsid w:val="00F94C8F"/>
    <w:rsid w:val="00F97CDF"/>
    <w:rsid w:val="00FA0582"/>
    <w:rsid w:val="00FA1A6A"/>
    <w:rsid w:val="00FA345F"/>
    <w:rsid w:val="00FB052B"/>
    <w:rsid w:val="00FB1A21"/>
    <w:rsid w:val="00FB278A"/>
    <w:rsid w:val="00FB54EA"/>
    <w:rsid w:val="00FB7CF5"/>
    <w:rsid w:val="00FC0171"/>
    <w:rsid w:val="00FC09D0"/>
    <w:rsid w:val="00FC1102"/>
    <w:rsid w:val="00FC1B08"/>
    <w:rsid w:val="00FC2C30"/>
    <w:rsid w:val="00FC4E70"/>
    <w:rsid w:val="00FC5852"/>
    <w:rsid w:val="00FC5FE5"/>
    <w:rsid w:val="00FC63A0"/>
    <w:rsid w:val="00FC6412"/>
    <w:rsid w:val="00FD05DA"/>
    <w:rsid w:val="00FD093E"/>
    <w:rsid w:val="00FD0F9E"/>
    <w:rsid w:val="00FD120F"/>
    <w:rsid w:val="00FD308F"/>
    <w:rsid w:val="00FD3900"/>
    <w:rsid w:val="00FD390E"/>
    <w:rsid w:val="00FD51C0"/>
    <w:rsid w:val="00FD5202"/>
    <w:rsid w:val="00FD5E55"/>
    <w:rsid w:val="00FD6266"/>
    <w:rsid w:val="00FD67B1"/>
    <w:rsid w:val="00FD69B6"/>
    <w:rsid w:val="00FD6EC1"/>
    <w:rsid w:val="00FE04C4"/>
    <w:rsid w:val="00FE05E3"/>
    <w:rsid w:val="00FE1204"/>
    <w:rsid w:val="00FE209E"/>
    <w:rsid w:val="00FE4D67"/>
    <w:rsid w:val="00FE4E2C"/>
    <w:rsid w:val="00FE5162"/>
    <w:rsid w:val="00FE6DCE"/>
    <w:rsid w:val="00FE786B"/>
    <w:rsid w:val="00FE7C8E"/>
    <w:rsid w:val="00FF14AA"/>
    <w:rsid w:val="00FF2AB2"/>
    <w:rsid w:val="00FF3C17"/>
    <w:rsid w:val="00FF613D"/>
    <w:rsid w:val="00FF62E8"/>
    <w:rsid w:val="00FF71EA"/>
    <w:rsid w:val="00FF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325D71"/>
  <w15:docId w15:val="{FC1E3854-4032-4866-B5E5-8503EE4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2D19"/>
    <w:rPr>
      <w:rFonts w:ascii="Arial" w:hAnsi="Arial"/>
      <w:sz w:val="22"/>
    </w:rPr>
  </w:style>
  <w:style w:type="paragraph" w:styleId="Heading1">
    <w:name w:val="heading 1"/>
    <w:next w:val="Normal"/>
    <w:link w:val="Heading1Char"/>
    <w:uiPriority w:val="9"/>
    <w:qFormat/>
    <w:rsid w:val="00D65E75"/>
    <w:pPr>
      <w:numPr>
        <w:numId w:val="1"/>
      </w:numPr>
      <w:ind w:left="720"/>
      <w:outlineLvl w:val="0"/>
    </w:pPr>
    <w:rPr>
      <w:rFonts w:ascii="Arial" w:hAnsi="Arial" w:cs="Arial"/>
      <w:b/>
      <w:color w:val="000000"/>
      <w:sz w:val="22"/>
      <w:szCs w:val="22"/>
    </w:rPr>
  </w:style>
  <w:style w:type="paragraph" w:styleId="Heading2">
    <w:name w:val="heading 2"/>
    <w:next w:val="Normal"/>
    <w:link w:val="Heading2Char"/>
    <w:uiPriority w:val="9"/>
    <w:unhideWhenUsed/>
    <w:qFormat/>
    <w:rsid w:val="00D65E75"/>
    <w:pPr>
      <w:numPr>
        <w:numId w:val="83"/>
      </w:numPr>
      <w:outlineLvl w:val="1"/>
    </w:pPr>
    <w:rPr>
      <w:rFonts w:ascii="Arial" w:hAnsi="Arial" w:cs="Arial"/>
      <w:b/>
      <w:color w:val="000000"/>
      <w:sz w:val="22"/>
      <w:szCs w:val="22"/>
    </w:rPr>
  </w:style>
  <w:style w:type="paragraph" w:styleId="Heading3">
    <w:name w:val="heading 3"/>
    <w:basedOn w:val="Normal"/>
    <w:next w:val="Normal"/>
    <w:link w:val="Heading3Char"/>
    <w:uiPriority w:val="9"/>
    <w:unhideWhenUsed/>
    <w:qFormat/>
    <w:rsid w:val="00F320C1"/>
    <w:pPr>
      <w:keepNext/>
      <w:keepLines/>
      <w:ind w:left="144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C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C626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721378"/>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00BulletinTitle00Heads">
    <w:name w:val="00 Bulletin Title (00 Heads)"/>
    <w:basedOn w:val="NoParagraphStyle"/>
    <w:uiPriority w:val="99"/>
    <w:rsid w:val="00721378"/>
    <w:pPr>
      <w:keepNext/>
      <w:suppressAutoHyphens/>
      <w:spacing w:after="310" w:line="540" w:lineRule="atLeast"/>
    </w:pPr>
    <w:rPr>
      <w:rFonts w:ascii="MyriadPro-SemiboldSemiCn" w:hAnsi="MyriadPro-SemiboldSemiCn" w:cs="MyriadPro-SemiboldSemiCn"/>
      <w:sz w:val="52"/>
      <w:szCs w:val="52"/>
    </w:rPr>
  </w:style>
  <w:style w:type="paragraph" w:customStyle="1" w:styleId="00BulletinAuthor00Heads">
    <w:name w:val="00 Bulletin Author (00 Heads)"/>
    <w:basedOn w:val="NoParagraphStyle"/>
    <w:next w:val="NoParagraphStyle"/>
    <w:uiPriority w:val="99"/>
    <w:rsid w:val="00721378"/>
    <w:pPr>
      <w:spacing w:after="540" w:line="270" w:lineRule="atLeast"/>
    </w:pPr>
    <w:rPr>
      <w:rFonts w:ascii="MyriadPro-SemiboldSemiCn" w:hAnsi="MyriadPro-SemiboldSemiCn" w:cs="MyriadPro-SemiboldSemiCn"/>
    </w:rPr>
  </w:style>
  <w:style w:type="paragraph" w:customStyle="1" w:styleId="00ToCAhead00Heads">
    <w:name w:val="00 ToC A head (00 Heads)"/>
    <w:basedOn w:val="NoParagraphStyle"/>
    <w:uiPriority w:val="99"/>
    <w:rsid w:val="00721378"/>
    <w:pPr>
      <w:suppressAutoHyphens/>
      <w:spacing w:after="60" w:line="270" w:lineRule="atLeast"/>
    </w:pPr>
    <w:rPr>
      <w:rFonts w:ascii="MyriadPro-SemiboldSemiCn" w:hAnsi="MyriadPro-SemiboldSemiCn" w:cs="MyriadPro-SemiboldSemiCn"/>
      <w:sz w:val="20"/>
      <w:szCs w:val="20"/>
    </w:rPr>
  </w:style>
  <w:style w:type="paragraph" w:customStyle="1" w:styleId="00ToCBhead00Heads">
    <w:name w:val="00 ToC B head (00 Heads)"/>
    <w:basedOn w:val="00ToCAhead00Heads"/>
    <w:uiPriority w:val="99"/>
    <w:rsid w:val="00721378"/>
    <w:pPr>
      <w:spacing w:after="40"/>
      <w:ind w:left="200"/>
    </w:pPr>
    <w:rPr>
      <w:rFonts w:ascii="MyriadPro-SemiCn" w:hAnsi="MyriadPro-SemiCn" w:cs="MyriadPro-SemiCn"/>
    </w:rPr>
  </w:style>
  <w:style w:type="paragraph" w:customStyle="1" w:styleId="00ToCChead00Heads">
    <w:name w:val="00 ToC C head (00 Heads)"/>
    <w:basedOn w:val="00ToCBhead00Heads"/>
    <w:uiPriority w:val="99"/>
    <w:rsid w:val="00721378"/>
    <w:pPr>
      <w:spacing w:after="20"/>
      <w:ind w:left="400"/>
    </w:pPr>
    <w:rPr>
      <w:rFonts w:ascii="MyriadPro-SemiCnIt" w:hAnsi="MyriadPro-SemiCnIt" w:cs="MyriadPro-SemiCnIt"/>
      <w:i/>
      <w:iCs/>
    </w:rPr>
  </w:style>
  <w:style w:type="paragraph" w:customStyle="1" w:styleId="01BTindentparent01BTstyles">
    <w:name w:val="01 BT  indent (parent) (01 BT styles)"/>
    <w:basedOn w:val="NoParagraphStyle"/>
    <w:uiPriority w:val="99"/>
    <w:rsid w:val="00721378"/>
    <w:pPr>
      <w:spacing w:line="270" w:lineRule="atLeast"/>
      <w:ind w:firstLine="240"/>
    </w:pPr>
    <w:rPr>
      <w:rFonts w:ascii="WarnockPro-Regular" w:hAnsi="WarnockPro-Regular" w:cs="WarnockPro-Regular"/>
      <w:sz w:val="22"/>
      <w:szCs w:val="22"/>
    </w:rPr>
  </w:style>
  <w:style w:type="paragraph" w:customStyle="1" w:styleId="00Ahead1-line00Heads">
    <w:name w:val="00 A head 1-line (00 Heads)"/>
    <w:basedOn w:val="01BTindentparent01BTstyles"/>
    <w:uiPriority w:val="99"/>
    <w:rsid w:val="00721378"/>
    <w:pPr>
      <w:keepNext/>
      <w:suppressAutoHyphens/>
      <w:spacing w:before="760" w:line="320" w:lineRule="atLeast"/>
      <w:ind w:firstLine="0"/>
    </w:pPr>
    <w:rPr>
      <w:rFonts w:ascii="MyriadPro-SemiboldSemiCn" w:hAnsi="MyriadPro-SemiboldSemiCn" w:cs="MyriadPro-SemiboldSemiCn"/>
      <w:sz w:val="26"/>
      <w:szCs w:val="26"/>
    </w:rPr>
  </w:style>
  <w:style w:type="paragraph" w:customStyle="1" w:styleId="01BTnoindent01BTstyles">
    <w:name w:val="01 BT  no indent (01 BT styles)"/>
    <w:basedOn w:val="01BTindentparent01BTstyles"/>
    <w:uiPriority w:val="99"/>
    <w:rsid w:val="00721378"/>
    <w:pPr>
      <w:ind w:firstLine="0"/>
    </w:pPr>
  </w:style>
  <w:style w:type="paragraph" w:customStyle="1" w:styleId="00Bhead00Heads">
    <w:name w:val="00 B head (00 Heads)"/>
    <w:basedOn w:val="01BTindentparent01BTstyles"/>
    <w:next w:val="NoParagraphStyle"/>
    <w:uiPriority w:val="99"/>
    <w:rsid w:val="00721378"/>
    <w:pPr>
      <w:keepNext/>
      <w:suppressAutoHyphens/>
      <w:spacing w:before="270"/>
      <w:ind w:firstLine="0"/>
    </w:pPr>
    <w:rPr>
      <w:rFonts w:ascii="MyriadPro-SemiboldSemiCn" w:hAnsi="MyriadPro-SemiboldSemiCn" w:cs="MyriadPro-SemiboldSemiCn"/>
    </w:rPr>
  </w:style>
  <w:style w:type="paragraph" w:customStyle="1" w:styleId="01BTnoindentbefore01BTstyles">
    <w:name w:val="01 BT  no indent before (01 BT styles)"/>
    <w:basedOn w:val="01BTindentparent01BTstyles"/>
    <w:uiPriority w:val="99"/>
    <w:rsid w:val="00721378"/>
    <w:pPr>
      <w:spacing w:after="130"/>
      <w:ind w:firstLine="0"/>
    </w:pPr>
  </w:style>
  <w:style w:type="paragraph" w:customStyle="1" w:styleId="01BTbulletlist01BTstyles">
    <w:name w:val="01 BT bullet list (01 BT styles)"/>
    <w:basedOn w:val="01BTindentparent01BTstyles"/>
    <w:uiPriority w:val="99"/>
    <w:rsid w:val="00721378"/>
    <w:pPr>
      <w:tabs>
        <w:tab w:val="left" w:pos="440"/>
      </w:tabs>
      <w:suppressAutoHyphens/>
      <w:ind w:left="440" w:hanging="200"/>
    </w:pPr>
  </w:style>
  <w:style w:type="paragraph" w:customStyle="1" w:styleId="01BTindentbefore01BTstyles">
    <w:name w:val="01 BT  indent before (01 BT styles)"/>
    <w:basedOn w:val="01BTindentparent01BTstyles"/>
    <w:uiPriority w:val="99"/>
    <w:rsid w:val="00721378"/>
    <w:pPr>
      <w:spacing w:after="130"/>
    </w:pPr>
  </w:style>
  <w:style w:type="paragraph" w:customStyle="1" w:styleId="01BTextractnoindent01BTstyles">
    <w:name w:val="01 BT extract no indent (01 BT styles)"/>
    <w:basedOn w:val="01BTindentparent01BTstyles"/>
    <w:uiPriority w:val="99"/>
    <w:rsid w:val="00721378"/>
    <w:pPr>
      <w:ind w:left="720" w:right="720" w:firstLine="0"/>
    </w:pPr>
  </w:style>
  <w:style w:type="paragraph" w:customStyle="1" w:styleId="01BTnoindentafter01BTstyles">
    <w:name w:val="01 BT  no indent after (01 BT styles)"/>
    <w:basedOn w:val="01BTindentparent01BTstyles"/>
    <w:uiPriority w:val="99"/>
    <w:rsid w:val="00721378"/>
    <w:pPr>
      <w:spacing w:before="130"/>
      <w:ind w:firstLine="0"/>
    </w:pPr>
  </w:style>
  <w:style w:type="paragraph" w:customStyle="1" w:styleId="01BTindentafter01BTstyles">
    <w:name w:val="01 BT  indent after (01 BT styles)"/>
    <w:basedOn w:val="01BTindentparent01BTstyles"/>
    <w:uiPriority w:val="99"/>
    <w:rsid w:val="00721378"/>
    <w:pPr>
      <w:spacing w:before="140"/>
    </w:pPr>
  </w:style>
  <w:style w:type="paragraph" w:customStyle="1" w:styleId="00Chead00Heads">
    <w:name w:val="00 C head (00 Heads)"/>
    <w:basedOn w:val="01BTindentparent01BTstyles"/>
    <w:uiPriority w:val="99"/>
    <w:rsid w:val="00721378"/>
    <w:pPr>
      <w:keepNext/>
      <w:suppressAutoHyphens/>
      <w:spacing w:before="270"/>
      <w:ind w:firstLine="0"/>
    </w:pPr>
    <w:rPr>
      <w:rFonts w:ascii="MyriadPro-SemiboldSemiCnIt" w:hAnsi="MyriadPro-SemiboldSemiCnIt" w:cs="MyriadPro-SemiboldSemiCnIt"/>
      <w:i/>
      <w:iCs/>
      <w:sz w:val="21"/>
      <w:szCs w:val="21"/>
    </w:rPr>
  </w:style>
  <w:style w:type="paragraph" w:customStyle="1" w:styleId="00BheadafterAhead00Heads">
    <w:name w:val="00 B head after A head (00 Heads)"/>
    <w:basedOn w:val="01BTindentparent01BTstyles"/>
    <w:next w:val="NoParagraphStyle"/>
    <w:uiPriority w:val="99"/>
    <w:rsid w:val="00721378"/>
    <w:pPr>
      <w:keepNext/>
      <w:suppressAutoHyphens/>
      <w:ind w:firstLine="0"/>
    </w:pPr>
    <w:rPr>
      <w:rFonts w:ascii="MyriadPro-SemiboldSemiCn" w:hAnsi="MyriadPro-SemiboldSemiCn" w:cs="MyriadPro-SemiboldSemiCn"/>
    </w:rPr>
  </w:style>
  <w:style w:type="paragraph" w:customStyle="1" w:styleId="01FN01BTstyles">
    <w:name w:val="01 FN (01 BT styles)"/>
    <w:basedOn w:val="01BTindentparent01BTstyles"/>
    <w:uiPriority w:val="99"/>
    <w:rsid w:val="00721378"/>
    <w:pPr>
      <w:spacing w:line="240" w:lineRule="atLeast"/>
    </w:pPr>
    <w:rPr>
      <w:sz w:val="20"/>
      <w:szCs w:val="20"/>
    </w:rPr>
  </w:style>
  <w:style w:type="paragraph" w:customStyle="1" w:styleId="01FNauthor01BTstyles">
    <w:name w:val="01 FN author (01 BT styles)"/>
    <w:basedOn w:val="01FN01BTstyles"/>
    <w:uiPriority w:val="99"/>
    <w:rsid w:val="00721378"/>
    <w:pPr>
      <w:ind w:firstLine="0"/>
    </w:pPr>
  </w:style>
  <w:style w:type="paragraph" w:customStyle="1" w:styleId="02TableTitle02TablesandFigures">
    <w:name w:val="02 Table Title (02 Tables and Figures)"/>
    <w:basedOn w:val="00Bhead00Heads"/>
    <w:uiPriority w:val="99"/>
    <w:rsid w:val="00721378"/>
    <w:pPr>
      <w:pBdr>
        <w:bottom w:val="single" w:sz="8" w:space="4" w:color="auto"/>
      </w:pBdr>
      <w:spacing w:before="0" w:after="80" w:line="240" w:lineRule="atLeast"/>
    </w:pPr>
    <w:rPr>
      <w:b/>
      <w:bCs/>
      <w:sz w:val="20"/>
      <w:szCs w:val="20"/>
    </w:rPr>
  </w:style>
  <w:style w:type="character" w:customStyle="1" w:styleId="italic">
    <w:name w:val="italic"/>
    <w:uiPriority w:val="99"/>
    <w:rsid w:val="00721378"/>
    <w:rPr>
      <w:i/>
      <w:iCs/>
    </w:rPr>
  </w:style>
  <w:style w:type="character" w:customStyle="1" w:styleId="00BTitalic">
    <w:name w:val="00 BT italic"/>
    <w:uiPriority w:val="99"/>
    <w:rsid w:val="00721378"/>
    <w:rPr>
      <w:rFonts w:ascii="WarnockPro-It" w:hAnsi="WarnockPro-It" w:cs="WarnockPro-It"/>
      <w:i/>
      <w:iCs/>
    </w:rPr>
  </w:style>
  <w:style w:type="character" w:customStyle="1" w:styleId="00BTfootnotecallout">
    <w:name w:val="00 BT footnote callout"/>
    <w:uiPriority w:val="99"/>
    <w:rsid w:val="00721378"/>
    <w:rPr>
      <w:rFonts w:ascii="WarnockPro-Regular" w:hAnsi="WarnockPro-Regular" w:cs="WarnockPro-Regular"/>
      <w:color w:val="000000"/>
      <w:spacing w:val="0"/>
      <w:w w:val="100"/>
      <w:position w:val="0"/>
      <w:sz w:val="22"/>
      <w:szCs w:val="22"/>
      <w:u w:val="none"/>
      <w:vertAlign w:val="superscript"/>
    </w:rPr>
  </w:style>
  <w:style w:type="character" w:customStyle="1" w:styleId="FootnoteSmallCaps">
    <w:name w:val="FootnoteSmallCaps"/>
    <w:uiPriority w:val="99"/>
    <w:qFormat/>
    <w:rsid w:val="007F0302"/>
    <w:rPr>
      <w:rFonts w:ascii="Myriad Web Pro" w:hAnsi="Myriad Web Pro" w:cs="WarnockPro-Regular"/>
      <w:caps w:val="0"/>
      <w:smallCaps/>
      <w:strike w:val="0"/>
      <w:dstrike w:val="0"/>
      <w:vanish w:val="0"/>
      <w:spacing w:val="0"/>
      <w:sz w:val="20"/>
      <w:szCs w:val="20"/>
      <w:vertAlign w:val="baseline"/>
    </w:rPr>
  </w:style>
  <w:style w:type="character" w:customStyle="1" w:styleId="FootnoteItalic">
    <w:name w:val="FootnoteItalic"/>
    <w:uiPriority w:val="99"/>
    <w:rsid w:val="00721378"/>
    <w:rPr>
      <w:rFonts w:ascii="WarnockPro-It" w:hAnsi="WarnockPro-It" w:cs="WarnockPro-It"/>
      <w:i/>
      <w:iCs/>
      <w:spacing w:val="0"/>
      <w:sz w:val="20"/>
      <w:szCs w:val="20"/>
      <w:vertAlign w:val="baseline"/>
    </w:rPr>
  </w:style>
  <w:style w:type="paragraph" w:customStyle="1" w:styleId="02TableText02TablesandFigures">
    <w:name w:val="02 Table Text (02 Tables and Figures)"/>
    <w:basedOn w:val="Normal"/>
    <w:uiPriority w:val="99"/>
    <w:rsid w:val="00721378"/>
    <w:pPr>
      <w:keepNext/>
      <w:widowControl w:val="0"/>
      <w:suppressAutoHyphens/>
      <w:autoSpaceDE w:val="0"/>
      <w:autoSpaceDN w:val="0"/>
      <w:adjustRightInd w:val="0"/>
      <w:spacing w:before="60" w:line="240" w:lineRule="atLeast"/>
      <w:textAlignment w:val="center"/>
    </w:pPr>
    <w:rPr>
      <w:rFonts w:ascii="WarnockPro-Regular" w:hAnsi="WarnockPro-Regular" w:cs="WarnockPro-Regular"/>
      <w:b/>
      <w:bCs/>
      <w:color w:val="000000"/>
      <w:sz w:val="20"/>
      <w:szCs w:val="20"/>
    </w:rPr>
  </w:style>
  <w:style w:type="paragraph" w:customStyle="1" w:styleId="00BulletinSeriesName00Heads">
    <w:name w:val="00 Bulletin Series Name (00 Heads)"/>
    <w:basedOn w:val="NoParagraphStyle"/>
    <w:uiPriority w:val="99"/>
    <w:rsid w:val="00721378"/>
    <w:pPr>
      <w:keepNext/>
      <w:tabs>
        <w:tab w:val="right" w:pos="8800"/>
      </w:tabs>
      <w:suppressAutoHyphens/>
      <w:spacing w:line="240" w:lineRule="atLeast"/>
    </w:pPr>
    <w:rPr>
      <w:rFonts w:ascii="MyriadPro-SemiboldSemiCn" w:hAnsi="MyriadPro-SemiboldSemiCn" w:cs="MyriadPro-SemiboldSemiCn"/>
      <w:caps/>
    </w:rPr>
  </w:style>
  <w:style w:type="paragraph" w:styleId="BalloonText">
    <w:name w:val="Balloon Text"/>
    <w:basedOn w:val="Normal"/>
    <w:link w:val="BalloonTextChar"/>
    <w:uiPriority w:val="99"/>
    <w:semiHidden/>
    <w:unhideWhenUsed/>
    <w:rsid w:val="00CB1076"/>
    <w:rPr>
      <w:rFonts w:ascii="Tahoma" w:hAnsi="Tahoma" w:cs="Tahoma"/>
      <w:sz w:val="16"/>
      <w:szCs w:val="16"/>
    </w:rPr>
  </w:style>
  <w:style w:type="character" w:customStyle="1" w:styleId="BalloonTextChar">
    <w:name w:val="Balloon Text Char"/>
    <w:basedOn w:val="DefaultParagraphFont"/>
    <w:link w:val="BalloonText"/>
    <w:uiPriority w:val="99"/>
    <w:semiHidden/>
    <w:rsid w:val="00CB1076"/>
    <w:rPr>
      <w:rFonts w:ascii="Tahoma" w:hAnsi="Tahoma" w:cs="Tahoma"/>
      <w:sz w:val="16"/>
      <w:szCs w:val="16"/>
    </w:rPr>
  </w:style>
  <w:style w:type="character" w:styleId="Hyperlink">
    <w:name w:val="Hyperlink"/>
    <w:uiPriority w:val="99"/>
    <w:unhideWhenUsed/>
    <w:rsid w:val="00A31A13"/>
    <w:rPr>
      <w:color w:val="0000FF"/>
      <w:u w:val="single"/>
    </w:rPr>
  </w:style>
  <w:style w:type="paragraph" w:styleId="ListParagraph">
    <w:name w:val="List Paragraph"/>
    <w:basedOn w:val="Normal"/>
    <w:uiPriority w:val="34"/>
    <w:qFormat/>
    <w:rsid w:val="00A31A13"/>
    <w:pPr>
      <w:spacing w:after="200" w:line="276" w:lineRule="auto"/>
      <w:ind w:left="720"/>
      <w:contextualSpacing/>
    </w:pPr>
    <w:rPr>
      <w:rFonts w:ascii="Times New Roman" w:eastAsia="Calibri" w:hAnsi="Times New Roman" w:cs="Times New Roman"/>
      <w:szCs w:val="22"/>
    </w:rPr>
  </w:style>
  <w:style w:type="paragraph" w:styleId="FootnoteText">
    <w:name w:val="footnote text"/>
    <w:aliases w:val="Footnote Text-MAIN"/>
    <w:basedOn w:val="Normal"/>
    <w:link w:val="FootnoteTextChar"/>
    <w:uiPriority w:val="99"/>
    <w:unhideWhenUsed/>
    <w:qFormat/>
    <w:rsid w:val="007F0302"/>
    <w:rPr>
      <w:sz w:val="18"/>
      <w:szCs w:val="20"/>
    </w:rPr>
  </w:style>
  <w:style w:type="character" w:customStyle="1" w:styleId="FootnoteTextChar">
    <w:name w:val="Footnote Text Char"/>
    <w:aliases w:val="Footnote Text-MAIN Char"/>
    <w:basedOn w:val="DefaultParagraphFont"/>
    <w:link w:val="FootnoteText"/>
    <w:uiPriority w:val="99"/>
    <w:rsid w:val="007F0302"/>
    <w:rPr>
      <w:rFonts w:ascii="Arial" w:hAnsi="Arial"/>
      <w:sz w:val="18"/>
      <w:szCs w:val="20"/>
    </w:rPr>
  </w:style>
  <w:style w:type="character" w:styleId="FootnoteReference">
    <w:name w:val="footnote reference"/>
    <w:basedOn w:val="DefaultParagraphFont"/>
    <w:uiPriority w:val="99"/>
    <w:unhideWhenUsed/>
    <w:rsid w:val="00D9302F"/>
    <w:rPr>
      <w:vertAlign w:val="superscript"/>
    </w:rPr>
  </w:style>
  <w:style w:type="paragraph" w:styleId="Revision">
    <w:name w:val="Revision"/>
    <w:hidden/>
    <w:uiPriority w:val="99"/>
    <w:semiHidden/>
    <w:rsid w:val="00E60C5A"/>
  </w:style>
  <w:style w:type="paragraph" w:styleId="Header">
    <w:name w:val="header"/>
    <w:basedOn w:val="Normal"/>
    <w:link w:val="HeaderChar"/>
    <w:uiPriority w:val="99"/>
    <w:unhideWhenUsed/>
    <w:rsid w:val="00E60C5A"/>
    <w:pPr>
      <w:tabs>
        <w:tab w:val="center" w:pos="4680"/>
        <w:tab w:val="right" w:pos="9360"/>
      </w:tabs>
    </w:pPr>
  </w:style>
  <w:style w:type="character" w:customStyle="1" w:styleId="HeaderChar">
    <w:name w:val="Header Char"/>
    <w:basedOn w:val="DefaultParagraphFont"/>
    <w:link w:val="Header"/>
    <w:uiPriority w:val="99"/>
    <w:rsid w:val="00E60C5A"/>
  </w:style>
  <w:style w:type="paragraph" w:styleId="Footer">
    <w:name w:val="footer"/>
    <w:basedOn w:val="Normal"/>
    <w:link w:val="FooterChar"/>
    <w:uiPriority w:val="99"/>
    <w:unhideWhenUsed/>
    <w:rsid w:val="00E60C5A"/>
    <w:pPr>
      <w:tabs>
        <w:tab w:val="center" w:pos="4680"/>
        <w:tab w:val="right" w:pos="9360"/>
      </w:tabs>
    </w:pPr>
  </w:style>
  <w:style w:type="character" w:customStyle="1" w:styleId="FooterChar">
    <w:name w:val="Footer Char"/>
    <w:basedOn w:val="DefaultParagraphFont"/>
    <w:link w:val="Footer"/>
    <w:uiPriority w:val="99"/>
    <w:rsid w:val="00E60C5A"/>
  </w:style>
  <w:style w:type="character" w:customStyle="1" w:styleId="Heading1Char">
    <w:name w:val="Heading 1 Char"/>
    <w:basedOn w:val="DefaultParagraphFont"/>
    <w:link w:val="Heading1"/>
    <w:uiPriority w:val="9"/>
    <w:rsid w:val="00D65E75"/>
    <w:rPr>
      <w:rFonts w:ascii="Arial" w:hAnsi="Arial" w:cs="Arial"/>
      <w:b/>
      <w:color w:val="000000"/>
      <w:sz w:val="22"/>
      <w:szCs w:val="22"/>
    </w:rPr>
  </w:style>
  <w:style w:type="paragraph" w:styleId="TOCHeading">
    <w:name w:val="TOC Heading"/>
    <w:basedOn w:val="Heading1"/>
    <w:next w:val="Normal"/>
    <w:uiPriority w:val="39"/>
    <w:unhideWhenUsed/>
    <w:qFormat/>
    <w:rsid w:val="00BD3689"/>
    <w:pPr>
      <w:spacing w:line="276" w:lineRule="auto"/>
      <w:outlineLvl w:val="9"/>
    </w:pPr>
    <w:rPr>
      <w:lang w:eastAsia="ja-JP"/>
    </w:rPr>
  </w:style>
  <w:style w:type="character" w:customStyle="1" w:styleId="Heading2Char">
    <w:name w:val="Heading 2 Char"/>
    <w:basedOn w:val="DefaultParagraphFont"/>
    <w:link w:val="Heading2"/>
    <w:uiPriority w:val="9"/>
    <w:rsid w:val="00D65E75"/>
    <w:rPr>
      <w:rFonts w:ascii="Arial" w:hAnsi="Arial" w:cs="Arial"/>
      <w:b/>
      <w:color w:val="000000"/>
      <w:sz w:val="22"/>
      <w:szCs w:val="22"/>
    </w:rPr>
  </w:style>
  <w:style w:type="paragraph" w:styleId="TOC1">
    <w:name w:val="toc 1"/>
    <w:next w:val="NoParagraphStyle"/>
    <w:autoRedefine/>
    <w:uiPriority w:val="39"/>
    <w:unhideWhenUsed/>
    <w:qFormat/>
    <w:rsid w:val="00D65E75"/>
    <w:rPr>
      <w:rFonts w:ascii="Arial" w:hAnsi="Arial" w:cs="Calibri (Headings)"/>
      <w:bCs/>
      <w:sz w:val="22"/>
    </w:rPr>
  </w:style>
  <w:style w:type="paragraph" w:styleId="TOC4">
    <w:name w:val="toc 4"/>
    <w:basedOn w:val="Normal"/>
    <w:next w:val="Normal"/>
    <w:autoRedefine/>
    <w:uiPriority w:val="39"/>
    <w:unhideWhenUsed/>
    <w:rsid w:val="005D259C"/>
    <w:pPr>
      <w:ind w:left="440"/>
    </w:pPr>
    <w:rPr>
      <w:rFonts w:asciiTheme="minorHAnsi" w:hAnsiTheme="minorHAnsi"/>
      <w:sz w:val="20"/>
      <w:szCs w:val="20"/>
    </w:rPr>
  </w:style>
  <w:style w:type="paragraph" w:styleId="TOC5">
    <w:name w:val="toc 5"/>
    <w:basedOn w:val="Normal"/>
    <w:next w:val="Normal"/>
    <w:autoRedefine/>
    <w:uiPriority w:val="39"/>
    <w:unhideWhenUsed/>
    <w:rsid w:val="005D259C"/>
    <w:pPr>
      <w:ind w:left="660"/>
    </w:pPr>
    <w:rPr>
      <w:rFonts w:asciiTheme="minorHAnsi" w:hAnsiTheme="minorHAnsi"/>
      <w:sz w:val="20"/>
      <w:szCs w:val="20"/>
    </w:rPr>
  </w:style>
  <w:style w:type="paragraph" w:styleId="TOC6">
    <w:name w:val="toc 6"/>
    <w:basedOn w:val="Normal"/>
    <w:next w:val="Normal"/>
    <w:autoRedefine/>
    <w:uiPriority w:val="39"/>
    <w:unhideWhenUsed/>
    <w:rsid w:val="005D259C"/>
    <w:pPr>
      <w:ind w:left="880"/>
    </w:pPr>
    <w:rPr>
      <w:rFonts w:asciiTheme="minorHAnsi" w:hAnsiTheme="minorHAnsi"/>
      <w:sz w:val="20"/>
      <w:szCs w:val="20"/>
    </w:rPr>
  </w:style>
  <w:style w:type="paragraph" w:styleId="TOC7">
    <w:name w:val="toc 7"/>
    <w:basedOn w:val="Normal"/>
    <w:next w:val="Normal"/>
    <w:autoRedefine/>
    <w:uiPriority w:val="39"/>
    <w:unhideWhenUsed/>
    <w:rsid w:val="005D259C"/>
    <w:pPr>
      <w:ind w:left="1100"/>
    </w:pPr>
    <w:rPr>
      <w:rFonts w:asciiTheme="minorHAnsi" w:hAnsiTheme="minorHAnsi"/>
      <w:sz w:val="20"/>
      <w:szCs w:val="20"/>
    </w:rPr>
  </w:style>
  <w:style w:type="paragraph" w:styleId="TOC8">
    <w:name w:val="toc 8"/>
    <w:basedOn w:val="Normal"/>
    <w:next w:val="Normal"/>
    <w:autoRedefine/>
    <w:uiPriority w:val="39"/>
    <w:unhideWhenUsed/>
    <w:rsid w:val="005D259C"/>
    <w:pPr>
      <w:ind w:left="1320"/>
    </w:pPr>
    <w:rPr>
      <w:rFonts w:asciiTheme="minorHAnsi" w:hAnsiTheme="minorHAnsi"/>
      <w:sz w:val="20"/>
      <w:szCs w:val="20"/>
    </w:rPr>
  </w:style>
  <w:style w:type="paragraph" w:styleId="TOC9">
    <w:name w:val="toc 9"/>
    <w:basedOn w:val="Normal"/>
    <w:next w:val="Normal"/>
    <w:autoRedefine/>
    <w:uiPriority w:val="39"/>
    <w:unhideWhenUsed/>
    <w:rsid w:val="005D259C"/>
    <w:pPr>
      <w:ind w:left="1540"/>
    </w:pPr>
    <w:rPr>
      <w:rFonts w:asciiTheme="minorHAnsi" w:hAnsiTheme="minorHAnsi"/>
      <w:sz w:val="20"/>
      <w:szCs w:val="20"/>
    </w:rPr>
  </w:style>
  <w:style w:type="paragraph" w:customStyle="1" w:styleId="Style1">
    <w:name w:val="Style1"/>
    <w:basedOn w:val="Normal"/>
    <w:qFormat/>
    <w:rsid w:val="005D259C"/>
  </w:style>
  <w:style w:type="paragraph" w:styleId="EndnoteText">
    <w:name w:val="endnote text"/>
    <w:basedOn w:val="Normal"/>
    <w:link w:val="EndnoteTextChar"/>
    <w:uiPriority w:val="99"/>
    <w:semiHidden/>
    <w:unhideWhenUsed/>
    <w:rsid w:val="000C68F5"/>
    <w:rPr>
      <w:sz w:val="20"/>
      <w:szCs w:val="20"/>
    </w:rPr>
  </w:style>
  <w:style w:type="character" w:customStyle="1" w:styleId="EndnoteTextChar">
    <w:name w:val="Endnote Text Char"/>
    <w:basedOn w:val="DefaultParagraphFont"/>
    <w:link w:val="EndnoteText"/>
    <w:uiPriority w:val="99"/>
    <w:semiHidden/>
    <w:rsid w:val="000C68F5"/>
    <w:rPr>
      <w:sz w:val="20"/>
      <w:szCs w:val="20"/>
    </w:rPr>
  </w:style>
  <w:style w:type="character" w:styleId="EndnoteReference">
    <w:name w:val="endnote reference"/>
    <w:basedOn w:val="DefaultParagraphFont"/>
    <w:uiPriority w:val="99"/>
    <w:semiHidden/>
    <w:unhideWhenUsed/>
    <w:rsid w:val="000C68F5"/>
    <w:rPr>
      <w:vertAlign w:val="superscript"/>
    </w:rPr>
  </w:style>
  <w:style w:type="character" w:customStyle="1" w:styleId="Heading6Char">
    <w:name w:val="Heading 6 Char"/>
    <w:basedOn w:val="DefaultParagraphFont"/>
    <w:link w:val="Heading6"/>
    <w:uiPriority w:val="9"/>
    <w:semiHidden/>
    <w:rsid w:val="00C626E3"/>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semiHidden/>
    <w:rsid w:val="00C626E3"/>
    <w:rPr>
      <w:rFonts w:asciiTheme="majorHAnsi" w:eastAsiaTheme="majorEastAsia" w:hAnsiTheme="majorHAnsi" w:cstheme="majorBidi"/>
      <w:b/>
      <w:bCs/>
      <w:i/>
      <w:iCs/>
      <w:color w:val="4F81BD" w:themeColor="accent1"/>
    </w:rPr>
  </w:style>
  <w:style w:type="paragraph" w:styleId="TOC2">
    <w:name w:val="toc 2"/>
    <w:next w:val="NoParagraphStyle"/>
    <w:autoRedefine/>
    <w:uiPriority w:val="39"/>
    <w:unhideWhenUsed/>
    <w:qFormat/>
    <w:rsid w:val="00D65E75"/>
    <w:pPr>
      <w:ind w:left="720"/>
    </w:pPr>
    <w:rPr>
      <w:rFonts w:ascii="Arial" w:hAnsi="Arial" w:cs="Times New Roman (Body CS)"/>
      <w:bCs/>
      <w:sz w:val="22"/>
      <w:szCs w:val="20"/>
    </w:rPr>
  </w:style>
  <w:style w:type="paragraph" w:styleId="TOC3">
    <w:name w:val="toc 3"/>
    <w:basedOn w:val="Normal"/>
    <w:next w:val="Normal"/>
    <w:autoRedefine/>
    <w:uiPriority w:val="39"/>
    <w:unhideWhenUsed/>
    <w:qFormat/>
    <w:rsid w:val="006336FA"/>
    <w:pPr>
      <w:ind w:left="220"/>
    </w:pPr>
    <w:rPr>
      <w:rFonts w:asciiTheme="minorHAnsi" w:hAnsiTheme="minorHAnsi"/>
      <w:sz w:val="20"/>
      <w:szCs w:val="20"/>
    </w:rPr>
  </w:style>
  <w:style w:type="character" w:customStyle="1" w:styleId="Heading3Char">
    <w:name w:val="Heading 3 Char"/>
    <w:basedOn w:val="DefaultParagraphFont"/>
    <w:link w:val="Heading3"/>
    <w:uiPriority w:val="9"/>
    <w:rsid w:val="00F320C1"/>
    <w:rPr>
      <w:rFonts w:ascii="Arial" w:eastAsiaTheme="majorEastAsia" w:hAnsi="Arial" w:cstheme="majorBidi"/>
      <w:b/>
      <w:bCs/>
      <w:sz w:val="22"/>
    </w:rPr>
  </w:style>
  <w:style w:type="character" w:styleId="FollowedHyperlink">
    <w:name w:val="FollowedHyperlink"/>
    <w:basedOn w:val="DefaultParagraphFont"/>
    <w:uiPriority w:val="99"/>
    <w:semiHidden/>
    <w:unhideWhenUsed/>
    <w:rsid w:val="00853FB3"/>
    <w:rPr>
      <w:color w:val="800080" w:themeColor="followedHyperlink"/>
      <w:u w:val="single"/>
    </w:rPr>
  </w:style>
  <w:style w:type="character" w:styleId="CommentReference">
    <w:name w:val="annotation reference"/>
    <w:basedOn w:val="DefaultParagraphFont"/>
    <w:uiPriority w:val="99"/>
    <w:semiHidden/>
    <w:unhideWhenUsed/>
    <w:rsid w:val="00A23916"/>
    <w:rPr>
      <w:sz w:val="16"/>
      <w:szCs w:val="16"/>
    </w:rPr>
  </w:style>
  <w:style w:type="paragraph" w:styleId="CommentText">
    <w:name w:val="annotation text"/>
    <w:basedOn w:val="Normal"/>
    <w:link w:val="CommentTextChar"/>
    <w:uiPriority w:val="99"/>
    <w:unhideWhenUsed/>
    <w:rsid w:val="00A23916"/>
    <w:rPr>
      <w:sz w:val="20"/>
      <w:szCs w:val="20"/>
    </w:rPr>
  </w:style>
  <w:style w:type="character" w:customStyle="1" w:styleId="CommentTextChar">
    <w:name w:val="Comment Text Char"/>
    <w:basedOn w:val="DefaultParagraphFont"/>
    <w:link w:val="CommentText"/>
    <w:uiPriority w:val="99"/>
    <w:rsid w:val="00A23916"/>
    <w:rPr>
      <w:sz w:val="20"/>
      <w:szCs w:val="20"/>
    </w:rPr>
  </w:style>
  <w:style w:type="paragraph" w:styleId="CommentSubject">
    <w:name w:val="annotation subject"/>
    <w:basedOn w:val="CommentText"/>
    <w:next w:val="CommentText"/>
    <w:link w:val="CommentSubjectChar"/>
    <w:uiPriority w:val="99"/>
    <w:semiHidden/>
    <w:unhideWhenUsed/>
    <w:rsid w:val="00A23916"/>
    <w:rPr>
      <w:b/>
      <w:bCs/>
    </w:rPr>
  </w:style>
  <w:style w:type="character" w:customStyle="1" w:styleId="CommentSubjectChar">
    <w:name w:val="Comment Subject Char"/>
    <w:basedOn w:val="CommentTextChar"/>
    <w:link w:val="CommentSubject"/>
    <w:uiPriority w:val="99"/>
    <w:semiHidden/>
    <w:rsid w:val="00A23916"/>
    <w:rPr>
      <w:b/>
      <w:bCs/>
      <w:sz w:val="20"/>
      <w:szCs w:val="20"/>
    </w:rPr>
  </w:style>
  <w:style w:type="table" w:styleId="TableGrid">
    <w:name w:val="Table Grid"/>
    <w:basedOn w:val="TableNormal"/>
    <w:uiPriority w:val="59"/>
    <w:rsid w:val="000A5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03E37"/>
    <w:rPr>
      <w:i/>
      <w:iCs/>
    </w:rPr>
  </w:style>
  <w:style w:type="character" w:styleId="UnresolvedMention">
    <w:name w:val="Unresolved Mention"/>
    <w:basedOn w:val="DefaultParagraphFont"/>
    <w:uiPriority w:val="99"/>
    <w:rsid w:val="00E64C08"/>
    <w:rPr>
      <w:color w:val="605E5C"/>
      <w:shd w:val="clear" w:color="auto" w:fill="E1DFDD"/>
    </w:rPr>
  </w:style>
  <w:style w:type="numbering" w:customStyle="1" w:styleId="CurrentList1">
    <w:name w:val="Current List1"/>
    <w:uiPriority w:val="99"/>
    <w:rsid w:val="00B357D9"/>
    <w:pPr>
      <w:numPr>
        <w:numId w:val="107"/>
      </w:numPr>
    </w:pPr>
  </w:style>
  <w:style w:type="numbering" w:customStyle="1" w:styleId="CurrentList2">
    <w:name w:val="Current List2"/>
    <w:uiPriority w:val="99"/>
    <w:rsid w:val="00633156"/>
    <w:pPr>
      <w:numPr>
        <w:numId w:val="10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084">
      <w:bodyDiv w:val="1"/>
      <w:marLeft w:val="0"/>
      <w:marRight w:val="0"/>
      <w:marTop w:val="0"/>
      <w:marBottom w:val="0"/>
      <w:divBdr>
        <w:top w:val="none" w:sz="0" w:space="0" w:color="auto"/>
        <w:left w:val="none" w:sz="0" w:space="0" w:color="auto"/>
        <w:bottom w:val="none" w:sz="0" w:space="0" w:color="auto"/>
        <w:right w:val="none" w:sz="0" w:space="0" w:color="auto"/>
      </w:divBdr>
      <w:divsChild>
        <w:div w:id="1980723509">
          <w:marLeft w:val="0"/>
          <w:marRight w:val="0"/>
          <w:marTop w:val="0"/>
          <w:marBottom w:val="0"/>
          <w:divBdr>
            <w:top w:val="none" w:sz="0" w:space="0" w:color="auto"/>
            <w:left w:val="none" w:sz="0" w:space="0" w:color="auto"/>
            <w:bottom w:val="none" w:sz="0" w:space="0" w:color="auto"/>
            <w:right w:val="none" w:sz="0" w:space="0" w:color="auto"/>
          </w:divBdr>
          <w:divsChild>
            <w:div w:id="14239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98782">
      <w:bodyDiv w:val="1"/>
      <w:marLeft w:val="0"/>
      <w:marRight w:val="0"/>
      <w:marTop w:val="0"/>
      <w:marBottom w:val="0"/>
      <w:divBdr>
        <w:top w:val="none" w:sz="0" w:space="0" w:color="auto"/>
        <w:left w:val="none" w:sz="0" w:space="0" w:color="auto"/>
        <w:bottom w:val="none" w:sz="0" w:space="0" w:color="auto"/>
        <w:right w:val="none" w:sz="0" w:space="0" w:color="auto"/>
      </w:divBdr>
    </w:div>
    <w:div w:id="732776758">
      <w:bodyDiv w:val="1"/>
      <w:marLeft w:val="0"/>
      <w:marRight w:val="0"/>
      <w:marTop w:val="0"/>
      <w:marBottom w:val="0"/>
      <w:divBdr>
        <w:top w:val="none" w:sz="0" w:space="0" w:color="auto"/>
        <w:left w:val="none" w:sz="0" w:space="0" w:color="auto"/>
        <w:bottom w:val="none" w:sz="0" w:space="0" w:color="auto"/>
        <w:right w:val="none" w:sz="0" w:space="0" w:color="auto"/>
      </w:divBdr>
      <w:divsChild>
        <w:div w:id="716586489">
          <w:marLeft w:val="0"/>
          <w:marRight w:val="0"/>
          <w:marTop w:val="240"/>
          <w:marBottom w:val="0"/>
          <w:divBdr>
            <w:top w:val="none" w:sz="0" w:space="0" w:color="auto"/>
            <w:left w:val="none" w:sz="0" w:space="0" w:color="auto"/>
            <w:bottom w:val="none" w:sz="0" w:space="0" w:color="auto"/>
            <w:right w:val="none" w:sz="0" w:space="0" w:color="auto"/>
          </w:divBdr>
          <w:divsChild>
            <w:div w:id="674378900">
              <w:marLeft w:val="0"/>
              <w:marRight w:val="0"/>
              <w:marTop w:val="0"/>
              <w:marBottom w:val="0"/>
              <w:divBdr>
                <w:top w:val="none" w:sz="0" w:space="0" w:color="auto"/>
                <w:left w:val="none" w:sz="0" w:space="0" w:color="auto"/>
                <w:bottom w:val="none" w:sz="0" w:space="0" w:color="auto"/>
                <w:right w:val="none" w:sz="0" w:space="0" w:color="auto"/>
              </w:divBdr>
            </w:div>
          </w:divsChild>
        </w:div>
        <w:div w:id="404114432">
          <w:marLeft w:val="0"/>
          <w:marRight w:val="0"/>
          <w:marTop w:val="240"/>
          <w:marBottom w:val="0"/>
          <w:divBdr>
            <w:top w:val="none" w:sz="0" w:space="0" w:color="auto"/>
            <w:left w:val="none" w:sz="0" w:space="0" w:color="auto"/>
            <w:bottom w:val="none" w:sz="0" w:space="0" w:color="auto"/>
            <w:right w:val="none" w:sz="0" w:space="0" w:color="auto"/>
          </w:divBdr>
        </w:div>
      </w:divsChild>
    </w:div>
    <w:div w:id="1150945050">
      <w:bodyDiv w:val="1"/>
      <w:marLeft w:val="0"/>
      <w:marRight w:val="0"/>
      <w:marTop w:val="0"/>
      <w:marBottom w:val="0"/>
      <w:divBdr>
        <w:top w:val="none" w:sz="0" w:space="0" w:color="auto"/>
        <w:left w:val="none" w:sz="0" w:space="0" w:color="auto"/>
        <w:bottom w:val="none" w:sz="0" w:space="0" w:color="auto"/>
        <w:right w:val="none" w:sz="0" w:space="0" w:color="auto"/>
      </w:divBdr>
    </w:div>
    <w:div w:id="1522086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les@sog.unc.ed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nccriminallaw.sog.unc.edu/2018/07/17/does-a-stipulation-to-lab-results-waive-confrontation-rights/" TargetMode="External"/><Relationship Id="rId3" Type="http://schemas.openxmlformats.org/officeDocument/2006/relationships/hyperlink" Target="https://nccriminallaw.sog.unc.edu/2024/10/25/smith-v-arizona-and-so-many-unanswered-questions/" TargetMode="External"/><Relationship Id="rId7" Type="http://schemas.openxmlformats.org/officeDocument/2006/relationships/hyperlink" Target="https://nccriminallaw.sog.unc.edu/2021/12/06/remote-testimony-by-lab-analysts-authorized-in-district-court-prosecutions-even-without-defendants-consent/" TargetMode="External"/><Relationship Id="rId12" Type="http://schemas.openxmlformats.org/officeDocument/2006/relationships/hyperlink" Target="https://nccriminallaw.sog.unc.edu/2024/08/14/smith-v-arizona-and-retroactivity/" TargetMode="External"/><Relationship Id="rId2" Type="http://schemas.openxmlformats.org/officeDocument/2006/relationships/hyperlink" Target="https://nccriminallaw.sog.unc.edu/2012/06/13/4th-circuit-ruling-childs-statements-to-social-worker-are-non-testimonial/" TargetMode="External"/><Relationship Id="rId1" Type="http://schemas.openxmlformats.org/officeDocument/2006/relationships/hyperlink" Target="https://nccriminallaw.sog.unc.edu/2021/12/06/remote-testimony-by-lab-analysts-authorized-in-district-court-prosecutions-even-without-defendants-consent/" TargetMode="External"/><Relationship Id="rId6" Type="http://schemas.openxmlformats.org/officeDocument/2006/relationships/hyperlink" Target="https://nccriminallaw.sog.unc.edu/2025/03/04/machine-generated-data-lab-tests-and-the-confrontation-clause/" TargetMode="External"/><Relationship Id="rId11" Type="http://schemas.openxmlformats.org/officeDocument/2006/relationships/hyperlink" Target="https://adminliveunc-my.sharepoint.com/personal/prdixon_ad_unc_edu/Documents/nccriminallaw.sog.unc.edu/?p=545" TargetMode="External"/><Relationship Id="rId5" Type="http://schemas.openxmlformats.org/officeDocument/2006/relationships/hyperlink" Target="https://nccriminallaw.sog.unc.edu/2025/07/17/state-v-tate-dna-analysis-the-confrontation-clause-and-testimonial-hearsay/" TargetMode="External"/><Relationship Id="rId10" Type="http://schemas.openxmlformats.org/officeDocument/2006/relationships/hyperlink" Target="https://nccriminallaw.sog.unc.edu/2022/12/19/16955-2/" TargetMode="External"/><Relationship Id="rId4" Type="http://schemas.openxmlformats.org/officeDocument/2006/relationships/hyperlink" Target="https://nccriminallaw.sog.unc.edu/2025/07/17/state-v-tate-dna-analysis-the-confrontation-clause-and-testimonial-hearsay/" TargetMode="External"/><Relationship Id="rId9" Type="http://schemas.openxmlformats.org/officeDocument/2006/relationships/hyperlink" Target="https://nccriminallaw.sog.unc.edu/2024/01/24/when-can-the-state-use-testimony-from-the-probable-cause-hearing-at-tr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E6D67-5B7F-CB46-B0B3-D9DC586B7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11248</Words>
  <Characters>61753</Characters>
  <Application>Microsoft Office Word</Application>
  <DocSecurity>0</DocSecurity>
  <Lines>1403</Lines>
  <Paragraphs>421</Paragraphs>
  <ScaleCrop>false</ScaleCrop>
  <HeadingPairs>
    <vt:vector size="2" baseType="variant">
      <vt:variant>
        <vt:lpstr>Title</vt:lpstr>
      </vt:variant>
      <vt:variant>
        <vt:i4>1</vt:i4>
      </vt:variant>
    </vt:vector>
  </HeadingPairs>
  <TitlesOfParts>
    <vt:vector size="1" baseType="lpstr">
      <vt:lpstr/>
    </vt:vector>
  </TitlesOfParts>
  <Company>UNC School of Government</Company>
  <LinksUpToDate>false</LinksUpToDate>
  <CharactersWithSpaces>72580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Justice</dc:creator>
  <cp:lastModifiedBy>Christopher Tyner</cp:lastModifiedBy>
  <cp:revision>4</cp:revision>
  <cp:lastPrinted>2018-08-06T20:24:00Z</cp:lastPrinted>
  <dcterms:created xsi:type="dcterms:W3CDTF">2026-03-10T10:35:00Z</dcterms:created>
  <dcterms:modified xsi:type="dcterms:W3CDTF">2026-03-10T10:43:00Z</dcterms:modified>
</cp:coreProperties>
</file>