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9DC8" w14:textId="77777777" w:rsidR="00755F56" w:rsidRPr="00007771" w:rsidRDefault="00755F56" w:rsidP="00BE7D9D">
      <w:pPr>
        <w:jc w:val="center"/>
        <w:rPr>
          <w:rFonts w:ascii="Arial" w:hAnsi="Arial" w:cs="Arial"/>
          <w:b/>
          <w:sz w:val="24"/>
          <w:szCs w:val="24"/>
        </w:rPr>
      </w:pPr>
      <w:r w:rsidRPr="00007771">
        <w:rPr>
          <w:rFonts w:ascii="Arial" w:hAnsi="Arial" w:cs="Arial"/>
          <w:b/>
          <w:sz w:val="24"/>
          <w:szCs w:val="24"/>
        </w:rPr>
        <w:t>ABSOLUTE IMPASSE</w:t>
      </w:r>
    </w:p>
    <w:p w14:paraId="1806E29E" w14:textId="75A32B85" w:rsidR="00755F56" w:rsidRDefault="00755F56" w:rsidP="00BE7D9D">
      <w:pPr>
        <w:spacing w:after="0" w:line="240" w:lineRule="auto"/>
        <w:rPr>
          <w:rFonts w:ascii="Arial" w:hAnsi="Arial" w:cs="Arial"/>
        </w:rPr>
      </w:pPr>
      <w:r w:rsidRPr="00007771">
        <w:rPr>
          <w:rFonts w:ascii="Arial" w:hAnsi="Arial" w:cs="Arial"/>
        </w:rPr>
        <w:t>Jessica Smith, UNC School of Government (</w:t>
      </w:r>
      <w:r w:rsidR="0083322E" w:rsidRPr="00007771">
        <w:rPr>
          <w:rFonts w:ascii="Arial" w:hAnsi="Arial" w:cs="Arial"/>
        </w:rPr>
        <w:t>Aug. 2017</w:t>
      </w:r>
      <w:r w:rsidRPr="00007771">
        <w:rPr>
          <w:rFonts w:ascii="Arial" w:hAnsi="Arial" w:cs="Arial"/>
        </w:rPr>
        <w:t>)</w:t>
      </w:r>
    </w:p>
    <w:p w14:paraId="58CA3DBD" w14:textId="7AE61FB2" w:rsidR="004D6661" w:rsidRPr="00007771" w:rsidRDefault="004D6661" w:rsidP="00BE7D9D">
      <w:pPr>
        <w:spacing w:after="0" w:line="240" w:lineRule="auto"/>
        <w:rPr>
          <w:rFonts w:ascii="Arial" w:hAnsi="Arial" w:cs="Arial"/>
        </w:rPr>
      </w:pPr>
      <w:r>
        <w:rPr>
          <w:rFonts w:ascii="Arial" w:hAnsi="Arial" w:cs="Arial"/>
        </w:rPr>
        <w:t>Updated by Christopher Tyner (</w:t>
      </w:r>
      <w:r w:rsidR="00903D41">
        <w:rPr>
          <w:rFonts w:ascii="Arial" w:hAnsi="Arial" w:cs="Arial"/>
        </w:rPr>
        <w:t>Aug.</w:t>
      </w:r>
      <w:r>
        <w:rPr>
          <w:rFonts w:ascii="Arial" w:hAnsi="Arial" w:cs="Arial"/>
        </w:rPr>
        <w:t xml:space="preserve"> 2025)</w:t>
      </w:r>
    </w:p>
    <w:sdt>
      <w:sdtPr>
        <w:rPr>
          <w:rFonts w:ascii="Calibri" w:eastAsia="Calibri" w:hAnsi="Calibri" w:cs="Arial"/>
          <w:b w:val="0"/>
          <w:color w:val="auto"/>
          <w:szCs w:val="22"/>
        </w:rPr>
        <w:id w:val="645634682"/>
        <w:docPartObj>
          <w:docPartGallery w:val="Table of Contents"/>
          <w:docPartUnique/>
        </w:docPartObj>
      </w:sdtPr>
      <w:sdtEndPr>
        <w:rPr>
          <w:bCs/>
          <w:noProof/>
        </w:rPr>
      </w:sdtEndPr>
      <w:sdtContent>
        <w:p w14:paraId="5B307C85" w14:textId="77777777" w:rsidR="009B1C43" w:rsidRPr="00476CBA" w:rsidRDefault="009B1C43" w:rsidP="00BE7D9D">
          <w:pPr>
            <w:pStyle w:val="TOCHeading"/>
            <w:keepNext w:val="0"/>
            <w:keepLines w:val="0"/>
            <w:rPr>
              <w:rFonts w:cs="Arial"/>
              <w:szCs w:val="22"/>
            </w:rPr>
          </w:pPr>
          <w:r w:rsidRPr="00476CBA">
            <w:rPr>
              <w:rFonts w:cs="Arial"/>
              <w:szCs w:val="22"/>
            </w:rPr>
            <w:t>Contents</w:t>
          </w:r>
        </w:p>
        <w:p w14:paraId="3DDD814F" w14:textId="1B7ECC47" w:rsidR="00476CBA" w:rsidRPr="00476CBA" w:rsidRDefault="005F6BE9">
          <w:pPr>
            <w:pStyle w:val="TOC1"/>
            <w:rPr>
              <w:rFonts w:ascii="Arial" w:eastAsiaTheme="minorEastAsia" w:hAnsi="Arial" w:cs="Arial"/>
              <w:noProof/>
              <w:kern w:val="2"/>
              <w:sz w:val="24"/>
              <w:szCs w:val="24"/>
              <w14:ligatures w14:val="standardContextual"/>
            </w:rPr>
          </w:pPr>
          <w:r w:rsidRPr="00476CBA">
            <w:rPr>
              <w:rFonts w:ascii="Arial" w:hAnsi="Arial" w:cs="Arial"/>
            </w:rPr>
            <w:fldChar w:fldCharType="begin"/>
          </w:r>
          <w:r w:rsidR="009B1C43" w:rsidRPr="00476CBA">
            <w:rPr>
              <w:rFonts w:ascii="Arial" w:hAnsi="Arial" w:cs="Arial"/>
            </w:rPr>
            <w:instrText xml:space="preserve"> TOC \o "1-3" \h \z \u </w:instrText>
          </w:r>
          <w:r w:rsidRPr="00476CBA">
            <w:rPr>
              <w:rFonts w:ascii="Arial" w:hAnsi="Arial" w:cs="Arial"/>
            </w:rPr>
            <w:fldChar w:fldCharType="separate"/>
          </w:r>
          <w:hyperlink w:anchor="_Toc207291177" w:history="1">
            <w:r w:rsidR="00476CBA" w:rsidRPr="00476CBA">
              <w:rPr>
                <w:rStyle w:val="Hyperlink"/>
                <w:rFonts w:ascii="Arial" w:hAnsi="Arial" w:cs="Arial"/>
                <w:noProof/>
                <w:specVanish/>
              </w:rPr>
              <w:t>I.</w:t>
            </w:r>
            <w:r w:rsidR="00476CBA" w:rsidRPr="00476CBA">
              <w:rPr>
                <w:rFonts w:ascii="Arial" w:eastAsiaTheme="minorEastAsia" w:hAnsi="Arial" w:cs="Arial"/>
                <w:noProof/>
                <w:kern w:val="2"/>
                <w:sz w:val="24"/>
                <w:szCs w:val="24"/>
                <w14:ligatures w14:val="standardContextual"/>
              </w:rPr>
              <w:tab/>
            </w:r>
            <w:r w:rsidR="00476CBA" w:rsidRPr="00476CBA">
              <w:rPr>
                <w:rStyle w:val="Hyperlink"/>
                <w:rFonts w:ascii="Arial" w:hAnsi="Arial" w:cs="Arial"/>
                <w:noProof/>
              </w:rPr>
              <w:t>Statement of the Absolute Impasse Rule.</w:t>
            </w:r>
            <w:r w:rsidR="00476CBA" w:rsidRPr="00476CBA">
              <w:rPr>
                <w:rFonts w:ascii="Arial" w:hAnsi="Arial" w:cs="Arial"/>
                <w:noProof/>
                <w:webHidden/>
              </w:rPr>
              <w:tab/>
            </w:r>
            <w:r w:rsidR="00476CBA" w:rsidRPr="00476CBA">
              <w:rPr>
                <w:rFonts w:ascii="Arial" w:hAnsi="Arial" w:cs="Arial"/>
                <w:noProof/>
                <w:webHidden/>
              </w:rPr>
              <w:fldChar w:fldCharType="begin"/>
            </w:r>
            <w:r w:rsidR="00476CBA" w:rsidRPr="00476CBA">
              <w:rPr>
                <w:rFonts w:ascii="Arial" w:hAnsi="Arial" w:cs="Arial"/>
                <w:noProof/>
                <w:webHidden/>
              </w:rPr>
              <w:instrText xml:space="preserve"> PAGEREF _Toc207291177 \h </w:instrText>
            </w:r>
            <w:r w:rsidR="00476CBA" w:rsidRPr="00476CBA">
              <w:rPr>
                <w:rFonts w:ascii="Arial" w:hAnsi="Arial" w:cs="Arial"/>
                <w:noProof/>
                <w:webHidden/>
              </w:rPr>
            </w:r>
            <w:r w:rsidR="00476CBA" w:rsidRPr="00476CBA">
              <w:rPr>
                <w:rFonts w:ascii="Arial" w:hAnsi="Arial" w:cs="Arial"/>
                <w:noProof/>
                <w:webHidden/>
              </w:rPr>
              <w:fldChar w:fldCharType="separate"/>
            </w:r>
            <w:r w:rsidR="00D47844">
              <w:rPr>
                <w:rFonts w:ascii="Arial" w:hAnsi="Arial" w:cs="Arial"/>
                <w:noProof/>
                <w:webHidden/>
              </w:rPr>
              <w:t>1</w:t>
            </w:r>
            <w:r w:rsidR="00476CBA" w:rsidRPr="00476CBA">
              <w:rPr>
                <w:rFonts w:ascii="Arial" w:hAnsi="Arial" w:cs="Arial"/>
                <w:noProof/>
                <w:webHidden/>
              </w:rPr>
              <w:fldChar w:fldCharType="end"/>
            </w:r>
          </w:hyperlink>
        </w:p>
        <w:p w14:paraId="75B684B2" w14:textId="528BB9E2" w:rsidR="00476CBA" w:rsidRPr="00476CBA" w:rsidRDefault="00476CBA">
          <w:pPr>
            <w:pStyle w:val="TOC1"/>
            <w:rPr>
              <w:rFonts w:ascii="Arial" w:eastAsiaTheme="minorEastAsia" w:hAnsi="Arial" w:cs="Arial"/>
              <w:noProof/>
              <w:kern w:val="2"/>
              <w:sz w:val="24"/>
              <w:szCs w:val="24"/>
              <w14:ligatures w14:val="standardContextual"/>
            </w:rPr>
          </w:pPr>
          <w:hyperlink w:anchor="_Toc207291178" w:history="1">
            <w:r w:rsidRPr="00476CBA">
              <w:rPr>
                <w:rStyle w:val="Hyperlink"/>
                <w:rFonts w:ascii="Arial" w:hAnsi="Arial" w:cs="Arial"/>
                <w:noProof/>
                <w:specVanish/>
              </w:rPr>
              <w:t>II.</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Limitations on the Rule.</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_Toc207291178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1</w:t>
            </w:r>
            <w:r w:rsidRPr="00476CBA">
              <w:rPr>
                <w:rFonts w:ascii="Arial" w:hAnsi="Arial" w:cs="Arial"/>
                <w:noProof/>
                <w:webHidden/>
              </w:rPr>
              <w:fldChar w:fldCharType="end"/>
            </w:r>
          </w:hyperlink>
        </w:p>
        <w:p w14:paraId="760D8810" w14:textId="67A85637" w:rsidR="00476CBA" w:rsidRPr="00476CBA" w:rsidRDefault="00476CBA">
          <w:pPr>
            <w:pStyle w:val="TOC1"/>
            <w:rPr>
              <w:rFonts w:ascii="Arial" w:eastAsiaTheme="minorEastAsia" w:hAnsi="Arial" w:cs="Arial"/>
              <w:noProof/>
              <w:kern w:val="2"/>
              <w:sz w:val="24"/>
              <w:szCs w:val="24"/>
              <w14:ligatures w14:val="standardContextual"/>
            </w:rPr>
          </w:pPr>
          <w:hyperlink w:anchor="_Toc207291179" w:history="1">
            <w:r w:rsidRPr="00476CBA">
              <w:rPr>
                <w:rStyle w:val="Hyperlink"/>
                <w:rFonts w:ascii="Arial" w:hAnsi="Arial" w:cs="Arial"/>
                <w:noProof/>
                <w:specVanish/>
              </w:rPr>
              <w:t>III.</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What Constitutes an Absolute Impasse.</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_Toc207291179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2</w:t>
            </w:r>
            <w:r w:rsidRPr="00476CBA">
              <w:rPr>
                <w:rFonts w:ascii="Arial" w:hAnsi="Arial" w:cs="Arial"/>
                <w:noProof/>
                <w:webHidden/>
              </w:rPr>
              <w:fldChar w:fldCharType="end"/>
            </w:r>
          </w:hyperlink>
        </w:p>
        <w:p w14:paraId="0029C122" w14:textId="68988312" w:rsidR="00476CBA" w:rsidRPr="00476CBA" w:rsidRDefault="00476CBA">
          <w:pPr>
            <w:pStyle w:val="TOC2"/>
            <w:rPr>
              <w:rFonts w:ascii="Arial" w:eastAsiaTheme="minorEastAsia" w:hAnsi="Arial" w:cs="Arial"/>
              <w:noProof/>
              <w:kern w:val="2"/>
              <w:sz w:val="24"/>
              <w:szCs w:val="24"/>
              <w14:ligatures w14:val="standardContextual"/>
            </w:rPr>
          </w:pPr>
          <w:hyperlink w:anchor="_Toc207291180" w:history="1">
            <w:r w:rsidRPr="00476CBA">
              <w:rPr>
                <w:rStyle w:val="Hyperlink"/>
                <w:rFonts w:ascii="Arial" w:hAnsi="Arial" w:cs="Arial"/>
                <w:noProof/>
              </w:rPr>
              <w:t>A.</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Disagreement on Trial Strategy</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_Toc207291180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2</w:t>
            </w:r>
            <w:r w:rsidRPr="00476CBA">
              <w:rPr>
                <w:rFonts w:ascii="Arial" w:hAnsi="Arial" w:cs="Arial"/>
                <w:noProof/>
                <w:webHidden/>
              </w:rPr>
              <w:fldChar w:fldCharType="end"/>
            </w:r>
          </w:hyperlink>
        </w:p>
        <w:p w14:paraId="5CE2D771" w14:textId="36801512" w:rsidR="00476CBA" w:rsidRPr="00476CBA" w:rsidRDefault="00476CBA">
          <w:pPr>
            <w:pStyle w:val="TOC2"/>
            <w:rPr>
              <w:rFonts w:ascii="Arial" w:eastAsiaTheme="minorEastAsia" w:hAnsi="Arial" w:cs="Arial"/>
              <w:noProof/>
              <w:kern w:val="2"/>
              <w:sz w:val="24"/>
              <w:szCs w:val="24"/>
              <w14:ligatures w14:val="standardContextual"/>
            </w:rPr>
          </w:pPr>
          <w:hyperlink w:anchor="_Toc207291181" w:history="1">
            <w:r w:rsidRPr="00476CBA">
              <w:rPr>
                <w:rStyle w:val="Hyperlink"/>
                <w:rFonts w:ascii="Arial" w:hAnsi="Arial" w:cs="Arial"/>
                <w:noProof/>
              </w:rPr>
              <w:t>B.</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Fully Informed Defendant</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_Toc207291181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3</w:t>
            </w:r>
            <w:r w:rsidRPr="00476CBA">
              <w:rPr>
                <w:rFonts w:ascii="Arial" w:hAnsi="Arial" w:cs="Arial"/>
                <w:noProof/>
                <w:webHidden/>
              </w:rPr>
              <w:fldChar w:fldCharType="end"/>
            </w:r>
          </w:hyperlink>
        </w:p>
        <w:p w14:paraId="056FFCB2" w14:textId="43CB91B6" w:rsidR="00476CBA" w:rsidRPr="00476CBA" w:rsidRDefault="00476CBA">
          <w:pPr>
            <w:pStyle w:val="TOC1"/>
            <w:rPr>
              <w:rFonts w:ascii="Arial" w:eastAsiaTheme="minorEastAsia" w:hAnsi="Arial" w:cs="Arial"/>
              <w:noProof/>
              <w:kern w:val="2"/>
              <w:sz w:val="24"/>
              <w:szCs w:val="24"/>
              <w14:ligatures w14:val="standardContextual"/>
            </w:rPr>
          </w:pPr>
          <w:hyperlink w:anchor="_Toc207291182" w:history="1">
            <w:r w:rsidRPr="00476CBA">
              <w:rPr>
                <w:rStyle w:val="Hyperlink"/>
                <w:rFonts w:ascii="Arial" w:hAnsi="Arial" w:cs="Arial"/>
                <w:noProof/>
                <w:specVanish/>
              </w:rPr>
              <w:t>IV.</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Defense Counsel’s Duties in the Event of an Absolute Impasse.</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_Toc207291182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3</w:t>
            </w:r>
            <w:r w:rsidRPr="00476CBA">
              <w:rPr>
                <w:rFonts w:ascii="Arial" w:hAnsi="Arial" w:cs="Arial"/>
                <w:noProof/>
                <w:webHidden/>
              </w:rPr>
              <w:fldChar w:fldCharType="end"/>
            </w:r>
          </w:hyperlink>
        </w:p>
        <w:p w14:paraId="343DF715" w14:textId="222F39F2" w:rsidR="00476CBA" w:rsidRPr="00476CBA" w:rsidRDefault="00476CBA">
          <w:pPr>
            <w:pStyle w:val="TOC1"/>
            <w:rPr>
              <w:rFonts w:ascii="Arial" w:eastAsiaTheme="minorEastAsia" w:hAnsi="Arial" w:cs="Arial"/>
              <w:noProof/>
              <w:kern w:val="2"/>
              <w:sz w:val="24"/>
              <w:szCs w:val="24"/>
              <w14:ligatures w14:val="standardContextual"/>
            </w:rPr>
          </w:pPr>
          <w:hyperlink w:anchor="_Toc207291183" w:history="1">
            <w:r w:rsidRPr="00476CBA">
              <w:rPr>
                <w:rStyle w:val="Hyperlink"/>
                <w:rFonts w:ascii="Arial" w:hAnsi="Arial" w:cs="Arial"/>
                <w:noProof/>
              </w:rPr>
              <w:t>V.</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Trial Court’s Duties in the Event of an Absolute Impasse.</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_Toc207291183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3</w:t>
            </w:r>
            <w:r w:rsidRPr="00476CBA">
              <w:rPr>
                <w:rFonts w:ascii="Arial" w:hAnsi="Arial" w:cs="Arial"/>
                <w:noProof/>
                <w:webHidden/>
              </w:rPr>
              <w:fldChar w:fldCharType="end"/>
            </w:r>
          </w:hyperlink>
        </w:p>
        <w:p w14:paraId="483C9FDE" w14:textId="7C258515" w:rsidR="00476CBA" w:rsidRPr="00476CBA" w:rsidRDefault="00476CBA">
          <w:pPr>
            <w:pStyle w:val="TOC2"/>
            <w:rPr>
              <w:rFonts w:ascii="Arial" w:eastAsiaTheme="minorEastAsia" w:hAnsi="Arial" w:cs="Arial"/>
              <w:noProof/>
              <w:kern w:val="2"/>
              <w:sz w:val="24"/>
              <w:szCs w:val="24"/>
              <w14:ligatures w14:val="standardContextual"/>
            </w:rPr>
          </w:pPr>
          <w:hyperlink w:anchor="_Toc207291184" w:history="1">
            <w:r w:rsidRPr="00476CBA">
              <w:rPr>
                <w:rStyle w:val="Hyperlink"/>
                <w:rFonts w:ascii="Arial" w:hAnsi="Arial" w:cs="Arial"/>
                <w:bCs/>
                <w:noProof/>
              </w:rPr>
              <w:t>A.</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Conduct Colloquy with Defendant</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_Toc207291184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3</w:t>
            </w:r>
            <w:r w:rsidRPr="00476CBA">
              <w:rPr>
                <w:rFonts w:ascii="Arial" w:hAnsi="Arial" w:cs="Arial"/>
                <w:noProof/>
                <w:webHidden/>
              </w:rPr>
              <w:fldChar w:fldCharType="end"/>
            </w:r>
          </w:hyperlink>
        </w:p>
        <w:p w14:paraId="58CDED2D" w14:textId="3CA4A155" w:rsidR="00476CBA" w:rsidRPr="00476CBA" w:rsidRDefault="00476CBA">
          <w:pPr>
            <w:pStyle w:val="TOC2"/>
            <w:rPr>
              <w:rFonts w:ascii="Arial" w:eastAsiaTheme="minorEastAsia" w:hAnsi="Arial" w:cs="Arial"/>
              <w:noProof/>
              <w:kern w:val="2"/>
              <w:sz w:val="24"/>
              <w:szCs w:val="24"/>
              <w14:ligatures w14:val="standardContextual"/>
            </w:rPr>
          </w:pPr>
          <w:hyperlink w:anchor="_Toc207291185" w:history="1">
            <w:r w:rsidRPr="00476CBA">
              <w:rPr>
                <w:rStyle w:val="Hyperlink"/>
                <w:rFonts w:ascii="Arial" w:hAnsi="Arial" w:cs="Arial"/>
                <w:bCs/>
                <w:noProof/>
              </w:rPr>
              <w:t>B.</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Require Defense Counsel to Abide by Defendant’s Wishes</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_Toc207291185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4</w:t>
            </w:r>
            <w:r w:rsidRPr="00476CBA">
              <w:rPr>
                <w:rFonts w:ascii="Arial" w:hAnsi="Arial" w:cs="Arial"/>
                <w:noProof/>
                <w:webHidden/>
              </w:rPr>
              <w:fldChar w:fldCharType="end"/>
            </w:r>
          </w:hyperlink>
        </w:p>
        <w:p w14:paraId="6F10B5E8" w14:textId="08B755EC" w:rsidR="00476CBA" w:rsidRPr="00476CBA" w:rsidRDefault="00476CBA">
          <w:pPr>
            <w:pStyle w:val="TOC1"/>
            <w:rPr>
              <w:rFonts w:ascii="Arial" w:eastAsiaTheme="minorEastAsia" w:hAnsi="Arial" w:cs="Arial"/>
              <w:noProof/>
              <w:kern w:val="2"/>
              <w:sz w:val="24"/>
              <w:szCs w:val="24"/>
              <w14:ligatures w14:val="standardContextual"/>
            </w:rPr>
          </w:pPr>
          <w:hyperlink w:anchor="_Toc207291186" w:history="1">
            <w:r w:rsidRPr="00476CBA">
              <w:rPr>
                <w:rStyle w:val="Hyperlink"/>
                <w:rFonts w:ascii="Arial" w:hAnsi="Arial" w:cs="Arial"/>
                <w:noProof/>
                <w:specVanish/>
              </w:rPr>
              <w:t>VI.</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Illustrative Circumstances in Which the Issue Arises.</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_Toc207291186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4</w:t>
            </w:r>
            <w:r w:rsidRPr="00476CBA">
              <w:rPr>
                <w:rFonts w:ascii="Arial" w:hAnsi="Arial" w:cs="Arial"/>
                <w:noProof/>
                <w:webHidden/>
              </w:rPr>
              <w:fldChar w:fldCharType="end"/>
            </w:r>
          </w:hyperlink>
        </w:p>
        <w:p w14:paraId="6F1F67F6" w14:textId="3B0BB00E" w:rsidR="00476CBA" w:rsidRPr="00476CBA" w:rsidRDefault="00476CBA">
          <w:pPr>
            <w:pStyle w:val="TOC2"/>
            <w:rPr>
              <w:rFonts w:ascii="Arial" w:eastAsiaTheme="minorEastAsia" w:hAnsi="Arial" w:cs="Arial"/>
              <w:noProof/>
              <w:kern w:val="2"/>
              <w:sz w:val="24"/>
              <w:szCs w:val="24"/>
              <w14:ligatures w14:val="standardContextual"/>
            </w:rPr>
          </w:pPr>
          <w:hyperlink w:anchor="_Toc207291187" w:history="1">
            <w:r w:rsidRPr="00476CBA">
              <w:rPr>
                <w:rStyle w:val="Hyperlink"/>
                <w:rFonts w:ascii="Arial" w:hAnsi="Arial" w:cs="Arial"/>
                <w:noProof/>
              </w:rPr>
              <w:t>A.</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Jury Selection.</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_Toc207291187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4</w:t>
            </w:r>
            <w:r w:rsidRPr="00476CBA">
              <w:rPr>
                <w:rFonts w:ascii="Arial" w:hAnsi="Arial" w:cs="Arial"/>
                <w:noProof/>
                <w:webHidden/>
              </w:rPr>
              <w:fldChar w:fldCharType="end"/>
            </w:r>
          </w:hyperlink>
        </w:p>
        <w:p w14:paraId="22E42AC0" w14:textId="7667DB97" w:rsidR="00476CBA" w:rsidRPr="00476CBA" w:rsidRDefault="00476CBA">
          <w:pPr>
            <w:pStyle w:val="TOC2"/>
            <w:rPr>
              <w:rFonts w:ascii="Arial" w:eastAsiaTheme="minorEastAsia" w:hAnsi="Arial" w:cs="Arial"/>
              <w:noProof/>
              <w:kern w:val="2"/>
              <w:sz w:val="24"/>
              <w:szCs w:val="24"/>
              <w14:ligatures w14:val="standardContextual"/>
            </w:rPr>
          </w:pPr>
          <w:hyperlink w:anchor="_Toc207291188" w:history="1">
            <w:r w:rsidRPr="00476CBA">
              <w:rPr>
                <w:rStyle w:val="Hyperlink"/>
                <w:rFonts w:ascii="Arial" w:hAnsi="Arial" w:cs="Arial"/>
                <w:noProof/>
              </w:rPr>
              <w:t>B.</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Whether to Present Evidence.</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_Toc207291188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5</w:t>
            </w:r>
            <w:r w:rsidRPr="00476CBA">
              <w:rPr>
                <w:rFonts w:ascii="Arial" w:hAnsi="Arial" w:cs="Arial"/>
                <w:noProof/>
                <w:webHidden/>
              </w:rPr>
              <w:fldChar w:fldCharType="end"/>
            </w:r>
          </w:hyperlink>
        </w:p>
        <w:p w14:paraId="2648CE42" w14:textId="4B73B1EF" w:rsidR="00476CBA" w:rsidRPr="00476CBA" w:rsidRDefault="00476CBA">
          <w:pPr>
            <w:pStyle w:val="TOC2"/>
            <w:rPr>
              <w:rFonts w:ascii="Arial" w:eastAsiaTheme="minorEastAsia" w:hAnsi="Arial" w:cs="Arial"/>
              <w:noProof/>
              <w:kern w:val="2"/>
              <w:sz w:val="24"/>
              <w:szCs w:val="24"/>
              <w14:ligatures w14:val="standardContextual"/>
            </w:rPr>
          </w:pPr>
          <w:hyperlink w:anchor="_Toc207291189" w:history="1">
            <w:r w:rsidRPr="00476CBA">
              <w:rPr>
                <w:rStyle w:val="Hyperlink"/>
                <w:rFonts w:ascii="Arial" w:hAnsi="Arial" w:cs="Arial"/>
                <w:noProof/>
              </w:rPr>
              <w:t>C.</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Whether to Stipulate.</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_Toc207291189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5</w:t>
            </w:r>
            <w:r w:rsidRPr="00476CBA">
              <w:rPr>
                <w:rFonts w:ascii="Arial" w:hAnsi="Arial" w:cs="Arial"/>
                <w:noProof/>
                <w:webHidden/>
              </w:rPr>
              <w:fldChar w:fldCharType="end"/>
            </w:r>
          </w:hyperlink>
        </w:p>
        <w:p w14:paraId="521D90E5" w14:textId="6E6A45B5" w:rsidR="00476CBA" w:rsidRPr="00476CBA" w:rsidRDefault="00476CBA">
          <w:pPr>
            <w:pStyle w:val="TOC2"/>
            <w:rPr>
              <w:rFonts w:ascii="Arial" w:eastAsiaTheme="minorEastAsia" w:hAnsi="Arial" w:cs="Arial"/>
              <w:noProof/>
              <w:kern w:val="2"/>
              <w:sz w:val="24"/>
              <w:szCs w:val="24"/>
              <w14:ligatures w14:val="standardContextual"/>
            </w:rPr>
          </w:pPr>
          <w:hyperlink w:anchor="_Toc207291190" w:history="1">
            <w:r w:rsidRPr="00476CBA">
              <w:rPr>
                <w:rStyle w:val="Hyperlink"/>
                <w:rFonts w:ascii="Arial" w:hAnsi="Arial" w:cs="Arial"/>
                <w:noProof/>
              </w:rPr>
              <w:t>D.</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Examination of Witnesses.</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_Toc207291190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5</w:t>
            </w:r>
            <w:r w:rsidRPr="00476CBA">
              <w:rPr>
                <w:rFonts w:ascii="Arial" w:hAnsi="Arial" w:cs="Arial"/>
                <w:noProof/>
                <w:webHidden/>
              </w:rPr>
              <w:fldChar w:fldCharType="end"/>
            </w:r>
          </w:hyperlink>
        </w:p>
        <w:p w14:paraId="534C6FA4" w14:textId="0DA92539" w:rsidR="00476CBA" w:rsidRPr="00476CBA" w:rsidRDefault="00476CBA">
          <w:pPr>
            <w:pStyle w:val="TOC2"/>
            <w:rPr>
              <w:rFonts w:ascii="Arial" w:eastAsiaTheme="minorEastAsia" w:hAnsi="Arial" w:cs="Arial"/>
              <w:noProof/>
              <w:kern w:val="2"/>
              <w:sz w:val="24"/>
              <w:szCs w:val="24"/>
              <w14:ligatures w14:val="standardContextual"/>
            </w:rPr>
          </w:pPr>
          <w:hyperlink w:anchor="_Toc207291191" w:history="1">
            <w:r w:rsidRPr="00476CBA">
              <w:rPr>
                <w:rStyle w:val="Hyperlink"/>
                <w:rFonts w:ascii="Arial" w:hAnsi="Arial" w:cs="Arial"/>
                <w:noProof/>
              </w:rPr>
              <w:t>E.</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Whether to Move for a Mistrial.</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_Toc207291191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5</w:t>
            </w:r>
            <w:r w:rsidRPr="00476CBA">
              <w:rPr>
                <w:rFonts w:ascii="Arial" w:hAnsi="Arial" w:cs="Arial"/>
                <w:noProof/>
                <w:webHidden/>
              </w:rPr>
              <w:fldChar w:fldCharType="end"/>
            </w:r>
          </w:hyperlink>
        </w:p>
        <w:p w14:paraId="3663C73D" w14:textId="507A1496" w:rsidR="00476CBA" w:rsidRPr="00476CBA" w:rsidRDefault="00476CBA">
          <w:pPr>
            <w:pStyle w:val="TOC2"/>
            <w:rPr>
              <w:rFonts w:ascii="Arial" w:eastAsiaTheme="minorEastAsia" w:hAnsi="Arial" w:cs="Arial"/>
              <w:noProof/>
              <w:kern w:val="2"/>
              <w:sz w:val="24"/>
              <w:szCs w:val="24"/>
              <w14:ligatures w14:val="standardContextual"/>
            </w:rPr>
          </w:pPr>
          <w:hyperlink w:anchor="_Toc207291192" w:history="1">
            <w:r w:rsidRPr="00476CBA">
              <w:rPr>
                <w:rStyle w:val="Hyperlink"/>
                <w:rFonts w:ascii="Arial" w:hAnsi="Arial" w:cs="Arial"/>
                <w:noProof/>
              </w:rPr>
              <w:t>F.</w:t>
            </w:r>
            <w:r w:rsidRPr="00476CBA">
              <w:rPr>
                <w:rFonts w:ascii="Arial" w:eastAsiaTheme="minorEastAsia" w:hAnsi="Arial" w:cs="Arial"/>
                <w:noProof/>
                <w:kern w:val="2"/>
                <w:sz w:val="24"/>
                <w:szCs w:val="24"/>
                <w14:ligatures w14:val="standardContextual"/>
              </w:rPr>
              <w:tab/>
            </w:r>
            <w:r w:rsidRPr="00476CBA">
              <w:rPr>
                <w:rStyle w:val="Hyperlink"/>
                <w:rFonts w:ascii="Arial" w:hAnsi="Arial" w:cs="Arial"/>
                <w:noProof/>
              </w:rPr>
              <w:t>Jury Instructions.</w:t>
            </w:r>
            <w:r w:rsidRPr="00476CBA">
              <w:rPr>
                <w:rFonts w:ascii="Arial" w:hAnsi="Arial" w:cs="Arial"/>
                <w:noProof/>
                <w:webHidden/>
              </w:rPr>
              <w:tab/>
            </w:r>
            <w:r w:rsidRPr="00476CBA">
              <w:rPr>
                <w:rFonts w:ascii="Arial" w:hAnsi="Arial" w:cs="Arial"/>
                <w:noProof/>
                <w:webHidden/>
              </w:rPr>
              <w:fldChar w:fldCharType="begin"/>
            </w:r>
            <w:r w:rsidRPr="00476CBA">
              <w:rPr>
                <w:rFonts w:ascii="Arial" w:hAnsi="Arial" w:cs="Arial"/>
                <w:noProof/>
                <w:webHidden/>
              </w:rPr>
              <w:instrText xml:space="preserve"> PAGEREF _Toc207291192 \h </w:instrText>
            </w:r>
            <w:r w:rsidRPr="00476CBA">
              <w:rPr>
                <w:rFonts w:ascii="Arial" w:hAnsi="Arial" w:cs="Arial"/>
                <w:noProof/>
                <w:webHidden/>
              </w:rPr>
            </w:r>
            <w:r w:rsidRPr="00476CBA">
              <w:rPr>
                <w:rFonts w:ascii="Arial" w:hAnsi="Arial" w:cs="Arial"/>
                <w:noProof/>
                <w:webHidden/>
              </w:rPr>
              <w:fldChar w:fldCharType="separate"/>
            </w:r>
            <w:r w:rsidR="00D47844">
              <w:rPr>
                <w:rFonts w:ascii="Arial" w:hAnsi="Arial" w:cs="Arial"/>
                <w:noProof/>
                <w:webHidden/>
              </w:rPr>
              <w:t>6</w:t>
            </w:r>
            <w:r w:rsidRPr="00476CBA">
              <w:rPr>
                <w:rFonts w:ascii="Arial" w:hAnsi="Arial" w:cs="Arial"/>
                <w:noProof/>
                <w:webHidden/>
              </w:rPr>
              <w:fldChar w:fldCharType="end"/>
            </w:r>
          </w:hyperlink>
        </w:p>
        <w:p w14:paraId="2EA664E5" w14:textId="2CDF2EC7" w:rsidR="009B1C43" w:rsidRPr="00007771" w:rsidRDefault="005F6BE9" w:rsidP="00BE7D9D">
          <w:pPr>
            <w:rPr>
              <w:rFonts w:ascii="Arial" w:hAnsi="Arial" w:cs="Arial"/>
            </w:rPr>
          </w:pPr>
          <w:r w:rsidRPr="00476CBA">
            <w:rPr>
              <w:rFonts w:ascii="Arial" w:hAnsi="Arial" w:cs="Arial"/>
              <w:b/>
              <w:bCs/>
              <w:noProof/>
            </w:rPr>
            <w:fldChar w:fldCharType="end"/>
          </w:r>
        </w:p>
      </w:sdtContent>
    </w:sdt>
    <w:p w14:paraId="40796E8C" w14:textId="77777777" w:rsidR="000E0073" w:rsidRPr="00007771" w:rsidRDefault="00755F56" w:rsidP="00BE7D9D">
      <w:pPr>
        <w:pStyle w:val="Heading1"/>
        <w:keepNext w:val="0"/>
        <w:keepLines w:val="0"/>
        <w:numPr>
          <w:ilvl w:val="0"/>
          <w:numId w:val="7"/>
        </w:numPr>
        <w:ind w:left="720"/>
        <w:rPr>
          <w:rFonts w:cs="Arial"/>
          <w:vanish/>
          <w:szCs w:val="22"/>
          <w:specVanish/>
        </w:rPr>
      </w:pPr>
      <w:bookmarkStart w:id="0" w:name="_Toc207291177"/>
      <w:r w:rsidRPr="00007771">
        <w:rPr>
          <w:rFonts w:cs="Arial"/>
          <w:szCs w:val="22"/>
        </w:rPr>
        <w:t>Statement of the Absolute Impasse Rule.</w:t>
      </w:r>
      <w:bookmarkEnd w:id="0"/>
      <w:r w:rsidRPr="00007771">
        <w:rPr>
          <w:rFonts w:cs="Arial"/>
          <w:szCs w:val="22"/>
        </w:rPr>
        <w:t xml:space="preserve"> </w:t>
      </w:r>
    </w:p>
    <w:p w14:paraId="0D92C408" w14:textId="77777777" w:rsidR="00755F56" w:rsidRPr="00007771" w:rsidRDefault="00A16104" w:rsidP="00BE7D9D">
      <w:pPr>
        <w:pStyle w:val="ListParagraph"/>
        <w:spacing w:after="0" w:line="240" w:lineRule="auto"/>
        <w:rPr>
          <w:rFonts w:ascii="Arial" w:hAnsi="Arial" w:cs="Arial"/>
        </w:rPr>
      </w:pPr>
      <w:r w:rsidRPr="00007771">
        <w:rPr>
          <w:rFonts w:ascii="Arial" w:hAnsi="Arial" w:cs="Arial"/>
        </w:rPr>
        <w:t xml:space="preserve"> </w:t>
      </w:r>
      <w:r w:rsidR="00755F56" w:rsidRPr="00007771">
        <w:rPr>
          <w:rFonts w:ascii="Arial" w:hAnsi="Arial" w:cs="Arial"/>
        </w:rPr>
        <w:t xml:space="preserve">As a general rule, some decisions in the course of a criminal trial are made by the defendant and others are made by defense counsel. A defendant decides, for example, whether to testify and whether to plead guilty. Counsel typically decides strategy issues, such as which jurors to strike, which witnesses to call, and whether and how to conduct cross-examination. However, in North Carolina, the doctrine of absolute impasse affects these rules. Under this doctrine, when defense counsel and a fully informed criminal defendant reach an absolute impasse as to tactical decisions, the client's wishes must control. The seminal North Carolina case on absolute impasse is </w:t>
      </w:r>
      <w:r w:rsidR="0031473D" w:rsidRPr="00007771">
        <w:rPr>
          <w:rFonts w:ascii="Arial" w:hAnsi="Arial" w:cs="Arial"/>
          <w:i/>
        </w:rPr>
        <w:t xml:space="preserve">State v. Ali, </w:t>
      </w:r>
      <w:r w:rsidR="0031473D" w:rsidRPr="00007771">
        <w:rPr>
          <w:rFonts w:ascii="Arial" w:hAnsi="Arial" w:cs="Arial"/>
        </w:rPr>
        <w:t>329 N.C. 394, 404 (1991)</w:t>
      </w:r>
      <w:r w:rsidR="00755F56" w:rsidRPr="00007771">
        <w:rPr>
          <w:rFonts w:ascii="Arial" w:hAnsi="Arial" w:cs="Arial"/>
        </w:rPr>
        <w:t xml:space="preserve">, which grounded the rule on the principal-agent nature of the attorney-client relationship. </w:t>
      </w:r>
    </w:p>
    <w:p w14:paraId="52773235" w14:textId="77777777" w:rsidR="000E0073" w:rsidRPr="00007771" w:rsidRDefault="00755F56" w:rsidP="00BE7D9D">
      <w:pPr>
        <w:pStyle w:val="Heading1"/>
        <w:keepNext w:val="0"/>
        <w:keepLines w:val="0"/>
        <w:numPr>
          <w:ilvl w:val="0"/>
          <w:numId w:val="7"/>
        </w:numPr>
        <w:ind w:left="720"/>
        <w:rPr>
          <w:rFonts w:cs="Arial"/>
          <w:vanish/>
          <w:szCs w:val="22"/>
          <w:specVanish/>
        </w:rPr>
      </w:pPr>
      <w:bookmarkStart w:id="1" w:name="_Toc207291178"/>
      <w:r w:rsidRPr="00007771">
        <w:rPr>
          <w:rFonts w:cs="Arial"/>
          <w:szCs w:val="22"/>
        </w:rPr>
        <w:t>Limitations on the Rule.</w:t>
      </w:r>
      <w:bookmarkEnd w:id="1"/>
      <w:r w:rsidRPr="00007771">
        <w:rPr>
          <w:rFonts w:cs="Arial"/>
          <w:szCs w:val="22"/>
        </w:rPr>
        <w:t xml:space="preserve"> </w:t>
      </w:r>
    </w:p>
    <w:p w14:paraId="41CE0A26" w14:textId="06A2C4D2" w:rsidR="00E11CFA" w:rsidRDefault="00A16104" w:rsidP="00BE7D9D">
      <w:pPr>
        <w:pStyle w:val="ListParagraph"/>
        <w:spacing w:after="0" w:line="240" w:lineRule="auto"/>
        <w:rPr>
          <w:rFonts w:ascii="Arial" w:hAnsi="Arial" w:cs="Arial"/>
        </w:rPr>
      </w:pPr>
      <w:r w:rsidRPr="00007771">
        <w:rPr>
          <w:rFonts w:ascii="Arial" w:hAnsi="Arial" w:cs="Arial"/>
        </w:rPr>
        <w:t xml:space="preserve"> </w:t>
      </w:r>
      <w:r w:rsidR="00E11CFA" w:rsidRPr="00007771">
        <w:rPr>
          <w:rFonts w:ascii="Arial" w:hAnsi="Arial" w:cs="Arial"/>
        </w:rPr>
        <w:t>There are several limitation</w:t>
      </w:r>
      <w:r w:rsidR="005551E6" w:rsidRPr="00007771">
        <w:rPr>
          <w:rFonts w:ascii="Arial" w:hAnsi="Arial" w:cs="Arial"/>
        </w:rPr>
        <w:t>s</w:t>
      </w:r>
      <w:r w:rsidR="00E11CFA" w:rsidRPr="00007771">
        <w:rPr>
          <w:rFonts w:ascii="Arial" w:hAnsi="Arial" w:cs="Arial"/>
        </w:rPr>
        <w:t xml:space="preserve"> on the absolute impasse rule. First, it </w:t>
      </w:r>
      <w:r w:rsidR="00755F56" w:rsidRPr="00007771">
        <w:rPr>
          <w:rFonts w:ascii="Arial" w:hAnsi="Arial" w:cs="Arial"/>
        </w:rPr>
        <w:t xml:space="preserve">applies only when the defendant’s wishes with regard to trial strategy are lawful. </w:t>
      </w:r>
      <w:r w:rsidR="0031473D" w:rsidRPr="00007771">
        <w:rPr>
          <w:rFonts w:ascii="Arial" w:hAnsi="Arial" w:cs="Arial"/>
        </w:rPr>
        <w:t>State v. Williams, 191 N.C. App. 96, 104-05 (2008) (even if there was an absolute impasse as to jury selection tactics, defense counsel could not defer to the defendant’s wishes to engage in racially discriminatory jury selection)</w:t>
      </w:r>
      <w:r w:rsidR="00755F56" w:rsidRPr="00007771">
        <w:rPr>
          <w:rFonts w:ascii="Arial" w:hAnsi="Arial" w:cs="Arial"/>
        </w:rPr>
        <w:t>.</w:t>
      </w:r>
      <w:r w:rsidR="00E11CFA" w:rsidRPr="00007771">
        <w:rPr>
          <w:rFonts w:ascii="Arial" w:hAnsi="Arial" w:cs="Arial"/>
        </w:rPr>
        <w:t xml:space="preserve"> Second, it does not apply when the defendant seeks to have counsel assert frivolous claims, </w:t>
      </w:r>
      <w:r w:rsidR="0031473D" w:rsidRPr="00007771">
        <w:rPr>
          <w:rFonts w:ascii="Arial" w:hAnsi="Arial" w:cs="Arial"/>
        </w:rPr>
        <w:t>State v. Jones, 220 N.C. App. 392, 395 (2012) (the absolute impasse rule could not be used to compel counsel to “file frivolous motions and assert theories that lacked any basis in fact” regarding the defendant’s claim of police, prosecutorial, and defense attorney misconduct and conspiracy)</w:t>
      </w:r>
      <w:r w:rsidR="00E11CFA" w:rsidRPr="00007771">
        <w:rPr>
          <w:rFonts w:ascii="Arial" w:hAnsi="Arial" w:cs="Arial"/>
        </w:rPr>
        <w:t>, o</w:t>
      </w:r>
      <w:r w:rsidR="00906F0F" w:rsidRPr="00007771">
        <w:rPr>
          <w:rFonts w:ascii="Arial" w:hAnsi="Arial" w:cs="Arial"/>
        </w:rPr>
        <w:t>r</w:t>
      </w:r>
      <w:r w:rsidR="00E11CFA" w:rsidRPr="00007771">
        <w:rPr>
          <w:rFonts w:ascii="Arial" w:hAnsi="Arial" w:cs="Arial"/>
        </w:rPr>
        <w:t xml:space="preserve"> pursue a frivolous li</w:t>
      </w:r>
      <w:r w:rsidR="00906F0F" w:rsidRPr="00007771">
        <w:rPr>
          <w:rFonts w:ascii="Arial" w:hAnsi="Arial" w:cs="Arial"/>
        </w:rPr>
        <w:t>n</w:t>
      </w:r>
      <w:r w:rsidR="00E11CFA" w:rsidRPr="00007771">
        <w:rPr>
          <w:rFonts w:ascii="Arial" w:hAnsi="Arial" w:cs="Arial"/>
        </w:rPr>
        <w:t xml:space="preserve">e of cross-examination. </w:t>
      </w:r>
      <w:r w:rsidR="0031473D" w:rsidRPr="00007771">
        <w:rPr>
          <w:rFonts w:ascii="Arial" w:hAnsi="Arial" w:cs="Arial"/>
        </w:rPr>
        <w:t xml:space="preserve">State v. Ward, </w:t>
      </w:r>
      <w:r w:rsidR="00055878">
        <w:rPr>
          <w:rFonts w:ascii="Arial" w:hAnsi="Arial" w:cs="Arial"/>
        </w:rPr>
        <w:t>250</w:t>
      </w:r>
      <w:r w:rsidR="0031473D" w:rsidRPr="00007771">
        <w:rPr>
          <w:rFonts w:ascii="Arial" w:hAnsi="Arial" w:cs="Arial"/>
        </w:rPr>
        <w:t xml:space="preserve"> N.C. App. </w:t>
      </w:r>
      <w:r w:rsidR="00055878">
        <w:rPr>
          <w:rFonts w:ascii="Arial" w:hAnsi="Arial" w:cs="Arial"/>
        </w:rPr>
        <w:t>254, 258-59</w:t>
      </w:r>
      <w:r w:rsidR="0031473D" w:rsidRPr="00007771">
        <w:rPr>
          <w:rFonts w:ascii="Arial" w:hAnsi="Arial" w:cs="Arial"/>
        </w:rPr>
        <w:t xml:space="preserve"> (2016) (absolute impasse rule could not be used to require counsel to pursue a frivolous line of questioning; in this case, the defendant wanted counsel to cross-examine the State's DNA expert regarding whether possible mold contamination in the testing laboratory contaminated the testing done in this case; counsel, however, informed the trial court that there was no factual basis for such a claim)</w:t>
      </w:r>
      <w:r w:rsidR="00E11CFA" w:rsidRPr="00007771">
        <w:rPr>
          <w:rFonts w:ascii="Arial" w:hAnsi="Arial" w:cs="Arial"/>
        </w:rPr>
        <w:t xml:space="preserve">. </w:t>
      </w:r>
      <w:r w:rsidR="009137D7">
        <w:rPr>
          <w:rFonts w:ascii="Arial" w:hAnsi="Arial" w:cs="Arial"/>
        </w:rPr>
        <w:t>The Court of Appeals has indicated that in some situations a defendant may</w:t>
      </w:r>
      <w:r w:rsidR="007817C9">
        <w:rPr>
          <w:rFonts w:ascii="Arial" w:hAnsi="Arial" w:cs="Arial"/>
        </w:rPr>
        <w:t xml:space="preserve"> </w:t>
      </w:r>
      <w:r w:rsidR="009137D7">
        <w:rPr>
          <w:rFonts w:ascii="Arial" w:hAnsi="Arial" w:cs="Arial"/>
        </w:rPr>
        <w:lastRenderedPageBreak/>
        <w:t xml:space="preserve">waive an absolute impasse claim by </w:t>
      </w:r>
      <w:r w:rsidR="0078356F">
        <w:rPr>
          <w:rFonts w:ascii="Arial" w:hAnsi="Arial" w:cs="Arial"/>
        </w:rPr>
        <w:t>failing to timely notify defense counsel or the trial court of the defendant’s wishes concerning a strategic decision</w:t>
      </w:r>
      <w:r w:rsidR="009137D7">
        <w:rPr>
          <w:rFonts w:ascii="Arial" w:hAnsi="Arial" w:cs="Arial"/>
        </w:rPr>
        <w:t xml:space="preserve">. </w:t>
      </w:r>
      <w:r w:rsidR="009137D7" w:rsidRPr="00585CD2">
        <w:rPr>
          <w:rFonts w:ascii="Arial" w:hAnsi="Arial" w:cs="Arial"/>
        </w:rPr>
        <w:t>State v. Holliday, 289 N.C. App. 667, 675 (2023)</w:t>
      </w:r>
      <w:r w:rsidR="009137D7">
        <w:rPr>
          <w:rFonts w:ascii="Arial" w:hAnsi="Arial" w:cs="Arial"/>
        </w:rPr>
        <w:t xml:space="preserve"> (suggesting that the defendant had waived the right to have his wishes control an alleged absolute impasse on whether to subpoena an out-of-state witness by not making his insistence on the subpoena clear to defense counsel or the trial court until the first day of trial when the case had been pending for two years).</w:t>
      </w:r>
      <w:r w:rsidR="00AC32C9">
        <w:rPr>
          <w:rFonts w:ascii="Arial" w:hAnsi="Arial" w:cs="Arial"/>
        </w:rPr>
        <w:t xml:space="preserve">The Court of Appeals </w:t>
      </w:r>
      <w:r w:rsidR="009137D7">
        <w:rPr>
          <w:rFonts w:ascii="Arial" w:hAnsi="Arial" w:cs="Arial"/>
        </w:rPr>
        <w:t xml:space="preserve">also </w:t>
      </w:r>
      <w:r w:rsidR="00AC32C9">
        <w:rPr>
          <w:rFonts w:ascii="Arial" w:hAnsi="Arial" w:cs="Arial"/>
        </w:rPr>
        <w:t xml:space="preserve">has held that the rule is limited to the trial court level and does not apply in the context of appellate counsel. State v. Womble, </w:t>
      </w:r>
      <w:r w:rsidR="00761592">
        <w:rPr>
          <w:rFonts w:ascii="Arial" w:hAnsi="Arial" w:cs="Arial"/>
        </w:rPr>
        <w:t>297</w:t>
      </w:r>
      <w:r w:rsidR="00AC32C9">
        <w:rPr>
          <w:rFonts w:ascii="Arial" w:hAnsi="Arial" w:cs="Arial"/>
        </w:rPr>
        <w:t xml:space="preserve"> N.C. App. </w:t>
      </w:r>
      <w:r w:rsidR="00761592">
        <w:rPr>
          <w:rFonts w:ascii="Arial" w:hAnsi="Arial" w:cs="Arial"/>
        </w:rPr>
        <w:t>547, 552-53</w:t>
      </w:r>
      <w:r w:rsidR="00AC32C9">
        <w:rPr>
          <w:rFonts w:ascii="Arial" w:hAnsi="Arial" w:cs="Arial"/>
        </w:rPr>
        <w:t xml:space="preserve"> (2024).</w:t>
      </w:r>
    </w:p>
    <w:p w14:paraId="6407297C" w14:textId="5A36E48C" w:rsidR="00055878" w:rsidRPr="005C3CF8" w:rsidRDefault="00055878" w:rsidP="00BE7D9D">
      <w:pPr>
        <w:pStyle w:val="ListParagraph"/>
        <w:spacing w:after="0" w:line="240" w:lineRule="auto"/>
        <w:rPr>
          <w:rFonts w:ascii="Arial" w:hAnsi="Arial" w:cs="Arial"/>
        </w:rPr>
      </w:pPr>
      <w:r>
        <w:rPr>
          <w:rFonts w:ascii="Arial" w:hAnsi="Arial" w:cs="Arial"/>
        </w:rPr>
        <w:tab/>
        <w:t xml:space="preserve">Note that </w:t>
      </w:r>
      <w:r w:rsidR="005C3CF8">
        <w:rPr>
          <w:rFonts w:ascii="Arial" w:hAnsi="Arial" w:cs="Arial"/>
        </w:rPr>
        <w:t xml:space="preserve">whether a defendant and defense counsel have reached an absolute impasse </w:t>
      </w:r>
      <w:r w:rsidR="001F38CF">
        <w:rPr>
          <w:rFonts w:ascii="Arial" w:hAnsi="Arial" w:cs="Arial"/>
        </w:rPr>
        <w:t>on</w:t>
      </w:r>
      <w:r w:rsidR="005C3CF8">
        <w:rPr>
          <w:rFonts w:ascii="Arial" w:hAnsi="Arial" w:cs="Arial"/>
        </w:rPr>
        <w:t xml:space="preserve"> trial strategy is a distinct analysis from whether </w:t>
      </w:r>
      <w:r w:rsidR="007827A7">
        <w:rPr>
          <w:rFonts w:ascii="Arial" w:hAnsi="Arial" w:cs="Arial"/>
        </w:rPr>
        <w:t>the trial court must permit a</w:t>
      </w:r>
      <w:r w:rsidR="005C3CF8">
        <w:rPr>
          <w:rFonts w:ascii="Arial" w:hAnsi="Arial" w:cs="Arial"/>
        </w:rPr>
        <w:t xml:space="preserve"> defendant </w:t>
      </w:r>
      <w:r w:rsidR="007827A7">
        <w:rPr>
          <w:rFonts w:ascii="Arial" w:hAnsi="Arial" w:cs="Arial"/>
        </w:rPr>
        <w:t xml:space="preserve">to </w:t>
      </w:r>
      <w:r w:rsidR="005C3CF8">
        <w:rPr>
          <w:rFonts w:ascii="Arial" w:hAnsi="Arial" w:cs="Arial"/>
        </w:rPr>
        <w:t>substitute or dismiss defense counsel. State v. Goodwin, 267 N.C. App. 437, 441 (2019) (trial court committed reversible error by</w:t>
      </w:r>
      <w:r w:rsidR="007827A7">
        <w:rPr>
          <w:rFonts w:ascii="Arial" w:hAnsi="Arial" w:cs="Arial"/>
        </w:rPr>
        <w:t xml:space="preserve"> denying defendant’s request for new counsel</w:t>
      </w:r>
      <w:r w:rsidR="005C3CF8">
        <w:rPr>
          <w:rFonts w:ascii="Arial" w:hAnsi="Arial" w:cs="Arial"/>
        </w:rPr>
        <w:t xml:space="preserve"> </w:t>
      </w:r>
      <w:r w:rsidR="007827A7">
        <w:rPr>
          <w:rFonts w:ascii="Arial" w:hAnsi="Arial" w:cs="Arial"/>
        </w:rPr>
        <w:t>on grounds that the</w:t>
      </w:r>
      <w:r w:rsidR="005C3CF8">
        <w:rPr>
          <w:rFonts w:ascii="Arial" w:hAnsi="Arial" w:cs="Arial"/>
        </w:rPr>
        <w:t xml:space="preserve"> absolute impasse standard</w:t>
      </w:r>
      <w:r w:rsidR="007827A7">
        <w:rPr>
          <w:rFonts w:ascii="Arial" w:hAnsi="Arial" w:cs="Arial"/>
        </w:rPr>
        <w:t xml:space="preserve"> had not been met; defendant did not assert that he and defense counsel were at an impasse but rather that he was entitled to counsel of his choice</w:t>
      </w:r>
      <w:r w:rsidR="005C3CF8">
        <w:rPr>
          <w:rFonts w:ascii="Arial" w:hAnsi="Arial" w:cs="Arial"/>
        </w:rPr>
        <w:t xml:space="preserve">). </w:t>
      </w:r>
      <w:r w:rsidR="005C3CF8">
        <w:rPr>
          <w:rFonts w:ascii="Arial" w:hAnsi="Arial" w:cs="Arial"/>
          <w:i/>
          <w:iCs/>
        </w:rPr>
        <w:t xml:space="preserve">See generally </w:t>
      </w:r>
      <w:hyperlink r:id="rId8" w:history="1">
        <w:r w:rsidR="005C3CF8" w:rsidRPr="005C3CF8">
          <w:rPr>
            <w:rStyle w:val="Hyperlink"/>
            <w:rFonts w:ascii="Arial" w:hAnsi="Arial" w:cs="Arial"/>
          </w:rPr>
          <w:t>Right to Counsel During Criminal Prosecution</w:t>
        </w:r>
      </w:hyperlink>
      <w:r w:rsidR="001F38CF">
        <w:rPr>
          <w:rFonts w:ascii="Arial" w:hAnsi="Arial" w:cs="Arial"/>
        </w:rPr>
        <w:t xml:space="preserve"> (discussing standards for substituting or dismissing defense counsel)</w:t>
      </w:r>
      <w:r w:rsidR="005C3CF8">
        <w:rPr>
          <w:rFonts w:ascii="Arial" w:hAnsi="Arial" w:cs="Arial"/>
        </w:rPr>
        <w:t>.</w:t>
      </w:r>
    </w:p>
    <w:p w14:paraId="1868270E" w14:textId="65D3233D" w:rsidR="000E0073" w:rsidRPr="00007771" w:rsidRDefault="00755F56" w:rsidP="00BE7D9D">
      <w:pPr>
        <w:pStyle w:val="Heading1"/>
        <w:keepNext w:val="0"/>
        <w:keepLines w:val="0"/>
        <w:numPr>
          <w:ilvl w:val="0"/>
          <w:numId w:val="7"/>
        </w:numPr>
        <w:ind w:left="720"/>
        <w:rPr>
          <w:rFonts w:cs="Arial"/>
          <w:vanish/>
          <w:szCs w:val="22"/>
          <w:specVanish/>
        </w:rPr>
      </w:pPr>
      <w:bookmarkStart w:id="2" w:name="_Toc207291179"/>
      <w:r w:rsidRPr="00007771">
        <w:rPr>
          <w:rFonts w:cs="Arial"/>
          <w:szCs w:val="22"/>
        </w:rPr>
        <w:t>What Constitutes an Absolute Impasse.</w:t>
      </w:r>
      <w:bookmarkEnd w:id="2"/>
    </w:p>
    <w:p w14:paraId="3087D6E1" w14:textId="77777777" w:rsidR="00C01722" w:rsidRDefault="00A16104" w:rsidP="00BE7D9D">
      <w:pPr>
        <w:pStyle w:val="ListParagraph"/>
        <w:spacing w:after="0" w:line="240" w:lineRule="auto"/>
        <w:rPr>
          <w:rFonts w:ascii="Arial" w:hAnsi="Arial" w:cs="Arial"/>
        </w:rPr>
      </w:pPr>
      <w:r w:rsidRPr="00007771">
        <w:rPr>
          <w:rFonts w:ascii="Arial" w:hAnsi="Arial" w:cs="Arial"/>
        </w:rPr>
        <w:t xml:space="preserve"> </w:t>
      </w:r>
    </w:p>
    <w:p w14:paraId="53F3F9F4" w14:textId="6C2B7855" w:rsidR="00820D96" w:rsidRPr="00C01722" w:rsidRDefault="00C01722" w:rsidP="00C01722">
      <w:pPr>
        <w:pStyle w:val="ListParagraph"/>
        <w:numPr>
          <w:ilvl w:val="0"/>
          <w:numId w:val="9"/>
        </w:numPr>
        <w:spacing w:after="0" w:line="240" w:lineRule="auto"/>
        <w:ind w:left="1440" w:hanging="720"/>
        <w:rPr>
          <w:rFonts w:ascii="Arial" w:hAnsi="Arial" w:cs="Arial"/>
        </w:rPr>
      </w:pPr>
      <w:bookmarkStart w:id="3" w:name="_Toc207291180"/>
      <w:r w:rsidRPr="00476CBA">
        <w:rPr>
          <w:rStyle w:val="Heading2Char"/>
        </w:rPr>
        <w:t>Disagreement on Trial Strategy</w:t>
      </w:r>
      <w:bookmarkEnd w:id="3"/>
      <w:r>
        <w:rPr>
          <w:rFonts w:ascii="Arial" w:hAnsi="Arial" w:cs="Arial"/>
          <w:b/>
          <w:bCs/>
        </w:rPr>
        <w:t xml:space="preserve">. </w:t>
      </w:r>
      <w:r w:rsidR="00C2216F">
        <w:rPr>
          <w:rFonts w:ascii="Arial" w:hAnsi="Arial" w:cs="Arial"/>
        </w:rPr>
        <w:t>F</w:t>
      </w:r>
      <w:r w:rsidR="00755F56" w:rsidRPr="00C01722">
        <w:rPr>
          <w:rFonts w:ascii="Arial" w:hAnsi="Arial" w:cs="Arial"/>
        </w:rPr>
        <w:t>or an absolute impasse to occur, the defendant and defense counsel must be locked in controversy regarding a matter of trial strategy, such as whether to strike a prospective juror.</w:t>
      </w:r>
      <w:r w:rsidR="0080584B" w:rsidRPr="00C01722">
        <w:rPr>
          <w:rFonts w:ascii="Arial" w:hAnsi="Arial" w:cs="Arial"/>
        </w:rPr>
        <w:t xml:space="preserve"> </w:t>
      </w:r>
      <w:r w:rsidR="00A46162" w:rsidRPr="00C01722">
        <w:rPr>
          <w:rFonts w:ascii="Arial" w:hAnsi="Arial" w:cs="Arial"/>
        </w:rPr>
        <w:t xml:space="preserve">State v. Mitchell, 353 N.C. 309, 323 (2001) (absolute impasse existed as to whether to attempt to rehabilitate juror during </w:t>
      </w:r>
      <w:proofErr w:type="spellStart"/>
      <w:r w:rsidR="00A46162" w:rsidRPr="00C01722">
        <w:rPr>
          <w:rFonts w:ascii="Arial" w:hAnsi="Arial" w:cs="Arial"/>
        </w:rPr>
        <w:t>voir</w:t>
      </w:r>
      <w:proofErr w:type="spellEnd"/>
      <w:r w:rsidR="00A46162" w:rsidRPr="00C01722">
        <w:rPr>
          <w:rFonts w:ascii="Arial" w:hAnsi="Arial" w:cs="Arial"/>
        </w:rPr>
        <w:t xml:space="preserve"> dire);</w:t>
      </w:r>
      <w:r w:rsidR="0080584B" w:rsidRPr="00C01722">
        <w:rPr>
          <w:rFonts w:ascii="Arial" w:hAnsi="Arial" w:cs="Arial"/>
          <w:i/>
        </w:rPr>
        <w:t xml:space="preserve"> </w:t>
      </w:r>
      <w:r w:rsidR="0080584B" w:rsidRPr="00C01722">
        <w:rPr>
          <w:rFonts w:ascii="Arial" w:hAnsi="Arial" w:cs="Arial"/>
        </w:rPr>
        <w:t>State v. White, 349 N.C. 535, 567 (1998) (absolute impasse existed as to whether to present certain evidence);</w:t>
      </w:r>
      <w:r w:rsidR="00905254">
        <w:rPr>
          <w:rFonts w:ascii="Arial" w:hAnsi="Arial" w:cs="Arial"/>
        </w:rPr>
        <w:t xml:space="preserve"> </w:t>
      </w:r>
      <w:r w:rsidR="00905254" w:rsidRPr="00C01722">
        <w:rPr>
          <w:rFonts w:ascii="Arial" w:hAnsi="Arial" w:cs="Arial"/>
        </w:rPr>
        <w:t>State v. Freeman, 202 N.C. App. 740, 745-46 (2010) (the defendant and counsel reached an absolute impasse over whether to accept or strike a juror);</w:t>
      </w:r>
      <w:r w:rsidR="00905254">
        <w:rPr>
          <w:rFonts w:ascii="Arial" w:hAnsi="Arial" w:cs="Arial"/>
        </w:rPr>
        <w:t xml:space="preserve"> </w:t>
      </w:r>
      <w:r w:rsidR="00905254">
        <w:rPr>
          <w:rFonts w:ascii="Arial" w:hAnsi="Arial" w:cs="Arial"/>
          <w:i/>
          <w:iCs/>
        </w:rPr>
        <w:t>see also</w:t>
      </w:r>
      <w:r w:rsidR="00E604D1" w:rsidRPr="00C01722">
        <w:rPr>
          <w:rFonts w:ascii="Arial" w:hAnsi="Arial" w:cs="Arial"/>
        </w:rPr>
        <w:t xml:space="preserve"> State v. Holliday, </w:t>
      </w:r>
      <w:r w:rsidR="00EC50B4" w:rsidRPr="00C01722">
        <w:rPr>
          <w:rFonts w:ascii="Arial" w:hAnsi="Arial" w:cs="Arial"/>
        </w:rPr>
        <w:t xml:space="preserve">289 N.C. App. 667, 674 (2023) (“[N]o actual impasse exists . . . when the record fails to disclose any disagreement between the defendant and counsel with respect to </w:t>
      </w:r>
      <w:r w:rsidR="00EC50B4" w:rsidRPr="00903E49">
        <w:rPr>
          <w:rFonts w:ascii="Arial" w:hAnsi="Arial" w:cs="Arial"/>
          <w:i/>
          <w:iCs/>
        </w:rPr>
        <w:t>trial tactics</w:t>
      </w:r>
      <w:r w:rsidR="00EC50B4" w:rsidRPr="00C01722">
        <w:rPr>
          <w:rFonts w:ascii="Arial" w:hAnsi="Arial" w:cs="Arial"/>
        </w:rPr>
        <w:t>.”).</w:t>
      </w:r>
      <w:r w:rsidR="00755F56" w:rsidRPr="00C01722">
        <w:rPr>
          <w:rFonts w:ascii="Arial" w:hAnsi="Arial" w:cs="Arial"/>
        </w:rPr>
        <w:t xml:space="preserve"> </w:t>
      </w:r>
      <w:r w:rsidR="00A46162" w:rsidRPr="00C01722">
        <w:rPr>
          <w:rFonts w:ascii="Arial" w:hAnsi="Arial" w:cs="Arial"/>
        </w:rPr>
        <w:t>N</w:t>
      </w:r>
      <w:r w:rsidR="00755F56" w:rsidRPr="00C01722">
        <w:rPr>
          <w:rFonts w:ascii="Arial" w:hAnsi="Arial" w:cs="Arial"/>
        </w:rPr>
        <w:t xml:space="preserve">ot all disagreements between a defendant and defense counsel rise to the level of an absolute impasse. </w:t>
      </w:r>
      <w:r w:rsidR="0080584B" w:rsidRPr="00C01722">
        <w:rPr>
          <w:rFonts w:ascii="Arial" w:hAnsi="Arial" w:cs="Arial"/>
          <w:i/>
        </w:rPr>
        <w:t>See, e.g.</w:t>
      </w:r>
      <w:r w:rsidR="0080584B" w:rsidRPr="00C01722">
        <w:rPr>
          <w:rFonts w:ascii="Arial" w:hAnsi="Arial" w:cs="Arial"/>
          <w:iCs/>
        </w:rPr>
        <w:t>,</w:t>
      </w:r>
      <w:r w:rsidR="0080584B" w:rsidRPr="00C01722">
        <w:rPr>
          <w:rFonts w:ascii="Arial" w:hAnsi="Arial" w:cs="Arial"/>
          <w:i/>
        </w:rPr>
        <w:t xml:space="preserve"> </w:t>
      </w:r>
      <w:r w:rsidR="005773AC" w:rsidRPr="00C01722">
        <w:rPr>
          <w:rFonts w:ascii="Arial" w:hAnsi="Arial" w:cs="Arial"/>
        </w:rPr>
        <w:t xml:space="preserve">State v. Strickland, 283 N.C. App. 295, 303 (2022) (no absolute impasse existed where the defendant, among other complaints, </w:t>
      </w:r>
      <w:r w:rsidR="00EA086B" w:rsidRPr="00C01722">
        <w:rPr>
          <w:rFonts w:ascii="Arial" w:hAnsi="Arial" w:cs="Arial"/>
        </w:rPr>
        <w:t>viewed</w:t>
      </w:r>
      <w:r w:rsidR="005773AC" w:rsidRPr="00C01722">
        <w:rPr>
          <w:rFonts w:ascii="Arial" w:hAnsi="Arial" w:cs="Arial"/>
        </w:rPr>
        <w:t xml:space="preserve"> defense counsel’s cross-examinations and objections </w:t>
      </w:r>
      <w:r w:rsidR="00EA086B" w:rsidRPr="00C01722">
        <w:rPr>
          <w:rFonts w:ascii="Arial" w:hAnsi="Arial" w:cs="Arial"/>
        </w:rPr>
        <w:t>as insufficient</w:t>
      </w:r>
      <w:r w:rsidR="005773AC" w:rsidRPr="00C01722">
        <w:rPr>
          <w:rFonts w:ascii="Arial" w:hAnsi="Arial" w:cs="Arial"/>
        </w:rPr>
        <w:t>)</w:t>
      </w:r>
      <w:r w:rsidR="00C2216F">
        <w:rPr>
          <w:rFonts w:ascii="Arial" w:hAnsi="Arial" w:cs="Arial"/>
        </w:rPr>
        <w:t>;</w:t>
      </w:r>
      <w:r w:rsidR="00C2216F" w:rsidRPr="00C2216F">
        <w:rPr>
          <w:rFonts w:ascii="Arial" w:hAnsi="Arial" w:cs="Arial"/>
        </w:rPr>
        <w:t xml:space="preserve"> </w:t>
      </w:r>
      <w:r w:rsidR="00C2216F" w:rsidRPr="00C01722">
        <w:rPr>
          <w:rFonts w:ascii="Arial" w:hAnsi="Arial" w:cs="Arial"/>
        </w:rPr>
        <w:t>State v. McCarver, 341 N.C. 364, 385 (1995) (</w:t>
      </w:r>
      <w:r w:rsidR="00C2216F">
        <w:rPr>
          <w:rFonts w:ascii="Arial" w:hAnsi="Arial" w:cs="Arial"/>
        </w:rPr>
        <w:t>finding no absolute impasse despite defense counsel’s statements that “[t]</w:t>
      </w:r>
      <w:r w:rsidR="00C2216F" w:rsidRPr="00D02D3B">
        <w:rPr>
          <w:rFonts w:ascii="Arial" w:hAnsi="Arial" w:cs="Arial"/>
        </w:rPr>
        <w:t>wo or three times this morning [defendant] wanted me to stop the trial and I refused</w:t>
      </w:r>
      <w:r w:rsidR="00C2216F">
        <w:rPr>
          <w:rFonts w:ascii="Arial" w:hAnsi="Arial" w:cs="Arial"/>
        </w:rPr>
        <w:t xml:space="preserve"> . </w:t>
      </w:r>
      <w:r w:rsidR="00C2216F" w:rsidRPr="00D02D3B">
        <w:rPr>
          <w:rFonts w:ascii="Arial" w:hAnsi="Arial" w:cs="Arial"/>
        </w:rPr>
        <w:t xml:space="preserve">. </w:t>
      </w:r>
      <w:r w:rsidR="00C2216F">
        <w:rPr>
          <w:rFonts w:ascii="Arial" w:hAnsi="Arial" w:cs="Arial"/>
        </w:rPr>
        <w:t xml:space="preserve">. </w:t>
      </w:r>
      <w:r w:rsidR="00C2216F" w:rsidRPr="00D02D3B">
        <w:rPr>
          <w:rFonts w:ascii="Arial" w:hAnsi="Arial" w:cs="Arial"/>
        </w:rPr>
        <w:t>.</w:t>
      </w:r>
      <w:r w:rsidR="00C2216F">
        <w:rPr>
          <w:rFonts w:ascii="Arial" w:hAnsi="Arial" w:cs="Arial"/>
        </w:rPr>
        <w:t xml:space="preserve"> </w:t>
      </w:r>
      <w:r w:rsidR="00C2216F" w:rsidRPr="00D02D3B">
        <w:rPr>
          <w:rFonts w:ascii="Arial" w:hAnsi="Arial" w:cs="Arial"/>
        </w:rPr>
        <w:t>I would like the Court to know that, if I may. I will not let [defendant] run this case. He knows that. He does not control the defense, he can make suggestions.</w:t>
      </w:r>
      <w:r w:rsidR="00C2216F">
        <w:rPr>
          <w:rFonts w:ascii="Arial" w:hAnsi="Arial" w:cs="Arial"/>
        </w:rPr>
        <w:t>”)</w:t>
      </w:r>
      <w:r w:rsidR="00C2216F" w:rsidRPr="00C01722">
        <w:rPr>
          <w:rFonts w:ascii="Arial" w:hAnsi="Arial" w:cs="Arial"/>
        </w:rPr>
        <w:t>;</w:t>
      </w:r>
      <w:r w:rsidR="004F08F1" w:rsidRPr="00C01722">
        <w:rPr>
          <w:rFonts w:ascii="Arial" w:hAnsi="Arial" w:cs="Arial"/>
        </w:rPr>
        <w:t xml:space="preserve"> State v. Ward, 281 N.C App. 484, 487 (2022) (</w:t>
      </w:r>
      <w:r w:rsidR="00CF2F60" w:rsidRPr="00C01722">
        <w:rPr>
          <w:rFonts w:ascii="Arial" w:hAnsi="Arial" w:cs="Arial"/>
        </w:rPr>
        <w:t>no absolute impasse existed where the defendant expressed general dissatisfaction with</w:t>
      </w:r>
      <w:r w:rsidR="00165735" w:rsidRPr="00C01722">
        <w:rPr>
          <w:rFonts w:ascii="Arial" w:hAnsi="Arial" w:cs="Arial"/>
        </w:rPr>
        <w:t xml:space="preserve"> and desire to fire</w:t>
      </w:r>
      <w:r w:rsidR="00CF2F60" w:rsidRPr="00C01722">
        <w:rPr>
          <w:rFonts w:ascii="Arial" w:hAnsi="Arial" w:cs="Arial"/>
        </w:rPr>
        <w:t xml:space="preserve"> defense counsel</w:t>
      </w:r>
      <w:r w:rsidR="00165735" w:rsidRPr="00C01722">
        <w:rPr>
          <w:rFonts w:ascii="Arial" w:hAnsi="Arial" w:cs="Arial"/>
        </w:rPr>
        <w:t xml:space="preserve"> during trial</w:t>
      </w:r>
      <w:r w:rsidR="004F08F1" w:rsidRPr="00C01722">
        <w:rPr>
          <w:rFonts w:ascii="Arial" w:hAnsi="Arial" w:cs="Arial"/>
        </w:rPr>
        <w:t>)</w:t>
      </w:r>
      <w:r w:rsidR="005773AC" w:rsidRPr="00C01722">
        <w:rPr>
          <w:rFonts w:ascii="Arial" w:hAnsi="Arial" w:cs="Arial"/>
        </w:rPr>
        <w:t>,</w:t>
      </w:r>
      <w:r w:rsidR="00027CE3" w:rsidRPr="00C01722">
        <w:rPr>
          <w:rFonts w:ascii="Arial" w:hAnsi="Arial" w:cs="Arial"/>
        </w:rPr>
        <w:t xml:space="preserve"> State v. Curry, 256 N.C. App. 86, 97-98 (2017) (no absolute impasse existed where trial counsel </w:t>
      </w:r>
      <w:r w:rsidR="007827A7" w:rsidRPr="00C01722">
        <w:rPr>
          <w:rFonts w:ascii="Arial" w:hAnsi="Arial" w:cs="Arial"/>
        </w:rPr>
        <w:t>sought</w:t>
      </w:r>
      <w:r w:rsidR="00027CE3" w:rsidRPr="00C01722">
        <w:rPr>
          <w:rFonts w:ascii="Arial" w:hAnsi="Arial" w:cs="Arial"/>
        </w:rPr>
        <w:t xml:space="preserve"> to withdraw on grounds that the attorney-client relationship had been destroyed by the defendant’s lack of veracity but record showed no disagreement regarding trial tactics)</w:t>
      </w:r>
      <w:r w:rsidR="0080584B" w:rsidRPr="00C01722">
        <w:rPr>
          <w:rFonts w:ascii="Arial" w:hAnsi="Arial" w:cs="Arial"/>
        </w:rPr>
        <w:t>;</w:t>
      </w:r>
      <w:r w:rsidR="00755F56" w:rsidRPr="00C01722">
        <w:rPr>
          <w:rFonts w:ascii="Arial" w:hAnsi="Arial" w:cs="Arial"/>
          <w:i/>
        </w:rPr>
        <w:t xml:space="preserve"> </w:t>
      </w:r>
      <w:r w:rsidR="0031473D" w:rsidRPr="00C01722">
        <w:rPr>
          <w:rFonts w:ascii="Arial" w:hAnsi="Arial" w:cs="Arial"/>
          <w:i/>
        </w:rPr>
        <w:t>Williams</w:t>
      </w:r>
      <w:r w:rsidR="0031473D" w:rsidRPr="00C01722">
        <w:rPr>
          <w:rFonts w:ascii="Arial" w:hAnsi="Arial" w:cs="Arial"/>
        </w:rPr>
        <w:t>, 191 N.C. App. at 99 (rejecting the defendant’s argument that an absolute impasse existed regarding jury selection; while the defendant was dissatisfied with the fact that he was required to stand trial at all, he did not have a specific disagreement with counsel regarding the use of peremptory challenges)</w:t>
      </w:r>
      <w:r w:rsidR="00755F56" w:rsidRPr="00C01722">
        <w:rPr>
          <w:rFonts w:ascii="Arial" w:hAnsi="Arial" w:cs="Arial"/>
        </w:rPr>
        <w:t xml:space="preserve">. </w:t>
      </w:r>
    </w:p>
    <w:p w14:paraId="6EAEEFFE" w14:textId="662065DF" w:rsidR="00755F56" w:rsidRDefault="00755F56" w:rsidP="00C01722">
      <w:pPr>
        <w:pStyle w:val="ListParagraph"/>
        <w:spacing w:after="0" w:line="240" w:lineRule="auto"/>
        <w:ind w:left="1440" w:firstLine="720"/>
        <w:rPr>
          <w:rFonts w:ascii="Arial" w:hAnsi="Arial" w:cs="Arial"/>
        </w:rPr>
      </w:pPr>
      <w:r w:rsidRPr="00C01722">
        <w:rPr>
          <w:rFonts w:ascii="Arial" w:hAnsi="Arial" w:cs="Arial"/>
        </w:rPr>
        <w:t xml:space="preserve">If the defendant defers to </w:t>
      </w:r>
      <w:proofErr w:type="spellStart"/>
      <w:r w:rsidRPr="00C01722">
        <w:rPr>
          <w:rFonts w:ascii="Arial" w:hAnsi="Arial" w:cs="Arial"/>
        </w:rPr>
        <w:t>counsel’s</w:t>
      </w:r>
      <w:proofErr w:type="spellEnd"/>
      <w:r w:rsidRPr="00C01722">
        <w:rPr>
          <w:rFonts w:ascii="Arial" w:hAnsi="Arial" w:cs="Arial"/>
        </w:rPr>
        <w:t xml:space="preserve"> decision, there is no absolute impasse. </w:t>
      </w:r>
      <w:r w:rsidR="009F2BE4" w:rsidRPr="00C01722">
        <w:rPr>
          <w:rFonts w:ascii="Arial" w:hAnsi="Arial" w:cs="Arial"/>
        </w:rPr>
        <w:t>State v. Wilkinson, 344 N.C. 198, 211-12 (1996) (</w:t>
      </w:r>
      <w:r w:rsidR="00EA1F5F">
        <w:rPr>
          <w:rFonts w:ascii="Arial" w:hAnsi="Arial" w:cs="Arial"/>
        </w:rPr>
        <w:t xml:space="preserve">no absolute impasse </w:t>
      </w:r>
      <w:r w:rsidR="00EA1F5F">
        <w:rPr>
          <w:rFonts w:ascii="Arial" w:hAnsi="Arial" w:cs="Arial"/>
        </w:rPr>
        <w:lastRenderedPageBreak/>
        <w:t>existed where during</w:t>
      </w:r>
      <w:r w:rsidR="009F2BE4" w:rsidRPr="00C01722">
        <w:rPr>
          <w:rFonts w:ascii="Arial" w:hAnsi="Arial" w:cs="Arial"/>
        </w:rPr>
        <w:t xml:space="preserve"> colloquy with </w:t>
      </w:r>
      <w:r w:rsidR="00EA1F5F">
        <w:rPr>
          <w:rFonts w:ascii="Arial" w:hAnsi="Arial" w:cs="Arial"/>
        </w:rPr>
        <w:t xml:space="preserve">the </w:t>
      </w:r>
      <w:r w:rsidR="009F2BE4" w:rsidRPr="00C01722">
        <w:rPr>
          <w:rFonts w:ascii="Arial" w:hAnsi="Arial" w:cs="Arial"/>
        </w:rPr>
        <w:t xml:space="preserve">trial court </w:t>
      </w:r>
      <w:r w:rsidR="00EA1F5F">
        <w:rPr>
          <w:rFonts w:ascii="Arial" w:hAnsi="Arial" w:cs="Arial"/>
        </w:rPr>
        <w:t xml:space="preserve">the </w:t>
      </w:r>
      <w:r w:rsidR="009F2BE4" w:rsidRPr="00C01722">
        <w:rPr>
          <w:rFonts w:ascii="Arial" w:hAnsi="Arial" w:cs="Arial"/>
        </w:rPr>
        <w:t xml:space="preserve">defendant voiced his satisfaction with the court directing defense counsel to proceed with presenting evidence that </w:t>
      </w:r>
      <w:r w:rsidR="00EA1F5F">
        <w:rPr>
          <w:rFonts w:ascii="Arial" w:hAnsi="Arial" w:cs="Arial"/>
        </w:rPr>
        <w:t xml:space="preserve">the </w:t>
      </w:r>
      <w:r w:rsidR="009F2BE4" w:rsidRPr="00C01722">
        <w:rPr>
          <w:rFonts w:ascii="Arial" w:hAnsi="Arial" w:cs="Arial"/>
        </w:rPr>
        <w:t>defendant, prior to the colloquy</w:t>
      </w:r>
      <w:r w:rsidR="00EA1F5F">
        <w:rPr>
          <w:rFonts w:ascii="Arial" w:hAnsi="Arial" w:cs="Arial"/>
        </w:rPr>
        <w:t xml:space="preserve"> and against defense counsel’s advice</w:t>
      </w:r>
      <w:r w:rsidR="009F2BE4" w:rsidRPr="00C01722">
        <w:rPr>
          <w:rFonts w:ascii="Arial" w:hAnsi="Arial" w:cs="Arial"/>
        </w:rPr>
        <w:t xml:space="preserve">, said was unnecessary to present); </w:t>
      </w:r>
      <w:r w:rsidR="0031473D" w:rsidRPr="00C01722">
        <w:rPr>
          <w:rFonts w:ascii="Arial" w:hAnsi="Arial" w:cs="Arial"/>
          <w:i/>
        </w:rPr>
        <w:t xml:space="preserve">Williams, </w:t>
      </w:r>
      <w:r w:rsidR="0031473D" w:rsidRPr="00C01722">
        <w:rPr>
          <w:rFonts w:ascii="Arial" w:hAnsi="Arial" w:cs="Arial"/>
        </w:rPr>
        <w:t xml:space="preserve">191 N.C. App. at 103-04 (the defendant deferred to defense </w:t>
      </w:r>
      <w:proofErr w:type="spellStart"/>
      <w:r w:rsidR="0031473D" w:rsidRPr="00C01722">
        <w:rPr>
          <w:rFonts w:ascii="Arial" w:hAnsi="Arial" w:cs="Arial"/>
        </w:rPr>
        <w:t>counsel’s</w:t>
      </w:r>
      <w:proofErr w:type="spellEnd"/>
      <w:r w:rsidR="0031473D" w:rsidRPr="00C01722">
        <w:rPr>
          <w:rFonts w:ascii="Arial" w:hAnsi="Arial" w:cs="Arial"/>
        </w:rPr>
        <w:t xml:space="preserve"> decision)</w:t>
      </w:r>
      <w:r w:rsidR="0001571E" w:rsidRPr="00C01722">
        <w:rPr>
          <w:rFonts w:ascii="Arial" w:hAnsi="Arial" w:cs="Arial"/>
        </w:rPr>
        <w:t xml:space="preserve">; </w:t>
      </w:r>
      <w:r w:rsidR="0001571E" w:rsidRPr="00C01722">
        <w:rPr>
          <w:rFonts w:ascii="Arial" w:hAnsi="Arial" w:cs="Arial"/>
          <w:i/>
          <w:iCs/>
        </w:rPr>
        <w:t xml:space="preserve">see also </w:t>
      </w:r>
      <w:r w:rsidR="0001571E" w:rsidRPr="00C01722">
        <w:rPr>
          <w:rFonts w:ascii="Arial" w:hAnsi="Arial" w:cs="Arial"/>
        </w:rPr>
        <w:t>State v. Henderson, ___ N.C. App. ___, 916 S.E.2d 58, 65 (2025) (no absolute impasse existed</w:t>
      </w:r>
      <w:r w:rsidR="00EA1F5F">
        <w:rPr>
          <w:rFonts w:ascii="Arial" w:hAnsi="Arial" w:cs="Arial"/>
        </w:rPr>
        <w:t xml:space="preserve"> where</w:t>
      </w:r>
      <w:r w:rsidR="0001571E" w:rsidRPr="00C01722">
        <w:rPr>
          <w:rFonts w:ascii="Arial" w:hAnsi="Arial" w:cs="Arial"/>
        </w:rPr>
        <w:t xml:space="preserve"> the defendant and defense counsel had an initial disagreement as to how to present certain evidence, defense counsel advised the trial court of the disagreement, the court addressed the issue through a colloquy with the defendant, </w:t>
      </w:r>
      <w:r w:rsidR="002070A5">
        <w:rPr>
          <w:rFonts w:ascii="Arial" w:hAnsi="Arial" w:cs="Arial"/>
        </w:rPr>
        <w:t xml:space="preserve">the evidence was presented in the manner defense counsel wished, </w:t>
      </w:r>
      <w:r w:rsidR="0001571E" w:rsidRPr="00C01722">
        <w:rPr>
          <w:rFonts w:ascii="Arial" w:hAnsi="Arial" w:cs="Arial"/>
        </w:rPr>
        <w:t>and the defendant did not raise further concerns thereafter when the trial court offered the opportunity to do so)</w:t>
      </w:r>
      <w:r w:rsidRPr="00C01722">
        <w:rPr>
          <w:rFonts w:ascii="Arial" w:hAnsi="Arial" w:cs="Arial"/>
        </w:rPr>
        <w:t>.</w:t>
      </w:r>
    </w:p>
    <w:p w14:paraId="07D4719D" w14:textId="7D05C86C" w:rsidR="00C01722" w:rsidRPr="00C01722" w:rsidRDefault="00C01722" w:rsidP="00C01722">
      <w:pPr>
        <w:pStyle w:val="ListParagraph"/>
        <w:numPr>
          <w:ilvl w:val="0"/>
          <w:numId w:val="9"/>
        </w:numPr>
        <w:spacing w:after="0" w:line="240" w:lineRule="auto"/>
        <w:ind w:left="1440" w:hanging="720"/>
        <w:rPr>
          <w:rFonts w:ascii="Arial" w:hAnsi="Arial" w:cs="Arial"/>
        </w:rPr>
      </w:pPr>
      <w:bookmarkStart w:id="4" w:name="_Toc207291181"/>
      <w:r w:rsidRPr="00476CBA">
        <w:rPr>
          <w:rStyle w:val="Heading2Char"/>
        </w:rPr>
        <w:t>Fully Informed Defendant</w:t>
      </w:r>
      <w:bookmarkEnd w:id="4"/>
      <w:r>
        <w:rPr>
          <w:rFonts w:ascii="Arial" w:hAnsi="Arial" w:cs="Arial"/>
          <w:b/>
          <w:bCs/>
        </w:rPr>
        <w:t>.</w:t>
      </w:r>
      <w:r w:rsidR="0095328E">
        <w:rPr>
          <w:rFonts w:ascii="Arial" w:hAnsi="Arial" w:cs="Arial"/>
        </w:rPr>
        <w:t xml:space="preserve"> The statement of the rule in </w:t>
      </w:r>
      <w:r w:rsidR="0095328E">
        <w:rPr>
          <w:rFonts w:ascii="Arial" w:hAnsi="Arial" w:cs="Arial"/>
          <w:i/>
          <w:iCs/>
        </w:rPr>
        <w:t>Ali</w:t>
      </w:r>
      <w:r w:rsidR="0095328E">
        <w:rPr>
          <w:rFonts w:ascii="Arial" w:hAnsi="Arial" w:cs="Arial"/>
        </w:rPr>
        <w:t xml:space="preserve"> refers to an absolute impasse between defense counsel and a “fully informed criminal defendant,” 329 N.C. at 404, </w:t>
      </w:r>
      <w:r w:rsidR="00671EB0">
        <w:rPr>
          <w:rFonts w:ascii="Arial" w:hAnsi="Arial" w:cs="Arial"/>
        </w:rPr>
        <w:t>though</w:t>
      </w:r>
      <w:r w:rsidR="0095328E">
        <w:rPr>
          <w:rFonts w:ascii="Arial" w:hAnsi="Arial" w:cs="Arial"/>
        </w:rPr>
        <w:t xml:space="preserve"> the Court did not elaborate on what it means for a defendant to be fully informed for purposes of the rule. Later cases suggest </w:t>
      </w:r>
      <w:r w:rsidR="00671EB0">
        <w:rPr>
          <w:rFonts w:ascii="Arial" w:hAnsi="Arial" w:cs="Arial"/>
        </w:rPr>
        <w:t xml:space="preserve">that a fully informed defendant is one who has been made aware of and understands the potential consequences of the decision to override his or her attorney’s suggested strategy. </w:t>
      </w:r>
      <w:r w:rsidR="00671EB0" w:rsidRPr="00671EB0">
        <w:rPr>
          <w:rFonts w:ascii="Arial" w:hAnsi="Arial" w:cs="Arial"/>
        </w:rPr>
        <w:t>State v. Mitchell, 353 N.C. 309, 323 (2001)</w:t>
      </w:r>
      <w:r w:rsidR="00671EB0">
        <w:rPr>
          <w:rFonts w:ascii="Arial" w:hAnsi="Arial" w:cs="Arial"/>
        </w:rPr>
        <w:t xml:space="preserve"> (so framing this requirement).</w:t>
      </w:r>
      <w:r w:rsidR="00A97353">
        <w:rPr>
          <w:rFonts w:ascii="Arial" w:hAnsi="Arial" w:cs="Arial"/>
        </w:rPr>
        <w:t xml:space="preserve"> </w:t>
      </w:r>
      <w:r w:rsidR="00A97353">
        <w:rPr>
          <w:rFonts w:ascii="Arial" w:hAnsi="Arial" w:cs="Arial"/>
          <w:i/>
          <w:iCs/>
        </w:rPr>
        <w:t>See also</w:t>
      </w:r>
      <w:r w:rsidR="00A97353">
        <w:rPr>
          <w:rFonts w:ascii="Arial" w:hAnsi="Arial" w:cs="Arial"/>
        </w:rPr>
        <w:t xml:space="preserve"> </w:t>
      </w:r>
      <w:r w:rsidR="00003A0F">
        <w:rPr>
          <w:rFonts w:ascii="Arial" w:hAnsi="Arial" w:cs="Arial"/>
        </w:rPr>
        <w:t>State v. Dawkins, 265 N.C. App. 519</w:t>
      </w:r>
      <w:r w:rsidR="006A603F">
        <w:rPr>
          <w:rFonts w:ascii="Arial" w:hAnsi="Arial" w:cs="Arial"/>
        </w:rPr>
        <w:t>, 523 (2019) (rejecting the defendant’s argument that he was not fully informed regarding his decision to reject defense counsel’s advice to stipulate to a prior felony conviction; counsel read the stipulation to the defendant and advised him to sign it</w:t>
      </w:r>
      <w:r w:rsidR="00553250">
        <w:rPr>
          <w:rFonts w:ascii="Arial" w:hAnsi="Arial" w:cs="Arial"/>
        </w:rPr>
        <w:t xml:space="preserve"> to prevent the State from introducing prejudicial evidence prov</w:t>
      </w:r>
      <w:r w:rsidR="00AD70DC">
        <w:rPr>
          <w:rFonts w:ascii="Arial" w:hAnsi="Arial" w:cs="Arial"/>
        </w:rPr>
        <w:t>ing the</w:t>
      </w:r>
      <w:r w:rsidR="00553250">
        <w:rPr>
          <w:rFonts w:ascii="Arial" w:hAnsi="Arial" w:cs="Arial"/>
        </w:rPr>
        <w:t xml:space="preserve"> prior conviction</w:t>
      </w:r>
      <w:r w:rsidR="006A603F">
        <w:rPr>
          <w:rFonts w:ascii="Arial" w:hAnsi="Arial" w:cs="Arial"/>
        </w:rPr>
        <w:t xml:space="preserve"> but the defendant refused, at no point expressing a lack of understanding or a desire for more information).</w:t>
      </w:r>
    </w:p>
    <w:p w14:paraId="4839CE0C" w14:textId="77777777" w:rsidR="000E0073" w:rsidRPr="00007771" w:rsidRDefault="00755F56" w:rsidP="00BE7D9D">
      <w:pPr>
        <w:pStyle w:val="Heading1"/>
        <w:keepNext w:val="0"/>
        <w:keepLines w:val="0"/>
        <w:numPr>
          <w:ilvl w:val="0"/>
          <w:numId w:val="7"/>
        </w:numPr>
        <w:ind w:left="720"/>
        <w:rPr>
          <w:rFonts w:cs="Arial"/>
          <w:vanish/>
          <w:szCs w:val="22"/>
          <w:specVanish/>
        </w:rPr>
      </w:pPr>
      <w:bookmarkStart w:id="5" w:name="_Toc207291182"/>
      <w:r w:rsidRPr="00007771">
        <w:rPr>
          <w:rFonts w:cs="Arial"/>
          <w:szCs w:val="22"/>
        </w:rPr>
        <w:t>Defense Counsel’s Duties in the Event of an Absolute Impasse.</w:t>
      </w:r>
      <w:bookmarkEnd w:id="5"/>
      <w:r w:rsidRPr="00007771">
        <w:rPr>
          <w:rFonts w:cs="Arial"/>
          <w:szCs w:val="22"/>
        </w:rPr>
        <w:t xml:space="preserve"> </w:t>
      </w:r>
    </w:p>
    <w:p w14:paraId="6CA2760D" w14:textId="6717AD7E" w:rsidR="00755F56" w:rsidRPr="00007771" w:rsidRDefault="00BE7D9D" w:rsidP="00BE7D9D">
      <w:pPr>
        <w:pStyle w:val="ListParagraph"/>
        <w:spacing w:after="0" w:line="240" w:lineRule="auto"/>
        <w:rPr>
          <w:rFonts w:ascii="Arial" w:hAnsi="Arial" w:cs="Arial"/>
          <w:color w:val="000000" w:themeColor="text1"/>
        </w:rPr>
      </w:pPr>
      <w:r w:rsidRPr="00007771">
        <w:rPr>
          <w:rFonts w:ascii="Arial" w:hAnsi="Arial" w:cs="Arial"/>
        </w:rPr>
        <w:t xml:space="preserve"> </w:t>
      </w:r>
      <w:r w:rsidR="00755F56" w:rsidRPr="00007771">
        <w:rPr>
          <w:rFonts w:ascii="Arial" w:hAnsi="Arial" w:cs="Arial"/>
        </w:rPr>
        <w:t xml:space="preserve">When an absolute impasse arises, defense counsel should make a record of the circumstances, his or her advice to the defendant, the reasons for the advice, the defendant's decision, and the conclusion reached. </w:t>
      </w:r>
      <w:r w:rsidR="0031473D" w:rsidRPr="00007771">
        <w:rPr>
          <w:rFonts w:ascii="Arial" w:hAnsi="Arial" w:cs="Arial"/>
        </w:rPr>
        <w:t>State v. Ali, 329 N.C. 394, 404 (1991)</w:t>
      </w:r>
      <w:r w:rsidR="002D11BC">
        <w:rPr>
          <w:rFonts w:ascii="Arial" w:hAnsi="Arial" w:cs="Arial"/>
        </w:rPr>
        <w:t>; State v. Jackson, 292 N.C. App. 616, 619 (2024)</w:t>
      </w:r>
      <w:r w:rsidR="00755F56" w:rsidRPr="00007771">
        <w:rPr>
          <w:rFonts w:ascii="Arial" w:hAnsi="Arial" w:cs="Arial"/>
        </w:rPr>
        <w:t xml:space="preserve">. The better practice is to do this on the record in open court. </w:t>
      </w:r>
      <w:r w:rsidR="009342DB">
        <w:rPr>
          <w:rFonts w:ascii="Arial" w:hAnsi="Arial" w:cs="Arial"/>
          <w:i/>
        </w:rPr>
        <w:t>Ali</w:t>
      </w:r>
      <w:r w:rsidR="009342DB">
        <w:rPr>
          <w:rFonts w:ascii="Arial" w:hAnsi="Arial" w:cs="Arial"/>
          <w:iCs/>
        </w:rPr>
        <w:t>, 329 N.C. at 402</w:t>
      </w:r>
      <w:r w:rsidR="0031473D" w:rsidRPr="00007771">
        <w:rPr>
          <w:rFonts w:ascii="Arial" w:hAnsi="Arial" w:cs="Arial"/>
        </w:rPr>
        <w:t xml:space="preserve"> (defense counsel made such a record in open court)</w:t>
      </w:r>
      <w:r w:rsidR="00755F56" w:rsidRPr="00007771">
        <w:rPr>
          <w:rFonts w:ascii="Arial" w:hAnsi="Arial" w:cs="Arial"/>
        </w:rPr>
        <w:t>.</w:t>
      </w:r>
      <w:r w:rsidR="00791BFA" w:rsidRPr="00007771">
        <w:rPr>
          <w:rFonts w:ascii="Arial" w:hAnsi="Arial" w:cs="Arial"/>
        </w:rPr>
        <w:t xml:space="preserve"> When it cannot be determined from the record whether an absolute impasse existed, the issue cannot be addressed on appeal. </w:t>
      </w:r>
      <w:r w:rsidR="0031473D" w:rsidRPr="00007771">
        <w:rPr>
          <w:rFonts w:ascii="Arial" w:hAnsi="Arial" w:cs="Arial"/>
        </w:rPr>
        <w:t xml:space="preserve">State v. Floyd, </w:t>
      </w:r>
      <w:r w:rsidR="00027CE3">
        <w:rPr>
          <w:rFonts w:ascii="Arial" w:hAnsi="Arial" w:cs="Arial"/>
        </w:rPr>
        <w:t>369</w:t>
      </w:r>
      <w:r w:rsidR="0031473D" w:rsidRPr="00007771">
        <w:rPr>
          <w:rFonts w:ascii="Arial" w:hAnsi="Arial" w:cs="Arial"/>
        </w:rPr>
        <w:t xml:space="preserve"> N.C. </w:t>
      </w:r>
      <w:r w:rsidR="00027CE3">
        <w:rPr>
          <w:rFonts w:ascii="Arial" w:hAnsi="Arial" w:cs="Arial"/>
        </w:rPr>
        <w:t>329, 341</w:t>
      </w:r>
      <w:r w:rsidR="0031473D" w:rsidRPr="00007771">
        <w:rPr>
          <w:rFonts w:ascii="Arial" w:hAnsi="Arial" w:cs="Arial"/>
        </w:rPr>
        <w:t xml:space="preserve"> (2016) (holding that the court of appeals </w:t>
      </w:r>
      <w:r w:rsidR="0031473D" w:rsidRPr="00007771">
        <w:rPr>
          <w:rFonts w:ascii="Arial" w:hAnsi="Arial" w:cs="Arial"/>
          <w:color w:val="000000" w:themeColor="text1"/>
        </w:rPr>
        <w:t>erred by granting relief on the defendant’s absolute impasse claim where it could not “be determined from the cold record whether an absolute impasse existed as described”; ruling was without prejudice to the defendant’s right to assert a claim by way of a motion for appropriate relief)</w:t>
      </w:r>
      <w:r w:rsidR="004534EE">
        <w:rPr>
          <w:rFonts w:ascii="Arial" w:hAnsi="Arial" w:cs="Arial"/>
          <w:color w:val="000000" w:themeColor="text1"/>
        </w:rPr>
        <w:t xml:space="preserve">; </w:t>
      </w:r>
      <w:r w:rsidR="004534EE" w:rsidRPr="006F1724">
        <w:rPr>
          <w:rFonts w:ascii="Arial" w:hAnsi="Arial" w:cs="Arial"/>
          <w:i/>
          <w:iCs/>
          <w:color w:val="000000" w:themeColor="text1"/>
        </w:rPr>
        <w:t>Jackson</w:t>
      </w:r>
      <w:r w:rsidR="004534EE">
        <w:rPr>
          <w:rFonts w:ascii="Arial" w:hAnsi="Arial" w:cs="Arial"/>
          <w:color w:val="000000" w:themeColor="text1"/>
        </w:rPr>
        <w:t>, 292 N.C. App.</w:t>
      </w:r>
      <w:r w:rsidR="006F1724">
        <w:rPr>
          <w:rFonts w:ascii="Arial" w:hAnsi="Arial" w:cs="Arial"/>
          <w:color w:val="000000" w:themeColor="text1"/>
        </w:rPr>
        <w:t xml:space="preserve"> at</w:t>
      </w:r>
      <w:r w:rsidR="004534EE">
        <w:rPr>
          <w:rFonts w:ascii="Arial" w:hAnsi="Arial" w:cs="Arial"/>
          <w:color w:val="000000" w:themeColor="text1"/>
        </w:rPr>
        <w:t xml:space="preserve"> 621 (citing </w:t>
      </w:r>
      <w:r w:rsidR="004534EE">
        <w:rPr>
          <w:rFonts w:ascii="Arial" w:hAnsi="Arial" w:cs="Arial"/>
          <w:i/>
          <w:iCs/>
          <w:color w:val="000000" w:themeColor="text1"/>
        </w:rPr>
        <w:t>Floyd</w:t>
      </w:r>
      <w:r w:rsidR="004534EE">
        <w:rPr>
          <w:rFonts w:ascii="Arial" w:hAnsi="Arial" w:cs="Arial"/>
          <w:color w:val="000000" w:themeColor="text1"/>
        </w:rPr>
        <w:t xml:space="preserve"> and finding record insufficient to assess alleged absolute impasse on appeal)</w:t>
      </w:r>
      <w:r w:rsidR="009B1C43" w:rsidRPr="00007771">
        <w:rPr>
          <w:rFonts w:ascii="Arial" w:hAnsi="Arial" w:cs="Arial"/>
          <w:color w:val="000000" w:themeColor="text1"/>
        </w:rPr>
        <w:t>.</w:t>
      </w:r>
    </w:p>
    <w:p w14:paraId="2F97CCCE" w14:textId="77777777" w:rsidR="000E0073" w:rsidRPr="00007771" w:rsidRDefault="00755F56" w:rsidP="00BE7D9D">
      <w:pPr>
        <w:pStyle w:val="Heading1"/>
        <w:keepNext w:val="0"/>
        <w:keepLines w:val="0"/>
        <w:numPr>
          <w:ilvl w:val="0"/>
          <w:numId w:val="7"/>
        </w:numPr>
        <w:ind w:left="720"/>
        <w:rPr>
          <w:rFonts w:cs="Arial"/>
          <w:szCs w:val="22"/>
        </w:rPr>
      </w:pPr>
      <w:bookmarkStart w:id="6" w:name="_Toc207291183"/>
      <w:r w:rsidRPr="00007771">
        <w:rPr>
          <w:rFonts w:cs="Arial"/>
          <w:szCs w:val="22"/>
        </w:rPr>
        <w:t>Trial Court’s Duties in the Event of an Absolute Impasse.</w:t>
      </w:r>
      <w:bookmarkEnd w:id="6"/>
      <w:r w:rsidRPr="00007771">
        <w:rPr>
          <w:rFonts w:cs="Arial"/>
          <w:szCs w:val="22"/>
        </w:rPr>
        <w:t xml:space="preserve"> </w:t>
      </w:r>
    </w:p>
    <w:p w14:paraId="2D75FDA9" w14:textId="6585DE33" w:rsidR="00D6681E" w:rsidRDefault="00D6681E" w:rsidP="00D6681E">
      <w:pPr>
        <w:pStyle w:val="ListParagraph"/>
        <w:numPr>
          <w:ilvl w:val="0"/>
          <w:numId w:val="11"/>
        </w:numPr>
        <w:spacing w:after="0" w:line="240" w:lineRule="auto"/>
        <w:ind w:left="1440" w:hanging="720"/>
        <w:rPr>
          <w:rFonts w:ascii="Arial" w:hAnsi="Arial" w:cs="Arial"/>
        </w:rPr>
      </w:pPr>
      <w:bookmarkStart w:id="7" w:name="_Toc207291184"/>
      <w:r w:rsidRPr="00476CBA">
        <w:rPr>
          <w:rStyle w:val="Heading2Char"/>
        </w:rPr>
        <w:t>C</w:t>
      </w:r>
      <w:r w:rsidR="00CC2225" w:rsidRPr="00476CBA">
        <w:rPr>
          <w:rStyle w:val="Heading2Char"/>
        </w:rPr>
        <w:t>onduct C</w:t>
      </w:r>
      <w:r w:rsidRPr="00476CBA">
        <w:rPr>
          <w:rStyle w:val="Heading2Char"/>
        </w:rPr>
        <w:t>olloquy</w:t>
      </w:r>
      <w:r w:rsidR="00CC2225" w:rsidRPr="00476CBA">
        <w:rPr>
          <w:rStyle w:val="Heading2Char"/>
        </w:rPr>
        <w:t xml:space="preserve"> with Defendant</w:t>
      </w:r>
      <w:bookmarkEnd w:id="7"/>
      <w:r w:rsidRPr="00476CBA">
        <w:rPr>
          <w:rFonts w:ascii="Arial" w:hAnsi="Arial" w:cs="Arial"/>
          <w:b/>
          <w:bCs/>
        </w:rPr>
        <w:t>.</w:t>
      </w:r>
      <w:r>
        <w:rPr>
          <w:rFonts w:ascii="Arial" w:hAnsi="Arial" w:cs="Arial"/>
        </w:rPr>
        <w:t xml:space="preserve"> Though </w:t>
      </w:r>
      <w:r>
        <w:rPr>
          <w:rFonts w:ascii="Arial" w:hAnsi="Arial" w:cs="Arial"/>
          <w:i/>
          <w:iCs/>
        </w:rPr>
        <w:t xml:space="preserve">Ali </w:t>
      </w:r>
      <w:r>
        <w:rPr>
          <w:rFonts w:ascii="Arial" w:hAnsi="Arial" w:cs="Arial"/>
        </w:rPr>
        <w:t xml:space="preserve">did not </w:t>
      </w:r>
      <w:r w:rsidR="00D90601">
        <w:rPr>
          <w:rFonts w:ascii="Arial" w:hAnsi="Arial" w:cs="Arial"/>
        </w:rPr>
        <w:t>describe</w:t>
      </w:r>
      <w:r>
        <w:rPr>
          <w:rFonts w:ascii="Arial" w:hAnsi="Arial" w:cs="Arial"/>
        </w:rPr>
        <w:t xml:space="preserve"> a</w:t>
      </w:r>
      <w:r w:rsidR="00490A10">
        <w:rPr>
          <w:rFonts w:ascii="Arial" w:hAnsi="Arial" w:cs="Arial"/>
        </w:rPr>
        <w:t xml:space="preserve"> specific</w:t>
      </w:r>
      <w:r>
        <w:rPr>
          <w:rFonts w:ascii="Arial" w:hAnsi="Arial" w:cs="Arial"/>
        </w:rPr>
        <w:t xml:space="preserve"> procedure for a trial court to follow when the court becomes aware of a potential absolute impasse between a defendant and defense counsel, subsequent appellate </w:t>
      </w:r>
      <w:r w:rsidR="00507081">
        <w:rPr>
          <w:rFonts w:ascii="Arial" w:hAnsi="Arial" w:cs="Arial"/>
        </w:rPr>
        <w:t>opinions</w:t>
      </w:r>
      <w:r>
        <w:rPr>
          <w:rFonts w:ascii="Arial" w:hAnsi="Arial" w:cs="Arial"/>
        </w:rPr>
        <w:t xml:space="preserve"> suggest that the court should conduct a colloquy </w:t>
      </w:r>
      <w:r w:rsidR="0027045B">
        <w:rPr>
          <w:rFonts w:ascii="Arial" w:hAnsi="Arial" w:cs="Arial"/>
        </w:rPr>
        <w:t xml:space="preserve">exploring the issue </w:t>
      </w:r>
      <w:r>
        <w:rPr>
          <w:rFonts w:ascii="Arial" w:hAnsi="Arial" w:cs="Arial"/>
        </w:rPr>
        <w:t xml:space="preserve">with the defendant. </w:t>
      </w:r>
      <w:r w:rsidR="00905254">
        <w:rPr>
          <w:rFonts w:ascii="Arial" w:hAnsi="Arial" w:cs="Arial"/>
          <w:i/>
          <w:iCs/>
        </w:rPr>
        <w:t>See, e.g.</w:t>
      </w:r>
      <w:r w:rsidR="00905254">
        <w:rPr>
          <w:rFonts w:ascii="Arial" w:hAnsi="Arial" w:cs="Arial"/>
        </w:rPr>
        <w:t xml:space="preserve">, </w:t>
      </w:r>
      <w:r w:rsidR="00905254" w:rsidRPr="00C01722">
        <w:rPr>
          <w:rFonts w:ascii="Arial" w:hAnsi="Arial" w:cs="Arial"/>
        </w:rPr>
        <w:t>State v. Mitchell, 353 N.C. 309, 323 (2001) (</w:t>
      </w:r>
      <w:r w:rsidR="00905254">
        <w:rPr>
          <w:rFonts w:ascii="Arial" w:hAnsi="Arial" w:cs="Arial"/>
        </w:rPr>
        <w:t>trial court discussed impasse with the defendant and questioned the defendant on the record about his desire to override defense counsel’s advice</w:t>
      </w:r>
      <w:r w:rsidR="00905254" w:rsidRPr="00C01722">
        <w:rPr>
          <w:rFonts w:ascii="Arial" w:hAnsi="Arial" w:cs="Arial"/>
        </w:rPr>
        <w:t>)</w:t>
      </w:r>
      <w:r w:rsidR="0035619C">
        <w:rPr>
          <w:rFonts w:ascii="Arial" w:hAnsi="Arial" w:cs="Arial"/>
        </w:rPr>
        <w:t>; State v. White, 349 N.C. 535, 567 (1998) (</w:t>
      </w:r>
      <w:r w:rsidR="001506D0">
        <w:rPr>
          <w:rFonts w:ascii="Arial" w:hAnsi="Arial" w:cs="Arial"/>
        </w:rPr>
        <w:t>noting</w:t>
      </w:r>
      <w:r w:rsidR="0035619C">
        <w:rPr>
          <w:rFonts w:ascii="Arial" w:hAnsi="Arial" w:cs="Arial"/>
        </w:rPr>
        <w:t xml:space="preserve"> that t</w:t>
      </w:r>
      <w:r w:rsidR="001506D0">
        <w:rPr>
          <w:rFonts w:ascii="Arial" w:hAnsi="Arial" w:cs="Arial"/>
        </w:rPr>
        <w:t>he</w:t>
      </w:r>
      <w:r w:rsidR="00D90601">
        <w:rPr>
          <w:rFonts w:ascii="Arial" w:hAnsi="Arial" w:cs="Arial"/>
        </w:rPr>
        <w:t xml:space="preserve"> trial</w:t>
      </w:r>
      <w:r w:rsidR="0035619C">
        <w:rPr>
          <w:rFonts w:ascii="Arial" w:hAnsi="Arial" w:cs="Arial"/>
        </w:rPr>
        <w:t xml:space="preserve"> court’s colloquy revealed that an absolute impasse existed</w:t>
      </w:r>
      <w:r w:rsidR="001506D0">
        <w:rPr>
          <w:rFonts w:ascii="Arial" w:hAnsi="Arial" w:cs="Arial"/>
        </w:rPr>
        <w:t xml:space="preserve"> and</w:t>
      </w:r>
      <w:r w:rsidR="0035619C">
        <w:rPr>
          <w:rFonts w:ascii="Arial" w:hAnsi="Arial" w:cs="Arial"/>
        </w:rPr>
        <w:t xml:space="preserve"> the defendant was fully informed </w:t>
      </w:r>
      <w:r w:rsidR="001506D0">
        <w:rPr>
          <w:rFonts w:ascii="Arial" w:hAnsi="Arial" w:cs="Arial"/>
        </w:rPr>
        <w:t xml:space="preserve">about his </w:t>
      </w:r>
      <w:r w:rsidR="001506D0">
        <w:rPr>
          <w:rFonts w:ascii="Arial" w:hAnsi="Arial" w:cs="Arial"/>
        </w:rPr>
        <w:lastRenderedPageBreak/>
        <w:t>decision to override defense counsel’s advice</w:t>
      </w:r>
      <w:r w:rsidR="00D90601">
        <w:rPr>
          <w:rFonts w:ascii="Arial" w:hAnsi="Arial" w:cs="Arial"/>
        </w:rPr>
        <w:t>; trial court properly required defense counsel to abide by the defendant’s wishes</w:t>
      </w:r>
      <w:r w:rsidR="0035619C">
        <w:rPr>
          <w:rFonts w:ascii="Arial" w:hAnsi="Arial" w:cs="Arial"/>
        </w:rPr>
        <w:t>)</w:t>
      </w:r>
      <w:r w:rsidR="00A651C3">
        <w:rPr>
          <w:rFonts w:ascii="Arial" w:hAnsi="Arial" w:cs="Arial"/>
        </w:rPr>
        <w:t>;</w:t>
      </w:r>
      <w:r w:rsidR="00507081">
        <w:rPr>
          <w:rFonts w:ascii="Arial" w:hAnsi="Arial" w:cs="Arial"/>
        </w:rPr>
        <w:t xml:space="preserve"> </w:t>
      </w:r>
      <w:r w:rsidR="00A651C3">
        <w:rPr>
          <w:rFonts w:ascii="Arial" w:hAnsi="Arial" w:cs="Arial"/>
          <w:i/>
          <w:iCs/>
        </w:rPr>
        <w:t xml:space="preserve">see also </w:t>
      </w:r>
      <w:r w:rsidR="00A651C3">
        <w:rPr>
          <w:rFonts w:ascii="Arial" w:hAnsi="Arial" w:cs="Arial"/>
        </w:rPr>
        <w:t xml:space="preserve">State v. Freeman, 202 N.C. App. 740, 746 (2010) (noting, in process of holding that trial court erred by not directing that defendant’s wishes control an absolute impasse, that the court refused to discuss the matter with the defendant despite defense counsel informing the court </w:t>
      </w:r>
      <w:r w:rsidR="005A3D33">
        <w:rPr>
          <w:rFonts w:ascii="Arial" w:hAnsi="Arial" w:cs="Arial"/>
        </w:rPr>
        <w:t>of the</w:t>
      </w:r>
      <w:r w:rsidR="00A651C3">
        <w:rPr>
          <w:rFonts w:ascii="Arial" w:hAnsi="Arial" w:cs="Arial"/>
        </w:rPr>
        <w:t xml:space="preserve"> defendant</w:t>
      </w:r>
      <w:r w:rsidR="005A3D33">
        <w:rPr>
          <w:rFonts w:ascii="Arial" w:hAnsi="Arial" w:cs="Arial"/>
        </w:rPr>
        <w:t>’s</w:t>
      </w:r>
      <w:r w:rsidR="00A651C3">
        <w:rPr>
          <w:rFonts w:ascii="Arial" w:hAnsi="Arial" w:cs="Arial"/>
        </w:rPr>
        <w:t xml:space="preserve"> </w:t>
      </w:r>
      <w:r w:rsidR="005A3D33">
        <w:rPr>
          <w:rFonts w:ascii="Arial" w:hAnsi="Arial" w:cs="Arial"/>
        </w:rPr>
        <w:t>desire</w:t>
      </w:r>
      <w:r w:rsidR="00A651C3">
        <w:rPr>
          <w:rFonts w:ascii="Arial" w:hAnsi="Arial" w:cs="Arial"/>
        </w:rPr>
        <w:t xml:space="preserve"> to be heard)</w:t>
      </w:r>
      <w:r>
        <w:rPr>
          <w:rFonts w:ascii="Arial" w:hAnsi="Arial" w:cs="Arial"/>
        </w:rPr>
        <w:t xml:space="preserve">. </w:t>
      </w:r>
      <w:r w:rsidR="002C127C">
        <w:rPr>
          <w:rFonts w:ascii="Arial" w:hAnsi="Arial" w:cs="Arial"/>
        </w:rPr>
        <w:t xml:space="preserve">A colloquy helps the trial court determine whether an absolute impasse exists, allows the defendant to express his or her wishes concerning the tactical matter at issue, provides an opportunity for the court to inform the defendant of the consequences of a decision to override his or her attorney’s advice, and helps develop the record for appellate review. </w:t>
      </w:r>
      <w:r w:rsidR="00905254">
        <w:rPr>
          <w:rFonts w:ascii="Arial" w:hAnsi="Arial" w:cs="Arial"/>
          <w:i/>
          <w:iCs/>
        </w:rPr>
        <w:t>See, e.g.</w:t>
      </w:r>
      <w:r w:rsidR="00905254">
        <w:rPr>
          <w:rFonts w:ascii="Arial" w:hAnsi="Arial" w:cs="Arial"/>
        </w:rPr>
        <w:t xml:space="preserve">, </w:t>
      </w:r>
      <w:r w:rsidR="0075475B" w:rsidRPr="00FF269D">
        <w:rPr>
          <w:rFonts w:ascii="Arial" w:hAnsi="Arial" w:cs="Arial"/>
        </w:rPr>
        <w:t>State v. Grooms, 353 N.C. 50, 84 (2000)</w:t>
      </w:r>
      <w:r w:rsidR="0075475B">
        <w:rPr>
          <w:rFonts w:ascii="Arial" w:hAnsi="Arial" w:cs="Arial"/>
        </w:rPr>
        <w:t xml:space="preserve"> (colloquy showed that absolute impasse existed and the defendant was fully informed about his decision to override defense counsel’s advice); </w:t>
      </w:r>
      <w:r w:rsidR="00507081">
        <w:rPr>
          <w:rFonts w:ascii="Arial" w:hAnsi="Arial" w:cs="Arial"/>
        </w:rPr>
        <w:t xml:space="preserve">State v. Brown, 339 N.C. 426, 435 (1994) (trial court “correctly applied” </w:t>
      </w:r>
      <w:r w:rsidR="00507081">
        <w:rPr>
          <w:rFonts w:ascii="Arial" w:hAnsi="Arial" w:cs="Arial"/>
          <w:i/>
          <w:iCs/>
        </w:rPr>
        <w:t>Ali</w:t>
      </w:r>
      <w:r w:rsidR="00507081">
        <w:rPr>
          <w:rFonts w:ascii="Arial" w:hAnsi="Arial" w:cs="Arial"/>
        </w:rPr>
        <w:t xml:space="preserve"> by ensuring that the defendant was fully informed about defense counsel’s opinion and the consequences of overriding it); </w:t>
      </w:r>
      <w:r w:rsidR="00905254" w:rsidRPr="00905254">
        <w:rPr>
          <w:rFonts w:ascii="Arial" w:hAnsi="Arial" w:cs="Arial"/>
        </w:rPr>
        <w:t>State v. Ward, 281 N.C. App. 484, 490 (2022) (</w:t>
      </w:r>
      <w:r w:rsidR="00F865C6">
        <w:rPr>
          <w:rFonts w:ascii="Arial" w:hAnsi="Arial" w:cs="Arial"/>
        </w:rPr>
        <w:t>colloquy showed that no absolute impasse existed despite the defendant expressing dissatisfaction with defense counsel’s choices concerning whether to call certain witnesses</w:t>
      </w:r>
      <w:r w:rsidR="00905254" w:rsidRPr="00905254">
        <w:rPr>
          <w:rFonts w:ascii="Arial" w:hAnsi="Arial" w:cs="Arial"/>
        </w:rPr>
        <w:t>)</w:t>
      </w:r>
      <w:r w:rsidR="002C127C">
        <w:rPr>
          <w:rFonts w:ascii="Arial" w:hAnsi="Arial" w:cs="Arial"/>
        </w:rPr>
        <w:t>.</w:t>
      </w:r>
    </w:p>
    <w:p w14:paraId="2C86C605" w14:textId="0ECFCB1F" w:rsidR="002C127C" w:rsidRPr="00544254" w:rsidRDefault="00CC2225" w:rsidP="00476CBA">
      <w:pPr>
        <w:pStyle w:val="ListParagraph"/>
        <w:numPr>
          <w:ilvl w:val="0"/>
          <w:numId w:val="11"/>
        </w:numPr>
        <w:spacing w:after="0" w:line="240" w:lineRule="auto"/>
        <w:ind w:left="1440" w:hanging="720"/>
        <w:rPr>
          <w:rFonts w:ascii="Arial" w:hAnsi="Arial" w:cs="Arial"/>
        </w:rPr>
      </w:pPr>
      <w:bookmarkStart w:id="8" w:name="_Toc207291185"/>
      <w:r w:rsidRPr="00476CBA">
        <w:rPr>
          <w:rStyle w:val="Heading2Char"/>
        </w:rPr>
        <w:t>Require</w:t>
      </w:r>
      <w:r w:rsidR="002C127C" w:rsidRPr="00476CBA">
        <w:rPr>
          <w:rStyle w:val="Heading2Char"/>
        </w:rPr>
        <w:t xml:space="preserve"> </w:t>
      </w:r>
      <w:r w:rsidR="005A33BD" w:rsidRPr="00476CBA">
        <w:rPr>
          <w:rStyle w:val="Heading2Char"/>
        </w:rPr>
        <w:t xml:space="preserve">Defense Counsel to Abide by </w:t>
      </w:r>
      <w:r w:rsidR="002C127C" w:rsidRPr="00476CBA">
        <w:rPr>
          <w:rStyle w:val="Heading2Char"/>
        </w:rPr>
        <w:t>Defendant’s Wishes</w:t>
      </w:r>
      <w:bookmarkEnd w:id="8"/>
      <w:r w:rsidR="002C127C">
        <w:rPr>
          <w:rFonts w:ascii="Arial" w:hAnsi="Arial" w:cs="Arial"/>
          <w:b/>
          <w:bCs/>
        </w:rPr>
        <w:t>.</w:t>
      </w:r>
      <w:r w:rsidR="002C127C">
        <w:rPr>
          <w:rFonts w:ascii="Arial" w:hAnsi="Arial" w:cs="Arial"/>
        </w:rPr>
        <w:t xml:space="preserve"> If </w:t>
      </w:r>
      <w:r w:rsidR="00D90601">
        <w:rPr>
          <w:rFonts w:ascii="Arial" w:hAnsi="Arial" w:cs="Arial"/>
        </w:rPr>
        <w:t>a</w:t>
      </w:r>
      <w:r w:rsidR="002C127C">
        <w:rPr>
          <w:rFonts w:ascii="Arial" w:hAnsi="Arial" w:cs="Arial"/>
        </w:rPr>
        <w:t xml:space="preserve"> trial court determines that an absolute impasse exist</w:t>
      </w:r>
      <w:r w:rsidR="00544254">
        <w:rPr>
          <w:rFonts w:ascii="Arial" w:hAnsi="Arial" w:cs="Arial"/>
        </w:rPr>
        <w:t>s</w:t>
      </w:r>
      <w:r w:rsidR="002C127C">
        <w:rPr>
          <w:rFonts w:ascii="Arial" w:hAnsi="Arial" w:cs="Arial"/>
        </w:rPr>
        <w:t xml:space="preserve">, the court must </w:t>
      </w:r>
      <w:r w:rsidR="002C127C" w:rsidRPr="00544254">
        <w:rPr>
          <w:rFonts w:ascii="Arial" w:hAnsi="Arial" w:cs="Arial"/>
        </w:rPr>
        <w:t xml:space="preserve">order </w:t>
      </w:r>
      <w:r w:rsidR="00544254" w:rsidRPr="00544254">
        <w:rPr>
          <w:rFonts w:ascii="Arial" w:hAnsi="Arial" w:cs="Arial"/>
        </w:rPr>
        <w:t>defense counsel to abide by the defendant</w:t>
      </w:r>
      <w:r w:rsidR="00544254">
        <w:rPr>
          <w:rFonts w:ascii="Arial" w:hAnsi="Arial" w:cs="Arial"/>
        </w:rPr>
        <w:t>’</w:t>
      </w:r>
      <w:r w:rsidR="00544254" w:rsidRPr="00544254">
        <w:rPr>
          <w:rFonts w:ascii="Arial" w:hAnsi="Arial" w:cs="Arial"/>
        </w:rPr>
        <w:t xml:space="preserve">s </w:t>
      </w:r>
      <w:r w:rsidR="00544254">
        <w:rPr>
          <w:rFonts w:ascii="Arial" w:hAnsi="Arial" w:cs="Arial"/>
        </w:rPr>
        <w:t>wishes concerning the matter at issue.</w:t>
      </w:r>
      <w:r w:rsidR="00B7676C">
        <w:rPr>
          <w:rFonts w:ascii="Arial" w:hAnsi="Arial" w:cs="Arial"/>
        </w:rPr>
        <w:t xml:space="preserve"> </w:t>
      </w:r>
      <w:r w:rsidR="0075475B" w:rsidRPr="00A651C3">
        <w:rPr>
          <w:rFonts w:ascii="Arial" w:hAnsi="Arial" w:cs="Arial"/>
          <w:i/>
          <w:iCs/>
        </w:rPr>
        <w:t>Grooms</w:t>
      </w:r>
      <w:r w:rsidR="0075475B" w:rsidRPr="00FF269D">
        <w:rPr>
          <w:rFonts w:ascii="Arial" w:hAnsi="Arial" w:cs="Arial"/>
        </w:rPr>
        <w:t xml:space="preserve">, 353 N.C. </w:t>
      </w:r>
      <w:r w:rsidR="0075475B">
        <w:rPr>
          <w:rFonts w:ascii="Arial" w:hAnsi="Arial" w:cs="Arial"/>
        </w:rPr>
        <w:t>at</w:t>
      </w:r>
      <w:r w:rsidR="0075475B" w:rsidRPr="00FF269D">
        <w:rPr>
          <w:rFonts w:ascii="Arial" w:hAnsi="Arial" w:cs="Arial"/>
        </w:rPr>
        <w:t xml:space="preserve"> 84</w:t>
      </w:r>
      <w:r w:rsidR="0075475B">
        <w:rPr>
          <w:rFonts w:ascii="Arial" w:hAnsi="Arial" w:cs="Arial"/>
        </w:rPr>
        <w:t xml:space="preserve"> (trial court properly prohibited defense counsel from presenting certain evidence</w:t>
      </w:r>
      <w:r w:rsidR="00095727">
        <w:rPr>
          <w:rFonts w:ascii="Arial" w:hAnsi="Arial" w:cs="Arial"/>
        </w:rPr>
        <w:t>,</w:t>
      </w:r>
      <w:r w:rsidR="0075475B">
        <w:rPr>
          <w:rFonts w:ascii="Arial" w:hAnsi="Arial" w:cs="Arial"/>
        </w:rPr>
        <w:t xml:space="preserve"> in accordance with defendant’s wishes)</w:t>
      </w:r>
      <w:r w:rsidR="00B7676C">
        <w:rPr>
          <w:rFonts w:ascii="Arial" w:hAnsi="Arial" w:cs="Arial"/>
        </w:rPr>
        <w:t>;</w:t>
      </w:r>
      <w:r w:rsidR="004E1204">
        <w:rPr>
          <w:rFonts w:ascii="Arial" w:hAnsi="Arial" w:cs="Arial"/>
        </w:rPr>
        <w:t xml:space="preserve"> State v. McNeill, 371 N.C. 198, 262 (2018) (same, citing </w:t>
      </w:r>
      <w:r w:rsidR="004E1204">
        <w:rPr>
          <w:rFonts w:ascii="Arial" w:hAnsi="Arial" w:cs="Arial"/>
          <w:i/>
          <w:iCs/>
        </w:rPr>
        <w:t>Grooms</w:t>
      </w:r>
      <w:r w:rsidR="004E1204">
        <w:rPr>
          <w:rFonts w:ascii="Arial" w:hAnsi="Arial" w:cs="Arial"/>
        </w:rPr>
        <w:t>);</w:t>
      </w:r>
      <w:r w:rsidR="00A651C3">
        <w:rPr>
          <w:rFonts w:ascii="Arial" w:hAnsi="Arial" w:cs="Arial"/>
        </w:rPr>
        <w:t xml:space="preserve"> </w:t>
      </w:r>
      <w:r w:rsidR="00A651C3">
        <w:rPr>
          <w:rFonts w:ascii="Arial" w:hAnsi="Arial" w:cs="Arial"/>
          <w:i/>
          <w:iCs/>
        </w:rPr>
        <w:t>Freeman</w:t>
      </w:r>
      <w:r w:rsidR="00A651C3">
        <w:rPr>
          <w:rFonts w:ascii="Arial" w:hAnsi="Arial" w:cs="Arial"/>
        </w:rPr>
        <w:t xml:space="preserve">, 202 N.C. App. at 746 (trial court erred by allowing defense </w:t>
      </w:r>
      <w:proofErr w:type="spellStart"/>
      <w:r w:rsidR="00A651C3">
        <w:rPr>
          <w:rFonts w:ascii="Arial" w:hAnsi="Arial" w:cs="Arial"/>
        </w:rPr>
        <w:t>counsel’s</w:t>
      </w:r>
      <w:proofErr w:type="spellEnd"/>
      <w:r w:rsidR="00A651C3">
        <w:rPr>
          <w:rFonts w:ascii="Arial" w:hAnsi="Arial" w:cs="Arial"/>
        </w:rPr>
        <w:t xml:space="preserve"> decision to control over defendant’s wishes concerning jury selection);</w:t>
      </w:r>
      <w:r w:rsidR="00B7676C">
        <w:rPr>
          <w:rFonts w:ascii="Arial" w:hAnsi="Arial" w:cs="Arial"/>
        </w:rPr>
        <w:t xml:space="preserve"> </w:t>
      </w:r>
      <w:r w:rsidR="00B7676C">
        <w:rPr>
          <w:rFonts w:ascii="Arial" w:hAnsi="Arial" w:cs="Arial"/>
          <w:i/>
          <w:iCs/>
        </w:rPr>
        <w:t>see also</w:t>
      </w:r>
      <w:r w:rsidR="00B7676C">
        <w:rPr>
          <w:rFonts w:ascii="Arial" w:hAnsi="Arial" w:cs="Arial"/>
        </w:rPr>
        <w:t xml:space="preserve"> State v. Dawkins, 265 N.C. App. 519, 524 (2019) (because the defendant’s wishes control when a defendant and defense counsel reach an absolute impasse, the trial court did not err by rejecting stipulation to habitual felon status that was proposed by defense counsel but the defendant refused to sign)</w:t>
      </w:r>
    </w:p>
    <w:p w14:paraId="6D98CCE1" w14:textId="70C471C6" w:rsidR="00755F56" w:rsidRPr="00B34990" w:rsidRDefault="00360309" w:rsidP="00B7676C">
      <w:pPr>
        <w:pStyle w:val="ListParagraph"/>
        <w:spacing w:after="0" w:line="240" w:lineRule="auto"/>
        <w:ind w:left="1440" w:firstLine="720"/>
        <w:rPr>
          <w:rFonts w:ascii="Arial" w:hAnsi="Arial" w:cs="Arial"/>
        </w:rPr>
      </w:pPr>
      <w:r>
        <w:rPr>
          <w:rFonts w:ascii="Arial" w:hAnsi="Arial" w:cs="Arial"/>
        </w:rPr>
        <w:t xml:space="preserve">At least when the underlying tactical issue </w:t>
      </w:r>
      <w:r w:rsidR="00BD0B85">
        <w:rPr>
          <w:rFonts w:ascii="Arial" w:hAnsi="Arial" w:cs="Arial"/>
        </w:rPr>
        <w:t xml:space="preserve">involves </w:t>
      </w:r>
      <w:r w:rsidR="001F5781">
        <w:rPr>
          <w:rFonts w:ascii="Arial" w:hAnsi="Arial" w:cs="Arial"/>
        </w:rPr>
        <w:t>a</w:t>
      </w:r>
      <w:r w:rsidR="00BD0B85">
        <w:rPr>
          <w:rFonts w:ascii="Arial" w:hAnsi="Arial" w:cs="Arial"/>
        </w:rPr>
        <w:t xml:space="preserve"> fundamental right</w:t>
      </w:r>
      <w:r w:rsidR="001F5781">
        <w:rPr>
          <w:rFonts w:ascii="Arial" w:hAnsi="Arial" w:cs="Arial"/>
        </w:rPr>
        <w:t>,</w:t>
      </w:r>
      <w:r>
        <w:rPr>
          <w:rFonts w:ascii="Arial" w:hAnsi="Arial" w:cs="Arial"/>
        </w:rPr>
        <w:t xml:space="preserve"> </w:t>
      </w:r>
      <w:r w:rsidR="001F5781">
        <w:rPr>
          <w:rFonts w:ascii="Arial" w:hAnsi="Arial" w:cs="Arial"/>
        </w:rPr>
        <w:t>r</w:t>
      </w:r>
      <w:r w:rsidR="00755F56" w:rsidRPr="00007771">
        <w:rPr>
          <w:rFonts w:ascii="Arial" w:hAnsi="Arial" w:cs="Arial"/>
        </w:rPr>
        <w:t xml:space="preserve">eversible error occurs if an absolute impasse is brought to the trial judge’s </w:t>
      </w:r>
      <w:proofErr w:type="gramStart"/>
      <w:r w:rsidR="00755F56" w:rsidRPr="00007771">
        <w:rPr>
          <w:rFonts w:ascii="Arial" w:hAnsi="Arial" w:cs="Arial"/>
        </w:rPr>
        <w:t>attention</w:t>
      </w:r>
      <w:proofErr w:type="gramEnd"/>
      <w:r w:rsidR="00755F56" w:rsidRPr="00007771">
        <w:rPr>
          <w:rFonts w:ascii="Arial" w:hAnsi="Arial" w:cs="Arial"/>
        </w:rPr>
        <w:t xml:space="preserve"> and the judge fails to require defense counsel to abide by the defendant’s wishes. </w:t>
      </w:r>
      <w:r w:rsidR="0031473D" w:rsidRPr="00476CBA">
        <w:rPr>
          <w:rFonts w:ascii="Arial" w:hAnsi="Arial" w:cs="Arial"/>
          <w:i/>
          <w:iCs/>
        </w:rPr>
        <w:t>Freeman</w:t>
      </w:r>
      <w:r w:rsidR="0031473D" w:rsidRPr="00007771">
        <w:rPr>
          <w:rFonts w:ascii="Arial" w:hAnsi="Arial" w:cs="Arial"/>
        </w:rPr>
        <w:t xml:space="preserve">, 202 N.C. App. </w:t>
      </w:r>
      <w:r w:rsidR="00095727">
        <w:rPr>
          <w:rFonts w:ascii="Arial" w:hAnsi="Arial" w:cs="Arial"/>
        </w:rPr>
        <w:t>at</w:t>
      </w:r>
      <w:r w:rsidR="0031473D" w:rsidRPr="00007771">
        <w:rPr>
          <w:rFonts w:ascii="Arial" w:hAnsi="Arial" w:cs="Arial"/>
        </w:rPr>
        <w:t xml:space="preserve"> 746-47</w:t>
      </w:r>
      <w:r w:rsidR="00816A40">
        <w:rPr>
          <w:rFonts w:ascii="Arial" w:hAnsi="Arial" w:cs="Arial"/>
        </w:rPr>
        <w:t xml:space="preserve"> (reversible error for trial court to </w:t>
      </w:r>
      <w:r w:rsidR="0028552A">
        <w:rPr>
          <w:rFonts w:ascii="Arial" w:hAnsi="Arial" w:cs="Arial"/>
        </w:rPr>
        <w:t xml:space="preserve">allow defense </w:t>
      </w:r>
      <w:proofErr w:type="spellStart"/>
      <w:r w:rsidR="0028552A">
        <w:rPr>
          <w:rFonts w:ascii="Arial" w:hAnsi="Arial" w:cs="Arial"/>
        </w:rPr>
        <w:t>counsel’s</w:t>
      </w:r>
      <w:proofErr w:type="spellEnd"/>
      <w:r w:rsidR="0028552A">
        <w:rPr>
          <w:rFonts w:ascii="Arial" w:hAnsi="Arial" w:cs="Arial"/>
        </w:rPr>
        <w:t xml:space="preserve"> decision not to use a peremptory strike to control over the defendant’s desire to use the strike</w:t>
      </w:r>
      <w:r w:rsidR="002D11BC">
        <w:rPr>
          <w:rFonts w:ascii="Arial" w:hAnsi="Arial" w:cs="Arial"/>
        </w:rPr>
        <w:t xml:space="preserve">; effect of </w:t>
      </w:r>
      <w:r w:rsidR="00B34990">
        <w:rPr>
          <w:rFonts w:ascii="Arial" w:hAnsi="Arial" w:cs="Arial"/>
        </w:rPr>
        <w:t>trial court’s error was tantamount to failing to permit defendant to use a peremptory strike, which caselaw holds to be prejudicial error</w:t>
      </w:r>
      <w:r w:rsidR="0028552A">
        <w:rPr>
          <w:rFonts w:ascii="Arial" w:hAnsi="Arial" w:cs="Arial"/>
        </w:rPr>
        <w:t>)</w:t>
      </w:r>
      <w:r w:rsidR="00755F56" w:rsidRPr="00007771">
        <w:rPr>
          <w:rFonts w:ascii="Arial" w:hAnsi="Arial" w:cs="Arial"/>
        </w:rPr>
        <w:t>.</w:t>
      </w:r>
      <w:r w:rsidR="00B34990">
        <w:rPr>
          <w:rFonts w:ascii="Arial" w:hAnsi="Arial" w:cs="Arial"/>
        </w:rPr>
        <w:t xml:space="preserve"> </w:t>
      </w:r>
      <w:r w:rsidR="00B34990">
        <w:rPr>
          <w:rFonts w:ascii="Arial" w:hAnsi="Arial" w:cs="Arial"/>
          <w:i/>
          <w:iCs/>
        </w:rPr>
        <w:t xml:space="preserve">Cf. </w:t>
      </w:r>
      <w:r w:rsidR="00B34990">
        <w:rPr>
          <w:rFonts w:ascii="Arial" w:hAnsi="Arial" w:cs="Arial"/>
        </w:rPr>
        <w:t>State v. Jackson, 292 N.C. App. 616, 623 (2024) (noting in a case involving an alleged impasse concerning the presentation of documentary evidence that the North Carolina Supreme Court ha</w:t>
      </w:r>
      <w:r w:rsidR="00553250">
        <w:rPr>
          <w:rFonts w:ascii="Arial" w:hAnsi="Arial" w:cs="Arial"/>
        </w:rPr>
        <w:t>s</w:t>
      </w:r>
      <w:r w:rsidR="00B34990">
        <w:rPr>
          <w:rFonts w:ascii="Arial" w:hAnsi="Arial" w:cs="Arial"/>
        </w:rPr>
        <w:t xml:space="preserve"> not </w:t>
      </w:r>
      <w:r w:rsidR="003A257B">
        <w:rPr>
          <w:rFonts w:ascii="Arial" w:hAnsi="Arial" w:cs="Arial"/>
        </w:rPr>
        <w:t>specifical</w:t>
      </w:r>
      <w:r w:rsidR="00BF07B7">
        <w:rPr>
          <w:rFonts w:ascii="Arial" w:hAnsi="Arial" w:cs="Arial"/>
        </w:rPr>
        <w:t xml:space="preserve">ly </w:t>
      </w:r>
      <w:r w:rsidR="00553250">
        <w:rPr>
          <w:rFonts w:ascii="Arial" w:hAnsi="Arial" w:cs="Arial"/>
        </w:rPr>
        <w:t>classified</w:t>
      </w:r>
      <w:r w:rsidR="00B34990">
        <w:rPr>
          <w:rFonts w:ascii="Arial" w:hAnsi="Arial" w:cs="Arial"/>
        </w:rPr>
        <w:t xml:space="preserve"> a trial court’s failure to properly address an absolute impasse as a form of structural error).</w:t>
      </w:r>
    </w:p>
    <w:p w14:paraId="19F8CFF9" w14:textId="77777777" w:rsidR="000E0073" w:rsidRPr="00007771" w:rsidRDefault="00755F56" w:rsidP="00BE7D9D">
      <w:pPr>
        <w:pStyle w:val="Heading1"/>
        <w:keepNext w:val="0"/>
        <w:keepLines w:val="0"/>
        <w:numPr>
          <w:ilvl w:val="0"/>
          <w:numId w:val="7"/>
        </w:numPr>
        <w:ind w:left="720"/>
        <w:rPr>
          <w:rFonts w:cs="Arial"/>
          <w:vanish/>
          <w:szCs w:val="22"/>
          <w:specVanish/>
        </w:rPr>
      </w:pPr>
      <w:bookmarkStart w:id="9" w:name="_Toc207291186"/>
      <w:r w:rsidRPr="00007771">
        <w:rPr>
          <w:rFonts w:cs="Arial"/>
          <w:szCs w:val="22"/>
        </w:rPr>
        <w:t>Illustrative Circumstances in Which the Issue Arises.</w:t>
      </w:r>
      <w:bookmarkEnd w:id="9"/>
      <w:r w:rsidRPr="00007771">
        <w:rPr>
          <w:rFonts w:cs="Arial"/>
          <w:szCs w:val="22"/>
        </w:rPr>
        <w:t xml:space="preserve"> </w:t>
      </w:r>
    </w:p>
    <w:p w14:paraId="6FE6F5E4" w14:textId="6DC08563" w:rsidR="000E0073" w:rsidRPr="00007771" w:rsidRDefault="00BE7D9D" w:rsidP="00BE7D9D">
      <w:pPr>
        <w:pStyle w:val="ListParagraph"/>
        <w:spacing w:after="0" w:line="240" w:lineRule="auto"/>
        <w:rPr>
          <w:rFonts w:ascii="Arial" w:hAnsi="Arial" w:cs="Arial"/>
        </w:rPr>
      </w:pPr>
      <w:r w:rsidRPr="00007771">
        <w:rPr>
          <w:rFonts w:ascii="Arial" w:hAnsi="Arial" w:cs="Arial"/>
        </w:rPr>
        <w:t xml:space="preserve"> </w:t>
      </w:r>
      <w:r w:rsidR="00755F56" w:rsidRPr="00007771">
        <w:rPr>
          <w:rFonts w:ascii="Arial" w:hAnsi="Arial" w:cs="Arial"/>
        </w:rPr>
        <w:t>In North Carolina, absolute impasse issues have arisen in a variety of contexts, including those listed below.</w:t>
      </w:r>
    </w:p>
    <w:p w14:paraId="0A740C90" w14:textId="77777777" w:rsidR="00755F56" w:rsidRPr="00007771" w:rsidRDefault="009B1C43" w:rsidP="00BE7D9D">
      <w:pPr>
        <w:pStyle w:val="Heading2"/>
        <w:keepNext w:val="0"/>
        <w:keepLines w:val="0"/>
        <w:numPr>
          <w:ilvl w:val="0"/>
          <w:numId w:val="8"/>
        </w:numPr>
        <w:ind w:left="1440" w:hanging="720"/>
        <w:rPr>
          <w:rFonts w:cs="Arial"/>
          <w:szCs w:val="22"/>
        </w:rPr>
      </w:pPr>
      <w:bookmarkStart w:id="10" w:name="_Toc207291187"/>
      <w:r w:rsidRPr="00007771">
        <w:rPr>
          <w:rFonts w:cs="Arial"/>
          <w:szCs w:val="22"/>
        </w:rPr>
        <w:t>Jury S</w:t>
      </w:r>
      <w:r w:rsidR="00755F56" w:rsidRPr="00007771">
        <w:rPr>
          <w:rFonts w:cs="Arial"/>
          <w:szCs w:val="22"/>
        </w:rPr>
        <w:t>election.</w:t>
      </w:r>
      <w:bookmarkEnd w:id="10"/>
      <w:r w:rsidR="00755F56" w:rsidRPr="00007771">
        <w:rPr>
          <w:rFonts w:cs="Arial"/>
          <w:szCs w:val="22"/>
        </w:rPr>
        <w:t xml:space="preserve"> </w:t>
      </w:r>
    </w:p>
    <w:p w14:paraId="2112B6F9" w14:textId="77777777" w:rsidR="00755F56" w:rsidRPr="00007771" w:rsidRDefault="0031473D" w:rsidP="00BE7D9D">
      <w:pPr>
        <w:pStyle w:val="ListParagraph"/>
        <w:numPr>
          <w:ilvl w:val="0"/>
          <w:numId w:val="4"/>
        </w:numPr>
        <w:spacing w:after="0" w:line="240" w:lineRule="auto"/>
        <w:ind w:left="2160"/>
        <w:rPr>
          <w:rFonts w:ascii="Arial" w:hAnsi="Arial" w:cs="Arial"/>
        </w:rPr>
      </w:pPr>
      <w:r w:rsidRPr="00007771">
        <w:rPr>
          <w:rFonts w:ascii="Arial" w:hAnsi="Arial" w:cs="Arial"/>
        </w:rPr>
        <w:t xml:space="preserve">State v. Ali, 329 N.C. 394, 402-04 (1991) (no error occurred when the defense lawyer brought to the judge’s attention an absolute impasse </w:t>
      </w:r>
      <w:r w:rsidRPr="00007771">
        <w:rPr>
          <w:rFonts w:ascii="Arial" w:hAnsi="Arial" w:cs="Arial"/>
        </w:rPr>
        <w:lastRenderedPageBreak/>
        <w:t>regarding whether to accept a prospective juror and defense counsel yielded to the defendant’s desire not to peremptorily challenge the juror)</w:t>
      </w:r>
      <w:r w:rsidR="00755F56" w:rsidRPr="00007771">
        <w:rPr>
          <w:rFonts w:ascii="Arial" w:hAnsi="Arial" w:cs="Arial"/>
        </w:rPr>
        <w:t>.</w:t>
      </w:r>
    </w:p>
    <w:p w14:paraId="66022CF2" w14:textId="77777777" w:rsidR="00755F56" w:rsidRPr="00007771" w:rsidRDefault="0031473D" w:rsidP="00BE7D9D">
      <w:pPr>
        <w:pStyle w:val="ListParagraph"/>
        <w:numPr>
          <w:ilvl w:val="0"/>
          <w:numId w:val="4"/>
        </w:numPr>
        <w:spacing w:after="0" w:line="240" w:lineRule="auto"/>
        <w:ind w:left="2160"/>
        <w:rPr>
          <w:rFonts w:ascii="Arial" w:hAnsi="Arial" w:cs="Arial"/>
        </w:rPr>
      </w:pPr>
      <w:r w:rsidRPr="00007771">
        <w:rPr>
          <w:rFonts w:ascii="Arial" w:hAnsi="Arial" w:cs="Arial"/>
        </w:rPr>
        <w:t>State v. Freeman, 202 N.C. App. 740, 745-47 (2010) (when the defendant and trial counsel reached an absolute impasse regarding the use of a peremptory challenge to strike a juror, the trial court committed reversible error by not requiring counsel to abide by the defendant’s wishes)</w:t>
      </w:r>
      <w:r w:rsidR="00755F56" w:rsidRPr="00007771">
        <w:rPr>
          <w:rFonts w:ascii="Arial" w:hAnsi="Arial" w:cs="Arial"/>
        </w:rPr>
        <w:t>.</w:t>
      </w:r>
    </w:p>
    <w:p w14:paraId="7C832C7B" w14:textId="77777777" w:rsidR="00755F56" w:rsidRPr="00007771" w:rsidRDefault="0031473D" w:rsidP="00BE7D9D">
      <w:pPr>
        <w:pStyle w:val="ListParagraph"/>
        <w:numPr>
          <w:ilvl w:val="0"/>
          <w:numId w:val="4"/>
        </w:numPr>
        <w:spacing w:after="0" w:line="240" w:lineRule="auto"/>
        <w:ind w:left="2160"/>
        <w:rPr>
          <w:rFonts w:ascii="Arial" w:hAnsi="Arial" w:cs="Arial"/>
        </w:rPr>
      </w:pPr>
      <w:r w:rsidRPr="00007771">
        <w:rPr>
          <w:rFonts w:ascii="Arial" w:hAnsi="Arial" w:cs="Arial"/>
        </w:rPr>
        <w:t>State v. Mitchell, 353 N.C. 309, 323 (2001) (the trial court properly found that the defendant and his counsel had reached an absolute impasse over the tactical decision of whether to attempt to rehabilitate a prospective juror and did not err in excusing the prospective juror for cause and honoring defendant's personal decision not to attempt rehabilitation).</w:t>
      </w:r>
    </w:p>
    <w:p w14:paraId="4F4E7274" w14:textId="77777777" w:rsidR="00755F56" w:rsidRPr="00007771" w:rsidRDefault="0031473D" w:rsidP="00BE7D9D">
      <w:pPr>
        <w:pStyle w:val="ListParagraph"/>
        <w:numPr>
          <w:ilvl w:val="0"/>
          <w:numId w:val="4"/>
        </w:numPr>
        <w:spacing w:after="0" w:line="240" w:lineRule="auto"/>
        <w:ind w:left="2160"/>
        <w:rPr>
          <w:rFonts w:ascii="Arial" w:hAnsi="Arial" w:cs="Arial"/>
        </w:rPr>
      </w:pPr>
      <w:r w:rsidRPr="00007771">
        <w:rPr>
          <w:rFonts w:ascii="Arial" w:hAnsi="Arial" w:cs="Arial"/>
        </w:rPr>
        <w:t>State v. Buchanan, 330 N.C. 202, 207-08 (1991) (trial court properly required counsel to abide by the defendant’s decision not to exercise peremptory challenges to remove jurors his lawyers deemed unsuitable)</w:t>
      </w:r>
      <w:r w:rsidR="00755F56" w:rsidRPr="00007771">
        <w:rPr>
          <w:rFonts w:ascii="Arial" w:hAnsi="Arial" w:cs="Arial"/>
        </w:rPr>
        <w:t xml:space="preserve">. </w:t>
      </w:r>
    </w:p>
    <w:p w14:paraId="0F89AB14" w14:textId="77777777" w:rsidR="000E0073" w:rsidRPr="00007771" w:rsidRDefault="000E0073" w:rsidP="00BE7D9D">
      <w:pPr>
        <w:pStyle w:val="ListParagraph"/>
        <w:spacing w:after="0" w:line="240" w:lineRule="auto"/>
        <w:ind w:left="2160"/>
        <w:rPr>
          <w:rFonts w:ascii="Arial" w:hAnsi="Arial" w:cs="Arial"/>
        </w:rPr>
      </w:pPr>
    </w:p>
    <w:p w14:paraId="2F74D710" w14:textId="67B683BF" w:rsidR="00755F56" w:rsidRPr="00007771" w:rsidRDefault="00755F56" w:rsidP="00BE7D9D">
      <w:pPr>
        <w:pStyle w:val="Heading2"/>
        <w:keepNext w:val="0"/>
        <w:keepLines w:val="0"/>
        <w:numPr>
          <w:ilvl w:val="0"/>
          <w:numId w:val="8"/>
        </w:numPr>
        <w:ind w:left="1440" w:hanging="720"/>
        <w:rPr>
          <w:rFonts w:cs="Arial"/>
          <w:szCs w:val="22"/>
        </w:rPr>
      </w:pPr>
      <w:bookmarkStart w:id="11" w:name="_Toc207291188"/>
      <w:r w:rsidRPr="00007771">
        <w:rPr>
          <w:rFonts w:cs="Arial"/>
          <w:szCs w:val="22"/>
        </w:rPr>
        <w:t>Whether to Present Evidence.</w:t>
      </w:r>
      <w:bookmarkEnd w:id="11"/>
      <w:r w:rsidRPr="00007771">
        <w:rPr>
          <w:rFonts w:cs="Arial"/>
          <w:szCs w:val="22"/>
        </w:rPr>
        <w:t xml:space="preserve"> </w:t>
      </w:r>
    </w:p>
    <w:p w14:paraId="306B4E84" w14:textId="77777777" w:rsidR="00755F56" w:rsidRPr="00007771" w:rsidRDefault="0031473D" w:rsidP="00BE7D9D">
      <w:pPr>
        <w:pStyle w:val="ListParagraph"/>
        <w:numPr>
          <w:ilvl w:val="0"/>
          <w:numId w:val="6"/>
        </w:numPr>
        <w:spacing w:after="0" w:line="240" w:lineRule="auto"/>
        <w:ind w:left="2160"/>
        <w:rPr>
          <w:rFonts w:ascii="Arial" w:hAnsi="Arial" w:cs="Arial"/>
        </w:rPr>
      </w:pPr>
      <w:r w:rsidRPr="00007771">
        <w:rPr>
          <w:rFonts w:ascii="Arial" w:hAnsi="Arial" w:cs="Arial"/>
        </w:rPr>
        <w:t>State v. White, 349 N.C. 535, 563-67 (1998) (where there was an absolute impasse between the defendant and his counsel over the presentation of mitigating evidence concerning domestic violence while the defendant was growing up, the trial court did not err by following the defendant’s wishes and prohibiting counsel from presenting the controversial evidence)</w:t>
      </w:r>
      <w:r w:rsidR="00755F56" w:rsidRPr="00007771">
        <w:rPr>
          <w:rFonts w:ascii="Arial" w:hAnsi="Arial" w:cs="Arial"/>
        </w:rPr>
        <w:t>.</w:t>
      </w:r>
    </w:p>
    <w:p w14:paraId="1FAFDF4B" w14:textId="77777777" w:rsidR="00755F56" w:rsidRDefault="0031473D" w:rsidP="00BE7D9D">
      <w:pPr>
        <w:pStyle w:val="ListParagraph"/>
        <w:numPr>
          <w:ilvl w:val="0"/>
          <w:numId w:val="5"/>
        </w:numPr>
        <w:spacing w:after="0" w:line="240" w:lineRule="auto"/>
        <w:ind w:left="2160"/>
        <w:rPr>
          <w:rFonts w:ascii="Arial" w:hAnsi="Arial" w:cs="Arial"/>
        </w:rPr>
      </w:pPr>
      <w:r w:rsidRPr="00007771">
        <w:rPr>
          <w:rFonts w:ascii="Arial" w:hAnsi="Arial" w:cs="Arial"/>
        </w:rPr>
        <w:t>State v. Grooms, 353 N.C. 50, 84-86 (2000) (the trial court did not err by finding that the defendant and defense counsel had reached an absolute impasse over whether to present mitigating evidence during the capital sentencing proceeding and by prohibiting defense counsel from presenting evidence in mitigation)</w:t>
      </w:r>
      <w:r w:rsidR="00755F56" w:rsidRPr="00007771">
        <w:rPr>
          <w:rFonts w:ascii="Arial" w:hAnsi="Arial" w:cs="Arial"/>
        </w:rPr>
        <w:t>.</w:t>
      </w:r>
    </w:p>
    <w:p w14:paraId="391602B5" w14:textId="77777777" w:rsidR="000E0073" w:rsidRPr="00007771" w:rsidRDefault="000E0073" w:rsidP="00BE7D9D">
      <w:pPr>
        <w:pStyle w:val="ListParagraph"/>
        <w:spacing w:after="0" w:line="240" w:lineRule="auto"/>
        <w:ind w:left="2160"/>
        <w:rPr>
          <w:rFonts w:ascii="Arial" w:hAnsi="Arial" w:cs="Arial"/>
        </w:rPr>
      </w:pPr>
    </w:p>
    <w:p w14:paraId="29334B2F" w14:textId="30697192" w:rsidR="009E72B1" w:rsidRDefault="009E72B1" w:rsidP="00BE7D9D">
      <w:pPr>
        <w:pStyle w:val="Heading2"/>
        <w:keepNext w:val="0"/>
        <w:keepLines w:val="0"/>
        <w:numPr>
          <w:ilvl w:val="0"/>
          <w:numId w:val="8"/>
        </w:numPr>
        <w:ind w:left="1440" w:hanging="720"/>
        <w:rPr>
          <w:rFonts w:cs="Arial"/>
          <w:szCs w:val="22"/>
        </w:rPr>
      </w:pPr>
      <w:bookmarkStart w:id="12" w:name="_Toc207291189"/>
      <w:r>
        <w:rPr>
          <w:rFonts w:cs="Arial"/>
          <w:szCs w:val="22"/>
        </w:rPr>
        <w:t>Whether to Stipulat</w:t>
      </w:r>
      <w:r w:rsidR="00F45B94">
        <w:rPr>
          <w:rFonts w:cs="Arial"/>
          <w:szCs w:val="22"/>
        </w:rPr>
        <w:t>e</w:t>
      </w:r>
      <w:r w:rsidR="008A459B">
        <w:rPr>
          <w:rFonts w:cs="Arial"/>
          <w:szCs w:val="22"/>
        </w:rPr>
        <w:t>.</w:t>
      </w:r>
      <w:bookmarkEnd w:id="12"/>
    </w:p>
    <w:p w14:paraId="5854E760" w14:textId="2B766916" w:rsidR="009E72B1" w:rsidRDefault="009E72B1" w:rsidP="009E72B1">
      <w:pPr>
        <w:pStyle w:val="ListParagraph"/>
        <w:numPr>
          <w:ilvl w:val="0"/>
          <w:numId w:val="5"/>
        </w:numPr>
        <w:spacing w:after="0" w:line="240" w:lineRule="auto"/>
        <w:ind w:left="2160"/>
        <w:rPr>
          <w:rFonts w:ascii="Arial" w:hAnsi="Arial" w:cs="Arial"/>
        </w:rPr>
      </w:pPr>
      <w:r w:rsidRPr="009E72B1">
        <w:rPr>
          <w:rFonts w:ascii="Arial" w:hAnsi="Arial" w:cs="Arial"/>
        </w:rPr>
        <w:t>State v. Dawkins, 265 N.C. App. 519, 523 (2019) (</w:t>
      </w:r>
      <w:r>
        <w:rPr>
          <w:rFonts w:ascii="Arial" w:hAnsi="Arial" w:cs="Arial"/>
        </w:rPr>
        <w:t xml:space="preserve">the trial court did not err </w:t>
      </w:r>
      <w:r w:rsidR="008A459B">
        <w:rPr>
          <w:rFonts w:ascii="Arial" w:hAnsi="Arial" w:cs="Arial"/>
        </w:rPr>
        <w:t>in a felon in possession case by</w:t>
      </w:r>
      <w:r>
        <w:rPr>
          <w:rFonts w:ascii="Arial" w:hAnsi="Arial" w:cs="Arial"/>
        </w:rPr>
        <w:t xml:space="preserve"> </w:t>
      </w:r>
      <w:r w:rsidR="008A459B">
        <w:rPr>
          <w:rFonts w:ascii="Arial" w:hAnsi="Arial" w:cs="Arial"/>
        </w:rPr>
        <w:t>finding that the defendant and defense counsel had reached an absolute impasse over whether to stipulate to the defendant’s status as a convicted felon and rejecting defense counsel’s proposed stipulation which the defendant refused to sign).</w:t>
      </w:r>
    </w:p>
    <w:p w14:paraId="5C7CE065" w14:textId="77777777" w:rsidR="009E72B1" w:rsidRPr="009E72B1" w:rsidRDefault="009E72B1" w:rsidP="009E72B1">
      <w:pPr>
        <w:pStyle w:val="ListParagraph"/>
        <w:spacing w:after="0" w:line="240" w:lineRule="auto"/>
        <w:ind w:left="2160"/>
        <w:rPr>
          <w:rFonts w:ascii="Arial" w:hAnsi="Arial" w:cs="Arial"/>
        </w:rPr>
      </w:pPr>
    </w:p>
    <w:p w14:paraId="1C72B804" w14:textId="4AAAB0B0" w:rsidR="00755F56" w:rsidRPr="00007771" w:rsidRDefault="00755F56" w:rsidP="00BE7D9D">
      <w:pPr>
        <w:pStyle w:val="Heading2"/>
        <w:keepNext w:val="0"/>
        <w:keepLines w:val="0"/>
        <w:numPr>
          <w:ilvl w:val="0"/>
          <w:numId w:val="8"/>
        </w:numPr>
        <w:ind w:left="1440" w:hanging="720"/>
        <w:rPr>
          <w:rFonts w:cs="Arial"/>
          <w:szCs w:val="22"/>
        </w:rPr>
      </w:pPr>
      <w:bookmarkStart w:id="13" w:name="_Toc207291190"/>
      <w:r w:rsidRPr="00007771">
        <w:rPr>
          <w:rFonts w:cs="Arial"/>
          <w:szCs w:val="22"/>
        </w:rPr>
        <w:t>Examination of Witnesses.</w:t>
      </w:r>
      <w:bookmarkEnd w:id="13"/>
      <w:r w:rsidRPr="00007771">
        <w:rPr>
          <w:rFonts w:cs="Arial"/>
          <w:szCs w:val="22"/>
        </w:rPr>
        <w:t xml:space="preserve"> </w:t>
      </w:r>
    </w:p>
    <w:p w14:paraId="780A3842" w14:textId="77777777" w:rsidR="00755F56" w:rsidRPr="00007771" w:rsidRDefault="0031473D" w:rsidP="00BE7D9D">
      <w:pPr>
        <w:pStyle w:val="ListParagraph"/>
        <w:numPr>
          <w:ilvl w:val="0"/>
          <w:numId w:val="5"/>
        </w:numPr>
        <w:spacing w:after="0" w:line="240" w:lineRule="auto"/>
        <w:ind w:left="2160"/>
        <w:rPr>
          <w:rFonts w:ascii="Arial" w:hAnsi="Arial" w:cs="Arial"/>
        </w:rPr>
      </w:pPr>
      <w:r w:rsidRPr="00007771">
        <w:rPr>
          <w:rFonts w:ascii="Arial" w:hAnsi="Arial" w:cs="Arial"/>
        </w:rPr>
        <w:t>State v. Brown, 339 N.C. 426, 434-35 (1994) (the trial court properly required counsel to abide by the defendant’s wishes regarding examination of witnesses)</w:t>
      </w:r>
      <w:r w:rsidR="00755F56" w:rsidRPr="00007771">
        <w:rPr>
          <w:rFonts w:ascii="Arial" w:hAnsi="Arial" w:cs="Arial"/>
        </w:rPr>
        <w:t>.</w:t>
      </w:r>
    </w:p>
    <w:p w14:paraId="3B1D2EC4" w14:textId="77777777" w:rsidR="000E0073" w:rsidRPr="00007771" w:rsidRDefault="000E0073" w:rsidP="00BE7D9D">
      <w:pPr>
        <w:pStyle w:val="ListParagraph"/>
        <w:spacing w:after="0" w:line="240" w:lineRule="auto"/>
        <w:ind w:left="1440"/>
        <w:rPr>
          <w:rFonts w:ascii="Arial" w:hAnsi="Arial" w:cs="Arial"/>
        </w:rPr>
      </w:pPr>
    </w:p>
    <w:p w14:paraId="6997F988" w14:textId="77777777" w:rsidR="00755F56" w:rsidRPr="00007771" w:rsidRDefault="00755F56" w:rsidP="003E1124">
      <w:pPr>
        <w:pStyle w:val="Heading2"/>
        <w:keepNext w:val="0"/>
        <w:keepLines w:val="0"/>
        <w:numPr>
          <w:ilvl w:val="0"/>
          <w:numId w:val="8"/>
        </w:numPr>
        <w:ind w:left="1440" w:hanging="720"/>
        <w:rPr>
          <w:rFonts w:cs="Arial"/>
          <w:szCs w:val="22"/>
        </w:rPr>
      </w:pPr>
      <w:bookmarkStart w:id="14" w:name="_Toc207291191"/>
      <w:r w:rsidRPr="00007771">
        <w:rPr>
          <w:rFonts w:cs="Arial"/>
          <w:szCs w:val="22"/>
        </w:rPr>
        <w:t>Whether to Move for a Mistrial.</w:t>
      </w:r>
      <w:bookmarkEnd w:id="14"/>
    </w:p>
    <w:p w14:paraId="064CB891" w14:textId="77777777" w:rsidR="00755F56" w:rsidRPr="00007771" w:rsidRDefault="0031473D" w:rsidP="00BE7D9D">
      <w:pPr>
        <w:pStyle w:val="ListParagraph"/>
        <w:numPr>
          <w:ilvl w:val="0"/>
          <w:numId w:val="5"/>
        </w:numPr>
        <w:spacing w:after="0" w:line="240" w:lineRule="auto"/>
        <w:ind w:left="2160"/>
        <w:rPr>
          <w:rFonts w:ascii="Arial" w:hAnsi="Arial" w:cs="Arial"/>
        </w:rPr>
      </w:pPr>
      <w:r w:rsidRPr="00007771">
        <w:rPr>
          <w:rFonts w:ascii="Arial" w:hAnsi="Arial" w:cs="Arial"/>
        </w:rPr>
        <w:t xml:space="preserve">State v. Green, 129 N.C. App. 539, 552 (1998) (trial court followed the defendant’s wishes regarding whether to move for a mistrial), </w:t>
      </w:r>
      <w:r w:rsidRPr="00007771">
        <w:rPr>
          <w:rFonts w:ascii="Arial" w:hAnsi="Arial" w:cs="Arial"/>
          <w:i/>
        </w:rPr>
        <w:t xml:space="preserve">aff’d per </w:t>
      </w:r>
      <w:proofErr w:type="spellStart"/>
      <w:r w:rsidRPr="00007771">
        <w:rPr>
          <w:rFonts w:ascii="Arial" w:hAnsi="Arial" w:cs="Arial"/>
          <w:i/>
        </w:rPr>
        <w:t>curiam</w:t>
      </w:r>
      <w:proofErr w:type="spellEnd"/>
      <w:r w:rsidRPr="00007771">
        <w:rPr>
          <w:rFonts w:ascii="Arial" w:hAnsi="Arial" w:cs="Arial"/>
        </w:rPr>
        <w:t>, 350 N.C. 59 (1999)</w:t>
      </w:r>
      <w:r w:rsidR="00755F56" w:rsidRPr="00007771">
        <w:rPr>
          <w:rFonts w:ascii="Arial" w:hAnsi="Arial" w:cs="Arial"/>
        </w:rPr>
        <w:t>.</w:t>
      </w:r>
    </w:p>
    <w:p w14:paraId="648E2D90" w14:textId="77777777" w:rsidR="00231005" w:rsidRPr="00007771" w:rsidRDefault="00231005" w:rsidP="00BE7D9D">
      <w:pPr>
        <w:pStyle w:val="ListParagraph"/>
        <w:spacing w:after="0" w:line="240" w:lineRule="auto"/>
        <w:ind w:left="1440"/>
        <w:rPr>
          <w:rFonts w:ascii="Arial" w:hAnsi="Arial" w:cs="Arial"/>
        </w:rPr>
      </w:pPr>
    </w:p>
    <w:p w14:paraId="70B25B33" w14:textId="77777777" w:rsidR="00755F56" w:rsidRPr="00007771" w:rsidRDefault="00755F56" w:rsidP="00231005">
      <w:pPr>
        <w:pStyle w:val="Heading2"/>
        <w:keepLines w:val="0"/>
        <w:numPr>
          <w:ilvl w:val="0"/>
          <w:numId w:val="8"/>
        </w:numPr>
        <w:ind w:left="1440" w:hanging="720"/>
        <w:rPr>
          <w:rFonts w:cs="Arial"/>
          <w:szCs w:val="22"/>
        </w:rPr>
      </w:pPr>
      <w:bookmarkStart w:id="15" w:name="_Toc207291192"/>
      <w:r w:rsidRPr="00007771">
        <w:rPr>
          <w:rFonts w:cs="Arial"/>
          <w:szCs w:val="22"/>
        </w:rPr>
        <w:lastRenderedPageBreak/>
        <w:t>Jury Instructions.</w:t>
      </w:r>
      <w:bookmarkEnd w:id="15"/>
      <w:r w:rsidRPr="00007771">
        <w:rPr>
          <w:rFonts w:cs="Arial"/>
          <w:szCs w:val="22"/>
        </w:rPr>
        <w:t xml:space="preserve"> </w:t>
      </w:r>
    </w:p>
    <w:p w14:paraId="15ED390D" w14:textId="71BC10C8" w:rsidR="00BE7D9D" w:rsidRPr="00476CBA" w:rsidRDefault="0031473D" w:rsidP="005413D0">
      <w:pPr>
        <w:pStyle w:val="ListParagraph"/>
        <w:numPr>
          <w:ilvl w:val="0"/>
          <w:numId w:val="5"/>
        </w:numPr>
        <w:spacing w:after="0" w:line="240" w:lineRule="auto"/>
        <w:ind w:left="1440"/>
        <w:jc w:val="both"/>
        <w:rPr>
          <w:rFonts w:ascii="Arial" w:hAnsi="Arial" w:cs="Arial"/>
        </w:rPr>
      </w:pPr>
      <w:r w:rsidRPr="00476CBA">
        <w:rPr>
          <w:rFonts w:ascii="Arial" w:hAnsi="Arial" w:cs="Arial"/>
        </w:rPr>
        <w:t>State v. Brown, 339 N.C. 426, 434-35 (1994) (trial court properly required counsel to abide by the defendant’s wishes regarding jury instructions)</w:t>
      </w:r>
      <w:r w:rsidR="00755F56" w:rsidRPr="00476CBA">
        <w:rPr>
          <w:rFonts w:ascii="Arial" w:hAnsi="Arial" w:cs="Arial"/>
        </w:rPr>
        <w:t>.</w:t>
      </w:r>
    </w:p>
    <w:p w14:paraId="48B26191" w14:textId="77777777" w:rsidR="000E0073" w:rsidRDefault="000E0073" w:rsidP="00DC5286">
      <w:pPr>
        <w:pStyle w:val="ListParagraph"/>
        <w:spacing w:after="0" w:line="240" w:lineRule="auto"/>
        <w:ind w:left="1440"/>
        <w:jc w:val="both"/>
        <w:rPr>
          <w:rFonts w:ascii="Arial" w:hAnsi="Arial" w:cs="Arial"/>
        </w:rPr>
      </w:pPr>
    </w:p>
    <w:p w14:paraId="25968B22" w14:textId="77777777" w:rsidR="00231005" w:rsidRDefault="00231005" w:rsidP="00DC5286">
      <w:pPr>
        <w:pStyle w:val="ListParagraph"/>
        <w:spacing w:after="0" w:line="240" w:lineRule="auto"/>
        <w:ind w:left="1440"/>
        <w:jc w:val="both"/>
        <w:rPr>
          <w:rFonts w:ascii="Arial" w:hAnsi="Arial" w:cs="Arial"/>
        </w:rPr>
      </w:pPr>
    </w:p>
    <w:p w14:paraId="74AE0C1F" w14:textId="77777777" w:rsidR="00231005" w:rsidRDefault="00231005" w:rsidP="00DC5286">
      <w:pPr>
        <w:pStyle w:val="ListParagraph"/>
        <w:spacing w:after="0" w:line="240" w:lineRule="auto"/>
        <w:ind w:left="1440"/>
        <w:jc w:val="both"/>
        <w:rPr>
          <w:rFonts w:ascii="Arial" w:hAnsi="Arial" w:cs="Arial"/>
        </w:rPr>
      </w:pPr>
    </w:p>
    <w:p w14:paraId="1FBF7603" w14:textId="77777777" w:rsidR="00231005" w:rsidRDefault="00231005" w:rsidP="00DC5286">
      <w:pPr>
        <w:pStyle w:val="ListParagraph"/>
        <w:spacing w:after="0" w:line="240" w:lineRule="auto"/>
        <w:ind w:left="1440"/>
        <w:jc w:val="both"/>
        <w:rPr>
          <w:rFonts w:ascii="Arial" w:hAnsi="Arial" w:cs="Arial"/>
        </w:rPr>
      </w:pPr>
    </w:p>
    <w:p w14:paraId="37437AB7" w14:textId="77777777" w:rsidR="00231005" w:rsidRDefault="00231005" w:rsidP="00DC5286">
      <w:pPr>
        <w:pStyle w:val="ListParagraph"/>
        <w:spacing w:after="0" w:line="240" w:lineRule="auto"/>
        <w:ind w:left="1440"/>
        <w:jc w:val="both"/>
        <w:rPr>
          <w:rFonts w:ascii="Arial" w:hAnsi="Arial" w:cs="Arial"/>
        </w:rPr>
      </w:pPr>
    </w:p>
    <w:p w14:paraId="2C9BC570" w14:textId="77777777" w:rsidR="00231005" w:rsidRDefault="00231005" w:rsidP="00DC5286">
      <w:pPr>
        <w:pStyle w:val="ListParagraph"/>
        <w:spacing w:after="0" w:line="240" w:lineRule="auto"/>
        <w:ind w:left="1440"/>
        <w:jc w:val="both"/>
        <w:rPr>
          <w:rFonts w:ascii="Arial" w:hAnsi="Arial" w:cs="Arial"/>
        </w:rPr>
      </w:pPr>
    </w:p>
    <w:p w14:paraId="5C39B904" w14:textId="77777777" w:rsidR="00231005" w:rsidRDefault="00231005" w:rsidP="00DC5286">
      <w:pPr>
        <w:pStyle w:val="ListParagraph"/>
        <w:spacing w:after="0" w:line="240" w:lineRule="auto"/>
        <w:ind w:left="1440"/>
        <w:jc w:val="both"/>
        <w:rPr>
          <w:rFonts w:ascii="Arial" w:hAnsi="Arial" w:cs="Arial"/>
        </w:rPr>
      </w:pPr>
    </w:p>
    <w:p w14:paraId="7E38BCCA" w14:textId="77777777" w:rsidR="00231005" w:rsidRDefault="00231005" w:rsidP="00DC5286">
      <w:pPr>
        <w:pStyle w:val="ListParagraph"/>
        <w:spacing w:after="0" w:line="240" w:lineRule="auto"/>
        <w:ind w:left="1440"/>
        <w:jc w:val="both"/>
        <w:rPr>
          <w:rFonts w:ascii="Arial" w:hAnsi="Arial" w:cs="Arial"/>
        </w:rPr>
      </w:pPr>
    </w:p>
    <w:p w14:paraId="291A661A" w14:textId="77777777" w:rsidR="00231005" w:rsidRDefault="00231005" w:rsidP="00DC5286">
      <w:pPr>
        <w:pStyle w:val="ListParagraph"/>
        <w:spacing w:after="0" w:line="240" w:lineRule="auto"/>
        <w:ind w:left="1440"/>
        <w:jc w:val="both"/>
        <w:rPr>
          <w:rFonts w:ascii="Arial" w:hAnsi="Arial" w:cs="Arial"/>
        </w:rPr>
      </w:pPr>
    </w:p>
    <w:p w14:paraId="455F0B6E" w14:textId="77777777" w:rsidR="00231005" w:rsidRDefault="00231005" w:rsidP="00DC5286">
      <w:pPr>
        <w:pStyle w:val="ListParagraph"/>
        <w:spacing w:after="0" w:line="240" w:lineRule="auto"/>
        <w:ind w:left="1440"/>
        <w:jc w:val="both"/>
        <w:rPr>
          <w:rFonts w:ascii="Arial" w:hAnsi="Arial" w:cs="Arial"/>
        </w:rPr>
      </w:pPr>
    </w:p>
    <w:p w14:paraId="27864A44" w14:textId="77777777" w:rsidR="00231005" w:rsidRDefault="00231005" w:rsidP="00DC5286">
      <w:pPr>
        <w:pStyle w:val="ListParagraph"/>
        <w:spacing w:after="0" w:line="240" w:lineRule="auto"/>
        <w:ind w:left="1440"/>
        <w:jc w:val="both"/>
        <w:rPr>
          <w:rFonts w:ascii="Arial" w:hAnsi="Arial" w:cs="Arial"/>
        </w:rPr>
      </w:pPr>
    </w:p>
    <w:p w14:paraId="3FB571B0" w14:textId="77777777" w:rsidR="00231005" w:rsidRDefault="00231005" w:rsidP="00DC5286">
      <w:pPr>
        <w:pStyle w:val="ListParagraph"/>
        <w:spacing w:after="0" w:line="240" w:lineRule="auto"/>
        <w:ind w:left="1440"/>
        <w:jc w:val="both"/>
        <w:rPr>
          <w:rFonts w:ascii="Arial" w:hAnsi="Arial" w:cs="Arial"/>
        </w:rPr>
      </w:pPr>
    </w:p>
    <w:p w14:paraId="1310D9FC" w14:textId="77777777" w:rsidR="00231005" w:rsidRDefault="00231005" w:rsidP="00DC5286">
      <w:pPr>
        <w:pStyle w:val="ListParagraph"/>
        <w:spacing w:after="0" w:line="240" w:lineRule="auto"/>
        <w:ind w:left="1440"/>
        <w:jc w:val="both"/>
        <w:rPr>
          <w:rFonts w:ascii="Arial" w:hAnsi="Arial" w:cs="Arial"/>
        </w:rPr>
      </w:pPr>
    </w:p>
    <w:p w14:paraId="4D36A8EA" w14:textId="77777777" w:rsidR="00231005" w:rsidRDefault="00231005" w:rsidP="00DC5286">
      <w:pPr>
        <w:pStyle w:val="ListParagraph"/>
        <w:spacing w:after="0" w:line="240" w:lineRule="auto"/>
        <w:ind w:left="1440"/>
        <w:jc w:val="both"/>
        <w:rPr>
          <w:rFonts w:ascii="Arial" w:hAnsi="Arial" w:cs="Arial"/>
        </w:rPr>
      </w:pPr>
    </w:p>
    <w:p w14:paraId="6C206B09" w14:textId="77777777" w:rsidR="00231005" w:rsidRDefault="00231005" w:rsidP="00DC5286">
      <w:pPr>
        <w:pStyle w:val="ListParagraph"/>
        <w:spacing w:after="0" w:line="240" w:lineRule="auto"/>
        <w:ind w:left="1440"/>
        <w:jc w:val="both"/>
        <w:rPr>
          <w:rFonts w:ascii="Arial" w:hAnsi="Arial" w:cs="Arial"/>
        </w:rPr>
      </w:pPr>
    </w:p>
    <w:p w14:paraId="35248393" w14:textId="77777777" w:rsidR="00231005" w:rsidRDefault="00231005" w:rsidP="00DC5286">
      <w:pPr>
        <w:pStyle w:val="ListParagraph"/>
        <w:spacing w:after="0" w:line="240" w:lineRule="auto"/>
        <w:ind w:left="1440"/>
        <w:jc w:val="both"/>
        <w:rPr>
          <w:rFonts w:ascii="Arial" w:hAnsi="Arial" w:cs="Arial"/>
        </w:rPr>
      </w:pPr>
    </w:p>
    <w:p w14:paraId="0D19F043" w14:textId="77777777" w:rsidR="00231005" w:rsidRDefault="00231005" w:rsidP="00DC5286">
      <w:pPr>
        <w:pStyle w:val="ListParagraph"/>
        <w:spacing w:after="0" w:line="240" w:lineRule="auto"/>
        <w:ind w:left="1440"/>
        <w:jc w:val="both"/>
        <w:rPr>
          <w:rFonts w:ascii="Arial" w:hAnsi="Arial" w:cs="Arial"/>
        </w:rPr>
      </w:pPr>
    </w:p>
    <w:p w14:paraId="53C208CF" w14:textId="77777777" w:rsidR="00231005" w:rsidRDefault="00231005" w:rsidP="00DC5286">
      <w:pPr>
        <w:pStyle w:val="ListParagraph"/>
        <w:spacing w:after="0" w:line="240" w:lineRule="auto"/>
        <w:ind w:left="1440"/>
        <w:jc w:val="both"/>
        <w:rPr>
          <w:rFonts w:ascii="Arial" w:hAnsi="Arial" w:cs="Arial"/>
        </w:rPr>
      </w:pPr>
    </w:p>
    <w:p w14:paraId="7B8617B4" w14:textId="77777777" w:rsidR="00231005" w:rsidRDefault="00231005" w:rsidP="00DC5286">
      <w:pPr>
        <w:pStyle w:val="ListParagraph"/>
        <w:spacing w:after="0" w:line="240" w:lineRule="auto"/>
        <w:ind w:left="1440"/>
        <w:jc w:val="both"/>
        <w:rPr>
          <w:rFonts w:ascii="Arial" w:hAnsi="Arial" w:cs="Arial"/>
        </w:rPr>
      </w:pPr>
    </w:p>
    <w:p w14:paraId="0983982F" w14:textId="77777777" w:rsidR="00231005" w:rsidRDefault="00231005" w:rsidP="00DC5286">
      <w:pPr>
        <w:pStyle w:val="ListParagraph"/>
        <w:spacing w:after="0" w:line="240" w:lineRule="auto"/>
        <w:ind w:left="1440"/>
        <w:jc w:val="both"/>
        <w:rPr>
          <w:rFonts w:ascii="Arial" w:hAnsi="Arial" w:cs="Arial"/>
        </w:rPr>
      </w:pPr>
    </w:p>
    <w:p w14:paraId="650F87C9" w14:textId="77777777" w:rsidR="00231005" w:rsidRDefault="00231005" w:rsidP="00DC5286">
      <w:pPr>
        <w:pStyle w:val="ListParagraph"/>
        <w:spacing w:after="0" w:line="240" w:lineRule="auto"/>
        <w:ind w:left="1440"/>
        <w:jc w:val="both"/>
        <w:rPr>
          <w:rFonts w:ascii="Arial" w:hAnsi="Arial" w:cs="Arial"/>
        </w:rPr>
      </w:pPr>
    </w:p>
    <w:p w14:paraId="6378C076" w14:textId="77777777" w:rsidR="00231005" w:rsidRDefault="00231005" w:rsidP="00DC5286">
      <w:pPr>
        <w:pStyle w:val="ListParagraph"/>
        <w:spacing w:after="0" w:line="240" w:lineRule="auto"/>
        <w:ind w:left="1440"/>
        <w:jc w:val="both"/>
        <w:rPr>
          <w:rFonts w:ascii="Arial" w:hAnsi="Arial" w:cs="Arial"/>
        </w:rPr>
      </w:pPr>
    </w:p>
    <w:p w14:paraId="020E7F1B" w14:textId="77777777" w:rsidR="00231005" w:rsidRDefault="00231005" w:rsidP="00DC5286">
      <w:pPr>
        <w:pStyle w:val="ListParagraph"/>
        <w:spacing w:after="0" w:line="240" w:lineRule="auto"/>
        <w:ind w:left="1440"/>
        <w:jc w:val="both"/>
        <w:rPr>
          <w:rFonts w:ascii="Arial" w:hAnsi="Arial" w:cs="Arial"/>
        </w:rPr>
      </w:pPr>
    </w:p>
    <w:p w14:paraId="7C085A95" w14:textId="77777777" w:rsidR="00231005" w:rsidRDefault="00231005" w:rsidP="00DC5286">
      <w:pPr>
        <w:pStyle w:val="ListParagraph"/>
        <w:spacing w:after="0" w:line="240" w:lineRule="auto"/>
        <w:ind w:left="1440"/>
        <w:jc w:val="both"/>
        <w:rPr>
          <w:rFonts w:ascii="Arial" w:hAnsi="Arial" w:cs="Arial"/>
        </w:rPr>
      </w:pPr>
    </w:p>
    <w:p w14:paraId="67704E33" w14:textId="77777777" w:rsidR="00231005" w:rsidRDefault="00231005" w:rsidP="00DC5286">
      <w:pPr>
        <w:pStyle w:val="ListParagraph"/>
        <w:spacing w:after="0" w:line="240" w:lineRule="auto"/>
        <w:ind w:left="1440"/>
        <w:jc w:val="both"/>
        <w:rPr>
          <w:rFonts w:ascii="Arial" w:hAnsi="Arial" w:cs="Arial"/>
        </w:rPr>
      </w:pPr>
    </w:p>
    <w:p w14:paraId="543C8FAF" w14:textId="77777777" w:rsidR="00231005" w:rsidRDefault="00231005" w:rsidP="00DC5286">
      <w:pPr>
        <w:pStyle w:val="ListParagraph"/>
        <w:spacing w:after="0" w:line="240" w:lineRule="auto"/>
        <w:ind w:left="1440"/>
        <w:jc w:val="both"/>
        <w:rPr>
          <w:rFonts w:ascii="Arial" w:hAnsi="Arial" w:cs="Arial"/>
        </w:rPr>
      </w:pPr>
    </w:p>
    <w:p w14:paraId="4F767FB9" w14:textId="77777777" w:rsidR="00231005" w:rsidRDefault="00231005" w:rsidP="00DC5286">
      <w:pPr>
        <w:pStyle w:val="ListParagraph"/>
        <w:spacing w:after="0" w:line="240" w:lineRule="auto"/>
        <w:ind w:left="1440"/>
        <w:jc w:val="both"/>
        <w:rPr>
          <w:rFonts w:ascii="Arial" w:hAnsi="Arial" w:cs="Arial"/>
        </w:rPr>
      </w:pPr>
    </w:p>
    <w:p w14:paraId="1F1D1F86" w14:textId="77777777" w:rsidR="00231005" w:rsidRDefault="00231005" w:rsidP="00DC5286">
      <w:pPr>
        <w:pStyle w:val="ListParagraph"/>
        <w:spacing w:after="0" w:line="240" w:lineRule="auto"/>
        <w:ind w:left="1440"/>
        <w:jc w:val="both"/>
        <w:rPr>
          <w:rFonts w:ascii="Arial" w:hAnsi="Arial" w:cs="Arial"/>
        </w:rPr>
      </w:pPr>
    </w:p>
    <w:p w14:paraId="6787B45C" w14:textId="77777777" w:rsidR="00231005" w:rsidRDefault="00231005" w:rsidP="00DC5286">
      <w:pPr>
        <w:pStyle w:val="ListParagraph"/>
        <w:spacing w:after="0" w:line="240" w:lineRule="auto"/>
        <w:ind w:left="1440"/>
        <w:jc w:val="both"/>
        <w:rPr>
          <w:rFonts w:ascii="Arial" w:hAnsi="Arial" w:cs="Arial"/>
        </w:rPr>
      </w:pPr>
    </w:p>
    <w:p w14:paraId="2E0A3FA4" w14:textId="77777777" w:rsidR="00231005" w:rsidRDefault="00231005" w:rsidP="00DC5286">
      <w:pPr>
        <w:pStyle w:val="ListParagraph"/>
        <w:spacing w:after="0" w:line="240" w:lineRule="auto"/>
        <w:ind w:left="1440"/>
        <w:jc w:val="both"/>
        <w:rPr>
          <w:rFonts w:ascii="Arial" w:hAnsi="Arial" w:cs="Arial"/>
        </w:rPr>
      </w:pPr>
    </w:p>
    <w:p w14:paraId="3CAB9378" w14:textId="77777777" w:rsidR="00231005" w:rsidRDefault="00231005" w:rsidP="00DC5286">
      <w:pPr>
        <w:pStyle w:val="ListParagraph"/>
        <w:spacing w:after="0" w:line="240" w:lineRule="auto"/>
        <w:ind w:left="1440"/>
        <w:jc w:val="both"/>
        <w:rPr>
          <w:rFonts w:ascii="Arial" w:hAnsi="Arial" w:cs="Arial"/>
        </w:rPr>
      </w:pPr>
    </w:p>
    <w:p w14:paraId="00B9C7B4" w14:textId="77777777" w:rsidR="00231005" w:rsidRDefault="00231005" w:rsidP="00DC5286">
      <w:pPr>
        <w:pStyle w:val="ListParagraph"/>
        <w:spacing w:after="0" w:line="240" w:lineRule="auto"/>
        <w:ind w:left="1440"/>
        <w:jc w:val="both"/>
        <w:rPr>
          <w:rFonts w:ascii="Arial" w:hAnsi="Arial" w:cs="Arial"/>
        </w:rPr>
      </w:pPr>
    </w:p>
    <w:p w14:paraId="0EB6F386" w14:textId="77777777" w:rsidR="00231005" w:rsidRDefault="00231005" w:rsidP="00DC5286">
      <w:pPr>
        <w:pStyle w:val="ListParagraph"/>
        <w:spacing w:after="0" w:line="240" w:lineRule="auto"/>
        <w:ind w:left="1440"/>
        <w:jc w:val="both"/>
        <w:rPr>
          <w:rFonts w:ascii="Arial" w:hAnsi="Arial" w:cs="Arial"/>
        </w:rPr>
      </w:pPr>
    </w:p>
    <w:p w14:paraId="405DFBB4" w14:textId="77777777" w:rsidR="00231005" w:rsidRDefault="00231005" w:rsidP="00DC5286">
      <w:pPr>
        <w:pStyle w:val="ListParagraph"/>
        <w:spacing w:after="0" w:line="240" w:lineRule="auto"/>
        <w:ind w:left="1440"/>
        <w:jc w:val="both"/>
        <w:rPr>
          <w:rFonts w:ascii="Arial" w:hAnsi="Arial" w:cs="Arial"/>
        </w:rPr>
      </w:pPr>
    </w:p>
    <w:p w14:paraId="1193F325" w14:textId="77777777" w:rsidR="00231005" w:rsidRDefault="00231005" w:rsidP="00DC5286">
      <w:pPr>
        <w:pStyle w:val="ListParagraph"/>
        <w:spacing w:after="0" w:line="240" w:lineRule="auto"/>
        <w:ind w:left="1440"/>
        <w:jc w:val="both"/>
        <w:rPr>
          <w:rFonts w:ascii="Arial" w:hAnsi="Arial" w:cs="Arial"/>
        </w:rPr>
      </w:pPr>
    </w:p>
    <w:p w14:paraId="7C5B859B" w14:textId="77777777" w:rsidR="00231005" w:rsidRDefault="00231005" w:rsidP="00DC5286">
      <w:pPr>
        <w:pStyle w:val="ListParagraph"/>
        <w:spacing w:after="0" w:line="240" w:lineRule="auto"/>
        <w:ind w:left="1440"/>
        <w:jc w:val="both"/>
        <w:rPr>
          <w:rFonts w:ascii="Arial" w:hAnsi="Arial" w:cs="Arial"/>
        </w:rPr>
      </w:pPr>
    </w:p>
    <w:p w14:paraId="4808F14D" w14:textId="77777777" w:rsidR="00231005" w:rsidRDefault="00231005" w:rsidP="00DC5286">
      <w:pPr>
        <w:pStyle w:val="ListParagraph"/>
        <w:spacing w:after="0" w:line="240" w:lineRule="auto"/>
        <w:ind w:left="1440"/>
        <w:jc w:val="both"/>
        <w:rPr>
          <w:rFonts w:ascii="Arial" w:hAnsi="Arial" w:cs="Arial"/>
        </w:rPr>
      </w:pPr>
    </w:p>
    <w:p w14:paraId="0B7538AD" w14:textId="77777777" w:rsidR="00231005" w:rsidRDefault="00231005" w:rsidP="00DC5286">
      <w:pPr>
        <w:pStyle w:val="ListParagraph"/>
        <w:spacing w:after="0" w:line="240" w:lineRule="auto"/>
        <w:ind w:left="1440"/>
        <w:jc w:val="both"/>
        <w:rPr>
          <w:rFonts w:ascii="Arial" w:hAnsi="Arial" w:cs="Arial"/>
        </w:rPr>
      </w:pPr>
    </w:p>
    <w:p w14:paraId="04BB3FE8" w14:textId="77777777" w:rsidR="00231005" w:rsidRDefault="00231005" w:rsidP="00DC5286">
      <w:pPr>
        <w:pStyle w:val="ListParagraph"/>
        <w:spacing w:after="0" w:line="240" w:lineRule="auto"/>
        <w:ind w:left="1440"/>
        <w:jc w:val="both"/>
        <w:rPr>
          <w:rFonts w:ascii="Arial" w:hAnsi="Arial" w:cs="Arial"/>
        </w:rPr>
      </w:pPr>
    </w:p>
    <w:p w14:paraId="7CD033B0" w14:textId="77777777" w:rsidR="00231005" w:rsidRDefault="00231005" w:rsidP="00DC5286">
      <w:pPr>
        <w:pStyle w:val="ListParagraph"/>
        <w:spacing w:after="0" w:line="240" w:lineRule="auto"/>
        <w:ind w:left="1440"/>
        <w:jc w:val="both"/>
        <w:rPr>
          <w:rFonts w:ascii="Arial" w:hAnsi="Arial" w:cs="Arial"/>
        </w:rPr>
      </w:pPr>
    </w:p>
    <w:p w14:paraId="1271853F" w14:textId="77777777" w:rsidR="00231005" w:rsidRPr="00007771" w:rsidRDefault="00231005" w:rsidP="00DC5286">
      <w:pPr>
        <w:pStyle w:val="ListParagraph"/>
        <w:spacing w:after="0" w:line="240" w:lineRule="auto"/>
        <w:ind w:left="1440"/>
        <w:jc w:val="both"/>
        <w:rPr>
          <w:rFonts w:ascii="Arial" w:hAnsi="Arial" w:cs="Arial"/>
        </w:rPr>
      </w:pPr>
    </w:p>
    <w:p w14:paraId="0D4800D6" w14:textId="77777777" w:rsidR="00DC5286" w:rsidRPr="00BE4325" w:rsidRDefault="00DC5286" w:rsidP="00DC5286">
      <w:pPr>
        <w:spacing w:after="0" w:line="240" w:lineRule="auto"/>
        <w:jc w:val="center"/>
        <w:rPr>
          <w:rFonts w:ascii="Arial" w:hAnsi="Arial" w:cs="Arial"/>
        </w:rPr>
      </w:pPr>
      <w:r w:rsidRPr="00BD0396">
        <w:rPr>
          <w:rFonts w:ascii="Arial" w:hAnsi="Arial" w:cs="Arial"/>
          <w:sz w:val="18"/>
          <w:szCs w:val="18"/>
        </w:rPr>
        <w:t>© 202</w:t>
      </w:r>
      <w:r>
        <w:rPr>
          <w:rFonts w:ascii="Arial" w:hAnsi="Arial" w:cs="Arial"/>
          <w:sz w:val="18"/>
          <w:szCs w:val="18"/>
        </w:rPr>
        <w:t>5</w:t>
      </w:r>
      <w:r w:rsidRPr="00BD0396">
        <w:rPr>
          <w:rFonts w:ascii="Arial" w:hAnsi="Arial" w:cs="Arial"/>
          <w:sz w:val="18"/>
          <w:szCs w:val="18"/>
        </w:rPr>
        <w:t xml:space="preserve"> School of Government. The University of North Carolina at Chapel Hill Use of this publication for commercial purposes or without acknowledgment of its source is prohibited. Reproducing, distributing, or otherwise making available to a </w:t>
      </w:r>
      <w:proofErr w:type="spellStart"/>
      <w:r w:rsidRPr="00BD0396">
        <w:rPr>
          <w:rFonts w:ascii="Arial" w:hAnsi="Arial" w:cs="Arial"/>
          <w:sz w:val="18"/>
          <w:szCs w:val="18"/>
        </w:rPr>
        <w:t>nonpurchaser</w:t>
      </w:r>
      <w:proofErr w:type="spellEnd"/>
      <w:r w:rsidRPr="00BD0396">
        <w:rPr>
          <w:rFonts w:ascii="Arial" w:hAnsi="Arial" w:cs="Arial"/>
          <w:sz w:val="18"/>
          <w:szCs w:val="18"/>
        </w:rPr>
        <w:t xml:space="preserve"> the entire publication, or a substantial portion of it, without express permission, is prohibited. For permissions questions or requests, email the School of Government at copyright_permissions@sog.unc.</w:t>
      </w:r>
      <w:r>
        <w:rPr>
          <w:rFonts w:ascii="Arial" w:hAnsi="Arial" w:cs="Arial"/>
          <w:sz w:val="18"/>
          <w:szCs w:val="18"/>
        </w:rPr>
        <w:t>edu.</w:t>
      </w:r>
    </w:p>
    <w:sectPr w:rsidR="00DC5286" w:rsidRPr="00BE4325" w:rsidSect="00213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5B70" w14:textId="77777777" w:rsidR="005B225B" w:rsidRDefault="005B225B" w:rsidP="007175DB">
      <w:pPr>
        <w:spacing w:after="0" w:line="240" w:lineRule="auto"/>
      </w:pPr>
      <w:r>
        <w:separator/>
      </w:r>
    </w:p>
  </w:endnote>
  <w:endnote w:type="continuationSeparator" w:id="0">
    <w:p w14:paraId="64C10E04" w14:textId="77777777" w:rsidR="005B225B" w:rsidRDefault="005B225B" w:rsidP="0071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3FA8" w14:textId="77777777" w:rsidR="00755F56" w:rsidRPr="000B1542" w:rsidRDefault="00755F56">
    <w:pPr>
      <w:pStyle w:val="Footer"/>
      <w:jc w:val="center"/>
      <w:rPr>
        <w:rFonts w:ascii="Arial" w:hAnsi="Arial" w:cs="Arial"/>
        <w:sz w:val="20"/>
        <w:szCs w:val="20"/>
      </w:rPr>
    </w:pPr>
    <w:r w:rsidRPr="000B1542">
      <w:rPr>
        <w:rFonts w:ascii="Arial" w:hAnsi="Arial" w:cs="Arial"/>
        <w:sz w:val="20"/>
        <w:szCs w:val="20"/>
      </w:rPr>
      <w:t xml:space="preserve">Absolute Impasse - </w:t>
    </w:r>
    <w:r w:rsidR="005F6BE9" w:rsidRPr="000B1542">
      <w:rPr>
        <w:rFonts w:ascii="Arial" w:hAnsi="Arial" w:cs="Arial"/>
        <w:sz w:val="20"/>
        <w:szCs w:val="20"/>
      </w:rPr>
      <w:fldChar w:fldCharType="begin"/>
    </w:r>
    <w:r w:rsidRPr="000B1542">
      <w:rPr>
        <w:rFonts w:ascii="Arial" w:hAnsi="Arial" w:cs="Arial"/>
        <w:sz w:val="20"/>
        <w:szCs w:val="20"/>
      </w:rPr>
      <w:instrText xml:space="preserve"> PAGE   \* MERGEFORMAT </w:instrText>
    </w:r>
    <w:r w:rsidR="005F6BE9" w:rsidRPr="000B1542">
      <w:rPr>
        <w:rFonts w:ascii="Arial" w:hAnsi="Arial" w:cs="Arial"/>
        <w:sz w:val="20"/>
        <w:szCs w:val="20"/>
      </w:rPr>
      <w:fldChar w:fldCharType="separate"/>
    </w:r>
    <w:r w:rsidR="003E1124">
      <w:rPr>
        <w:rFonts w:ascii="Arial" w:hAnsi="Arial" w:cs="Arial"/>
        <w:noProof/>
        <w:sz w:val="20"/>
        <w:szCs w:val="20"/>
      </w:rPr>
      <w:t>3</w:t>
    </w:r>
    <w:r w:rsidR="005F6BE9" w:rsidRPr="000B154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6B9E" w14:textId="77777777" w:rsidR="005B225B" w:rsidRDefault="005B225B" w:rsidP="007175DB">
      <w:pPr>
        <w:spacing w:after="0" w:line="240" w:lineRule="auto"/>
      </w:pPr>
      <w:r>
        <w:separator/>
      </w:r>
    </w:p>
  </w:footnote>
  <w:footnote w:type="continuationSeparator" w:id="0">
    <w:p w14:paraId="30874724" w14:textId="77777777" w:rsidR="005B225B" w:rsidRDefault="005B225B" w:rsidP="00717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DAB1" w14:textId="77777777" w:rsidR="00BE7D9D" w:rsidRDefault="00BE7D9D">
    <w:pPr>
      <w:pStyle w:val="Header"/>
    </w:pPr>
    <w:r w:rsidRPr="00BE7D9D">
      <w:rPr>
        <w:noProof/>
      </w:rPr>
      <w:drawing>
        <wp:anchor distT="0" distB="0" distL="114300" distR="114300" simplePos="0" relativeHeight="251659264" behindDoc="0" locked="0" layoutInCell="1" allowOverlap="0" wp14:anchorId="16B308E7" wp14:editId="6D6939B1">
          <wp:simplePos x="0" y="0"/>
          <wp:positionH relativeFrom="page">
            <wp:posOffset>0</wp:posOffset>
          </wp:positionH>
          <wp:positionV relativeFrom="page">
            <wp:posOffset>0</wp:posOffset>
          </wp:positionV>
          <wp:extent cx="7772400" cy="342900"/>
          <wp:effectExtent l="0" t="0" r="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D06"/>
    <w:multiLevelType w:val="multilevel"/>
    <w:tmpl w:val="536608B6"/>
    <w:styleLink w:val="CurrentList1"/>
    <w:lvl w:ilvl="0">
      <w:start w:val="1"/>
      <w:numFmt w:val="upperLetter"/>
      <w:lvlText w:val="%1."/>
      <w:lvlJc w:val="left"/>
      <w:pPr>
        <w:ind w:left="1080" w:hanging="360"/>
      </w:pPr>
      <w:rPr>
        <w:rFonts w:eastAsiaTheme="majorEastAsia" w:hint="default"/>
        <w:b/>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A362AF"/>
    <w:multiLevelType w:val="hybridMultilevel"/>
    <w:tmpl w:val="FFA89EDC"/>
    <w:lvl w:ilvl="0" w:tplc="004253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443BD"/>
    <w:multiLevelType w:val="hybridMultilevel"/>
    <w:tmpl w:val="02D88BEE"/>
    <w:lvl w:ilvl="0" w:tplc="9B989C80">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E95759C"/>
    <w:multiLevelType w:val="hybridMultilevel"/>
    <w:tmpl w:val="4F328B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77368A"/>
    <w:multiLevelType w:val="hybridMultilevel"/>
    <w:tmpl w:val="A4E43C6C"/>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078F8"/>
    <w:multiLevelType w:val="hybridMultilevel"/>
    <w:tmpl w:val="3EC0DFE2"/>
    <w:lvl w:ilvl="0" w:tplc="853E38A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F295D"/>
    <w:multiLevelType w:val="hybridMultilevel"/>
    <w:tmpl w:val="536608B6"/>
    <w:lvl w:ilvl="0" w:tplc="236E796A">
      <w:start w:val="1"/>
      <w:numFmt w:val="upperLetter"/>
      <w:lvlText w:val="%1."/>
      <w:lvlJc w:val="left"/>
      <w:pPr>
        <w:ind w:left="1080" w:hanging="360"/>
      </w:pPr>
      <w:rPr>
        <w:rFonts w:eastAsiaTheme="majorEastAsia"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E82C53"/>
    <w:multiLevelType w:val="hybridMultilevel"/>
    <w:tmpl w:val="5F583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5A0B10"/>
    <w:multiLevelType w:val="hybridMultilevel"/>
    <w:tmpl w:val="8332B43E"/>
    <w:lvl w:ilvl="0" w:tplc="428C49E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A7A3C2E"/>
    <w:multiLevelType w:val="hybridMultilevel"/>
    <w:tmpl w:val="8E04C7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9A00AD"/>
    <w:multiLevelType w:val="multilevel"/>
    <w:tmpl w:val="D0AE4AA6"/>
    <w:styleLink w:val="CurrentList2"/>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4B591F"/>
    <w:multiLevelType w:val="hybridMultilevel"/>
    <w:tmpl w:val="AC06D216"/>
    <w:lvl w:ilvl="0" w:tplc="31F8617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583144992">
    <w:abstractNumId w:val="2"/>
  </w:num>
  <w:num w:numId="2" w16cid:durableId="1864129235">
    <w:abstractNumId w:val="8"/>
  </w:num>
  <w:num w:numId="3" w16cid:durableId="1469737931">
    <w:abstractNumId w:val="11"/>
  </w:num>
  <w:num w:numId="4" w16cid:durableId="636762206">
    <w:abstractNumId w:val="7"/>
  </w:num>
  <w:num w:numId="5" w16cid:durableId="2070759358">
    <w:abstractNumId w:val="9"/>
  </w:num>
  <w:num w:numId="6" w16cid:durableId="255752485">
    <w:abstractNumId w:val="3"/>
  </w:num>
  <w:num w:numId="7" w16cid:durableId="2013952746">
    <w:abstractNumId w:val="1"/>
  </w:num>
  <w:num w:numId="8" w16cid:durableId="1758400690">
    <w:abstractNumId w:val="5"/>
  </w:num>
  <w:num w:numId="9" w16cid:durableId="1012416049">
    <w:abstractNumId w:val="6"/>
  </w:num>
  <w:num w:numId="10" w16cid:durableId="2063018371">
    <w:abstractNumId w:val="0"/>
  </w:num>
  <w:num w:numId="11" w16cid:durableId="205340532">
    <w:abstractNumId w:val="4"/>
  </w:num>
  <w:num w:numId="12" w16cid:durableId="207181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BF273D60-42C4-4261-B4BD-C989051BDD50}"/>
    <w:docVar w:name="dgnword-eventsink" w:val="616338904"/>
  </w:docVars>
  <w:rsids>
    <w:rsidRoot w:val="0074156E"/>
    <w:rsid w:val="00000E62"/>
    <w:rsid w:val="00003A0F"/>
    <w:rsid w:val="00007771"/>
    <w:rsid w:val="0001571E"/>
    <w:rsid w:val="00023768"/>
    <w:rsid w:val="00027CE3"/>
    <w:rsid w:val="00032988"/>
    <w:rsid w:val="00055878"/>
    <w:rsid w:val="00080E53"/>
    <w:rsid w:val="00082532"/>
    <w:rsid w:val="00093303"/>
    <w:rsid w:val="00095727"/>
    <w:rsid w:val="000B1542"/>
    <w:rsid w:val="000B74D2"/>
    <w:rsid w:val="000B7B95"/>
    <w:rsid w:val="000C068C"/>
    <w:rsid w:val="000C15CD"/>
    <w:rsid w:val="000E0073"/>
    <w:rsid w:val="00100456"/>
    <w:rsid w:val="001014FE"/>
    <w:rsid w:val="00116EA1"/>
    <w:rsid w:val="001506D0"/>
    <w:rsid w:val="00153C7E"/>
    <w:rsid w:val="00165735"/>
    <w:rsid w:val="00190552"/>
    <w:rsid w:val="0019352A"/>
    <w:rsid w:val="00196B63"/>
    <w:rsid w:val="001F34FA"/>
    <w:rsid w:val="001F38CF"/>
    <w:rsid w:val="001F5781"/>
    <w:rsid w:val="001F5F9B"/>
    <w:rsid w:val="002070A5"/>
    <w:rsid w:val="002138D0"/>
    <w:rsid w:val="00231005"/>
    <w:rsid w:val="00246C83"/>
    <w:rsid w:val="0024737E"/>
    <w:rsid w:val="00247887"/>
    <w:rsid w:val="0025551F"/>
    <w:rsid w:val="0027045B"/>
    <w:rsid w:val="00272913"/>
    <w:rsid w:val="0028552A"/>
    <w:rsid w:val="0029489B"/>
    <w:rsid w:val="002A39BA"/>
    <w:rsid w:val="002B0F6C"/>
    <w:rsid w:val="002B391B"/>
    <w:rsid w:val="002C0929"/>
    <w:rsid w:val="002C127C"/>
    <w:rsid w:val="002C6232"/>
    <w:rsid w:val="002D11BC"/>
    <w:rsid w:val="002D3F2A"/>
    <w:rsid w:val="002F7656"/>
    <w:rsid w:val="00307254"/>
    <w:rsid w:val="0031473D"/>
    <w:rsid w:val="00343677"/>
    <w:rsid w:val="00345908"/>
    <w:rsid w:val="0035619C"/>
    <w:rsid w:val="00360309"/>
    <w:rsid w:val="003629CD"/>
    <w:rsid w:val="00364461"/>
    <w:rsid w:val="003A257B"/>
    <w:rsid w:val="003A66A9"/>
    <w:rsid w:val="003E1124"/>
    <w:rsid w:val="003E4E7A"/>
    <w:rsid w:val="00404E11"/>
    <w:rsid w:val="00410D65"/>
    <w:rsid w:val="00422793"/>
    <w:rsid w:val="00426561"/>
    <w:rsid w:val="00436E2B"/>
    <w:rsid w:val="0044023A"/>
    <w:rsid w:val="00443D3A"/>
    <w:rsid w:val="004534EE"/>
    <w:rsid w:val="00465905"/>
    <w:rsid w:val="00466B6B"/>
    <w:rsid w:val="00476CBA"/>
    <w:rsid w:val="00477D6F"/>
    <w:rsid w:val="00482847"/>
    <w:rsid w:val="00490A10"/>
    <w:rsid w:val="004A499B"/>
    <w:rsid w:val="004D5392"/>
    <w:rsid w:val="004D6661"/>
    <w:rsid w:val="004E1204"/>
    <w:rsid w:val="004F08F1"/>
    <w:rsid w:val="004F5254"/>
    <w:rsid w:val="00500B1A"/>
    <w:rsid w:val="00507081"/>
    <w:rsid w:val="00543572"/>
    <w:rsid w:val="00544254"/>
    <w:rsid w:val="00553250"/>
    <w:rsid w:val="005551E6"/>
    <w:rsid w:val="005602ED"/>
    <w:rsid w:val="005605AD"/>
    <w:rsid w:val="00575DEE"/>
    <w:rsid w:val="005773AC"/>
    <w:rsid w:val="005825DB"/>
    <w:rsid w:val="00585CD2"/>
    <w:rsid w:val="0059099D"/>
    <w:rsid w:val="005A33BD"/>
    <w:rsid w:val="005A3D33"/>
    <w:rsid w:val="005B225B"/>
    <w:rsid w:val="005C3CF8"/>
    <w:rsid w:val="005D1700"/>
    <w:rsid w:val="005D53EE"/>
    <w:rsid w:val="005E0F38"/>
    <w:rsid w:val="005F4B26"/>
    <w:rsid w:val="005F6BE9"/>
    <w:rsid w:val="00612994"/>
    <w:rsid w:val="0064208B"/>
    <w:rsid w:val="00653546"/>
    <w:rsid w:val="00665C43"/>
    <w:rsid w:val="00671EB0"/>
    <w:rsid w:val="006731CE"/>
    <w:rsid w:val="0067323A"/>
    <w:rsid w:val="006A603F"/>
    <w:rsid w:val="006B7E94"/>
    <w:rsid w:val="006F1724"/>
    <w:rsid w:val="00714F34"/>
    <w:rsid w:val="007175DB"/>
    <w:rsid w:val="007264AB"/>
    <w:rsid w:val="007362E9"/>
    <w:rsid w:val="0074156E"/>
    <w:rsid w:val="0075475B"/>
    <w:rsid w:val="00755F56"/>
    <w:rsid w:val="00756817"/>
    <w:rsid w:val="0075736A"/>
    <w:rsid w:val="0075758B"/>
    <w:rsid w:val="00761592"/>
    <w:rsid w:val="007817C9"/>
    <w:rsid w:val="007827A7"/>
    <w:rsid w:val="0078356F"/>
    <w:rsid w:val="00791BFA"/>
    <w:rsid w:val="00793950"/>
    <w:rsid w:val="007B4E75"/>
    <w:rsid w:val="007D20E4"/>
    <w:rsid w:val="0080584B"/>
    <w:rsid w:val="00805CA4"/>
    <w:rsid w:val="0080707E"/>
    <w:rsid w:val="00816A40"/>
    <w:rsid w:val="00820D96"/>
    <w:rsid w:val="0083322E"/>
    <w:rsid w:val="00834517"/>
    <w:rsid w:val="00835F74"/>
    <w:rsid w:val="00864A43"/>
    <w:rsid w:val="00876122"/>
    <w:rsid w:val="008A459B"/>
    <w:rsid w:val="008E70E7"/>
    <w:rsid w:val="008F27C6"/>
    <w:rsid w:val="008F676D"/>
    <w:rsid w:val="008F77DA"/>
    <w:rsid w:val="00903D41"/>
    <w:rsid w:val="00903E49"/>
    <w:rsid w:val="00905254"/>
    <w:rsid w:val="00906F0F"/>
    <w:rsid w:val="009137D7"/>
    <w:rsid w:val="009302DD"/>
    <w:rsid w:val="009342DB"/>
    <w:rsid w:val="0095328E"/>
    <w:rsid w:val="00954D91"/>
    <w:rsid w:val="00960F4D"/>
    <w:rsid w:val="009806E8"/>
    <w:rsid w:val="00992590"/>
    <w:rsid w:val="009A434B"/>
    <w:rsid w:val="009B1C43"/>
    <w:rsid w:val="009E45F7"/>
    <w:rsid w:val="009E72B1"/>
    <w:rsid w:val="009F2BE4"/>
    <w:rsid w:val="009F3E4A"/>
    <w:rsid w:val="00A035A2"/>
    <w:rsid w:val="00A16104"/>
    <w:rsid w:val="00A371EE"/>
    <w:rsid w:val="00A450AF"/>
    <w:rsid w:val="00A46162"/>
    <w:rsid w:val="00A52789"/>
    <w:rsid w:val="00A55A92"/>
    <w:rsid w:val="00A60101"/>
    <w:rsid w:val="00A651C3"/>
    <w:rsid w:val="00A72587"/>
    <w:rsid w:val="00A97353"/>
    <w:rsid w:val="00A97A8B"/>
    <w:rsid w:val="00AA0AF5"/>
    <w:rsid w:val="00AB5F8D"/>
    <w:rsid w:val="00AC32C9"/>
    <w:rsid w:val="00AD70DC"/>
    <w:rsid w:val="00AD75D3"/>
    <w:rsid w:val="00AE02BB"/>
    <w:rsid w:val="00AE0C0A"/>
    <w:rsid w:val="00AF0251"/>
    <w:rsid w:val="00B0385C"/>
    <w:rsid w:val="00B0633E"/>
    <w:rsid w:val="00B124B3"/>
    <w:rsid w:val="00B16828"/>
    <w:rsid w:val="00B17722"/>
    <w:rsid w:val="00B34990"/>
    <w:rsid w:val="00B62D9E"/>
    <w:rsid w:val="00B7676C"/>
    <w:rsid w:val="00B85F0A"/>
    <w:rsid w:val="00B870C9"/>
    <w:rsid w:val="00B918EA"/>
    <w:rsid w:val="00B946F7"/>
    <w:rsid w:val="00BB44C4"/>
    <w:rsid w:val="00BB7AFA"/>
    <w:rsid w:val="00BC49D7"/>
    <w:rsid w:val="00BD0B85"/>
    <w:rsid w:val="00BD3068"/>
    <w:rsid w:val="00BE32DC"/>
    <w:rsid w:val="00BE5138"/>
    <w:rsid w:val="00BE7D9D"/>
    <w:rsid w:val="00BF07B7"/>
    <w:rsid w:val="00C01722"/>
    <w:rsid w:val="00C140C0"/>
    <w:rsid w:val="00C2216F"/>
    <w:rsid w:val="00C26F3E"/>
    <w:rsid w:val="00C50089"/>
    <w:rsid w:val="00C86C9F"/>
    <w:rsid w:val="00CB52BA"/>
    <w:rsid w:val="00CC2225"/>
    <w:rsid w:val="00CC261E"/>
    <w:rsid w:val="00CD3C9F"/>
    <w:rsid w:val="00CE315A"/>
    <w:rsid w:val="00CF2F60"/>
    <w:rsid w:val="00D04D48"/>
    <w:rsid w:val="00D31742"/>
    <w:rsid w:val="00D348E0"/>
    <w:rsid w:val="00D412B6"/>
    <w:rsid w:val="00D47844"/>
    <w:rsid w:val="00D5175E"/>
    <w:rsid w:val="00D6681E"/>
    <w:rsid w:val="00D772AC"/>
    <w:rsid w:val="00D90601"/>
    <w:rsid w:val="00D9519F"/>
    <w:rsid w:val="00DA6BC7"/>
    <w:rsid w:val="00DC5286"/>
    <w:rsid w:val="00DC6A5E"/>
    <w:rsid w:val="00DD5DE3"/>
    <w:rsid w:val="00DD6369"/>
    <w:rsid w:val="00DE7749"/>
    <w:rsid w:val="00E10517"/>
    <w:rsid w:val="00E11CFA"/>
    <w:rsid w:val="00E175B6"/>
    <w:rsid w:val="00E30554"/>
    <w:rsid w:val="00E32BA7"/>
    <w:rsid w:val="00E36972"/>
    <w:rsid w:val="00E56A8E"/>
    <w:rsid w:val="00E604D1"/>
    <w:rsid w:val="00E604FB"/>
    <w:rsid w:val="00E733DB"/>
    <w:rsid w:val="00E748CA"/>
    <w:rsid w:val="00E85EC9"/>
    <w:rsid w:val="00EA086B"/>
    <w:rsid w:val="00EA1F5F"/>
    <w:rsid w:val="00EC49F7"/>
    <w:rsid w:val="00EC4A23"/>
    <w:rsid w:val="00EC50B4"/>
    <w:rsid w:val="00ED36D3"/>
    <w:rsid w:val="00F32E6C"/>
    <w:rsid w:val="00F337CE"/>
    <w:rsid w:val="00F36FDD"/>
    <w:rsid w:val="00F37EF0"/>
    <w:rsid w:val="00F450C7"/>
    <w:rsid w:val="00F45B94"/>
    <w:rsid w:val="00F83531"/>
    <w:rsid w:val="00F865C6"/>
    <w:rsid w:val="00FB26F0"/>
    <w:rsid w:val="00FB2B04"/>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6D5BC"/>
  <w15:docId w15:val="{490CEC2A-BB13-8040-AFEF-BC5D4D77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8D0"/>
    <w:pPr>
      <w:spacing w:after="200" w:line="276" w:lineRule="auto"/>
    </w:pPr>
  </w:style>
  <w:style w:type="paragraph" w:styleId="Heading1">
    <w:name w:val="heading 1"/>
    <w:basedOn w:val="Normal"/>
    <w:next w:val="Normal"/>
    <w:link w:val="Heading1Char"/>
    <w:qFormat/>
    <w:locked/>
    <w:rsid w:val="000E0073"/>
    <w:pPr>
      <w:keepNext/>
      <w:keepLines/>
      <w:spacing w:before="240" w:after="0"/>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unhideWhenUsed/>
    <w:qFormat/>
    <w:locked/>
    <w:rsid w:val="000E0073"/>
    <w:pPr>
      <w:keepNext/>
      <w:keepLines/>
      <w:spacing w:before="40" w:after="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0F4D"/>
    <w:pPr>
      <w:ind w:left="720"/>
      <w:contextualSpacing/>
    </w:pPr>
  </w:style>
  <w:style w:type="paragraph" w:styleId="BalloonText">
    <w:name w:val="Balloon Text"/>
    <w:basedOn w:val="Normal"/>
    <w:link w:val="BalloonTextChar"/>
    <w:uiPriority w:val="99"/>
    <w:semiHidden/>
    <w:rsid w:val="00436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6E2B"/>
    <w:rPr>
      <w:rFonts w:ascii="Tahoma" w:hAnsi="Tahoma" w:cs="Tahoma"/>
      <w:sz w:val="16"/>
      <w:szCs w:val="16"/>
    </w:rPr>
  </w:style>
  <w:style w:type="paragraph" w:styleId="Header">
    <w:name w:val="header"/>
    <w:basedOn w:val="Normal"/>
    <w:link w:val="HeaderChar"/>
    <w:uiPriority w:val="99"/>
    <w:rsid w:val="007175D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175DB"/>
    <w:rPr>
      <w:rFonts w:cs="Times New Roman"/>
    </w:rPr>
  </w:style>
  <w:style w:type="paragraph" w:styleId="Footer">
    <w:name w:val="footer"/>
    <w:basedOn w:val="Normal"/>
    <w:link w:val="FooterChar"/>
    <w:uiPriority w:val="99"/>
    <w:rsid w:val="007175D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175DB"/>
    <w:rPr>
      <w:rFonts w:cs="Times New Roman"/>
    </w:rPr>
  </w:style>
  <w:style w:type="character" w:customStyle="1" w:styleId="Heading1Char">
    <w:name w:val="Heading 1 Char"/>
    <w:basedOn w:val="DefaultParagraphFont"/>
    <w:link w:val="Heading1"/>
    <w:rsid w:val="000E0073"/>
    <w:rPr>
      <w:rFonts w:ascii="Arial" w:eastAsiaTheme="majorEastAsia" w:hAnsi="Arial" w:cstheme="majorBidi"/>
      <w:b/>
      <w:color w:val="000000" w:themeColor="text1"/>
      <w:szCs w:val="32"/>
    </w:rPr>
  </w:style>
  <w:style w:type="character" w:customStyle="1" w:styleId="Heading2Char">
    <w:name w:val="Heading 2 Char"/>
    <w:basedOn w:val="DefaultParagraphFont"/>
    <w:link w:val="Heading2"/>
    <w:rsid w:val="000E0073"/>
    <w:rPr>
      <w:rFonts w:ascii="Arial" w:eastAsiaTheme="majorEastAsia" w:hAnsi="Arial" w:cstheme="majorBidi"/>
      <w:b/>
      <w:color w:val="000000" w:themeColor="text1"/>
      <w:szCs w:val="26"/>
    </w:rPr>
  </w:style>
  <w:style w:type="paragraph" w:styleId="TOCHeading">
    <w:name w:val="TOC Heading"/>
    <w:basedOn w:val="Heading1"/>
    <w:next w:val="Normal"/>
    <w:uiPriority w:val="39"/>
    <w:unhideWhenUsed/>
    <w:qFormat/>
    <w:rsid w:val="009B1C43"/>
    <w:pPr>
      <w:spacing w:line="259" w:lineRule="auto"/>
      <w:outlineLvl w:val="9"/>
    </w:pPr>
  </w:style>
  <w:style w:type="paragraph" w:styleId="TOC1">
    <w:name w:val="toc 1"/>
    <w:basedOn w:val="Normal"/>
    <w:next w:val="Normal"/>
    <w:autoRedefine/>
    <w:uiPriority w:val="39"/>
    <w:locked/>
    <w:rsid w:val="009B1C43"/>
    <w:pPr>
      <w:tabs>
        <w:tab w:val="left" w:pos="660"/>
        <w:tab w:val="right" w:leader="dot" w:pos="9350"/>
      </w:tabs>
      <w:spacing w:after="0" w:line="240" w:lineRule="auto"/>
    </w:pPr>
  </w:style>
  <w:style w:type="paragraph" w:styleId="TOC2">
    <w:name w:val="toc 2"/>
    <w:basedOn w:val="Normal"/>
    <w:next w:val="Normal"/>
    <w:autoRedefine/>
    <w:uiPriority w:val="39"/>
    <w:locked/>
    <w:rsid w:val="009302DD"/>
    <w:pPr>
      <w:tabs>
        <w:tab w:val="left" w:pos="1080"/>
        <w:tab w:val="right" w:leader="dot" w:pos="9350"/>
      </w:tabs>
      <w:spacing w:after="0" w:line="240" w:lineRule="auto"/>
      <w:ind w:left="720"/>
    </w:pPr>
  </w:style>
  <w:style w:type="character" w:styleId="Hyperlink">
    <w:name w:val="Hyperlink"/>
    <w:basedOn w:val="DefaultParagraphFont"/>
    <w:uiPriority w:val="99"/>
    <w:unhideWhenUsed/>
    <w:rsid w:val="009B1C43"/>
    <w:rPr>
      <w:color w:val="0000FF" w:themeColor="hyperlink"/>
      <w:u w:val="single"/>
    </w:rPr>
  </w:style>
  <w:style w:type="character" w:styleId="CommentReference">
    <w:name w:val="annotation reference"/>
    <w:basedOn w:val="DefaultParagraphFont"/>
    <w:uiPriority w:val="99"/>
    <w:semiHidden/>
    <w:unhideWhenUsed/>
    <w:rsid w:val="00027CE3"/>
    <w:rPr>
      <w:sz w:val="16"/>
      <w:szCs w:val="16"/>
    </w:rPr>
  </w:style>
  <w:style w:type="paragraph" w:styleId="CommentText">
    <w:name w:val="annotation text"/>
    <w:basedOn w:val="Normal"/>
    <w:link w:val="CommentTextChar"/>
    <w:uiPriority w:val="99"/>
    <w:unhideWhenUsed/>
    <w:rsid w:val="00027CE3"/>
    <w:pPr>
      <w:spacing w:line="240" w:lineRule="auto"/>
    </w:pPr>
    <w:rPr>
      <w:sz w:val="20"/>
      <w:szCs w:val="20"/>
    </w:rPr>
  </w:style>
  <w:style w:type="character" w:customStyle="1" w:styleId="CommentTextChar">
    <w:name w:val="Comment Text Char"/>
    <w:basedOn w:val="DefaultParagraphFont"/>
    <w:link w:val="CommentText"/>
    <w:uiPriority w:val="99"/>
    <w:rsid w:val="00027CE3"/>
    <w:rPr>
      <w:sz w:val="20"/>
      <w:szCs w:val="20"/>
    </w:rPr>
  </w:style>
  <w:style w:type="paragraph" w:styleId="CommentSubject">
    <w:name w:val="annotation subject"/>
    <w:basedOn w:val="CommentText"/>
    <w:next w:val="CommentText"/>
    <w:link w:val="CommentSubjectChar"/>
    <w:uiPriority w:val="99"/>
    <w:semiHidden/>
    <w:unhideWhenUsed/>
    <w:rsid w:val="00027CE3"/>
    <w:rPr>
      <w:b/>
      <w:bCs/>
    </w:rPr>
  </w:style>
  <w:style w:type="character" w:customStyle="1" w:styleId="CommentSubjectChar">
    <w:name w:val="Comment Subject Char"/>
    <w:basedOn w:val="CommentTextChar"/>
    <w:link w:val="CommentSubject"/>
    <w:uiPriority w:val="99"/>
    <w:semiHidden/>
    <w:rsid w:val="00027CE3"/>
    <w:rPr>
      <w:b/>
      <w:bCs/>
      <w:sz w:val="20"/>
      <w:szCs w:val="20"/>
    </w:rPr>
  </w:style>
  <w:style w:type="paragraph" w:styleId="Revision">
    <w:name w:val="Revision"/>
    <w:hidden/>
    <w:uiPriority w:val="99"/>
    <w:semiHidden/>
    <w:rsid w:val="00027CE3"/>
  </w:style>
  <w:style w:type="character" w:styleId="UnresolvedMention">
    <w:name w:val="Unresolved Mention"/>
    <w:basedOn w:val="DefaultParagraphFont"/>
    <w:uiPriority w:val="99"/>
    <w:semiHidden/>
    <w:unhideWhenUsed/>
    <w:rsid w:val="005C3CF8"/>
    <w:rPr>
      <w:color w:val="605E5C"/>
      <w:shd w:val="clear" w:color="auto" w:fill="E1DFDD"/>
    </w:rPr>
  </w:style>
  <w:style w:type="numbering" w:customStyle="1" w:styleId="CurrentList1">
    <w:name w:val="Current List1"/>
    <w:uiPriority w:val="99"/>
    <w:rsid w:val="00C01722"/>
    <w:pPr>
      <w:numPr>
        <w:numId w:val="10"/>
      </w:numPr>
    </w:pPr>
  </w:style>
  <w:style w:type="character" w:styleId="FollowedHyperlink">
    <w:name w:val="FollowedHyperlink"/>
    <w:basedOn w:val="DefaultParagraphFont"/>
    <w:uiPriority w:val="99"/>
    <w:semiHidden/>
    <w:unhideWhenUsed/>
    <w:rsid w:val="00D6681E"/>
    <w:rPr>
      <w:color w:val="800080" w:themeColor="followedHyperlink"/>
      <w:u w:val="single"/>
    </w:rPr>
  </w:style>
  <w:style w:type="numbering" w:customStyle="1" w:styleId="CurrentList2">
    <w:name w:val="Current List2"/>
    <w:uiPriority w:val="99"/>
    <w:rsid w:val="00A7258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49680">
      <w:marLeft w:val="0"/>
      <w:marRight w:val="0"/>
      <w:marTop w:val="0"/>
      <w:marBottom w:val="0"/>
      <w:divBdr>
        <w:top w:val="none" w:sz="0" w:space="0" w:color="auto"/>
        <w:left w:val="none" w:sz="0" w:space="0" w:color="auto"/>
        <w:bottom w:val="none" w:sz="0" w:space="0" w:color="auto"/>
        <w:right w:val="none" w:sz="0" w:space="0" w:color="auto"/>
      </w:divBdr>
      <w:divsChild>
        <w:div w:id="479149682">
          <w:marLeft w:val="0"/>
          <w:marRight w:val="0"/>
          <w:marTop w:val="0"/>
          <w:marBottom w:val="0"/>
          <w:divBdr>
            <w:top w:val="none" w:sz="0" w:space="0" w:color="auto"/>
            <w:left w:val="none" w:sz="0" w:space="0" w:color="auto"/>
            <w:bottom w:val="none" w:sz="0" w:space="0" w:color="auto"/>
            <w:right w:val="none" w:sz="0" w:space="0" w:color="auto"/>
          </w:divBdr>
          <w:divsChild>
            <w:div w:id="4791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nchbook.sog.unc.edu/criminal/right-counsel-during-criminal-prosec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7C03C8-8A4C-4694-AF42-A802DE4C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Jessica</dc:creator>
  <cp:lastModifiedBy>Christopher Tyner</cp:lastModifiedBy>
  <cp:revision>2</cp:revision>
  <cp:lastPrinted>2017-08-17T20:34:00Z</cp:lastPrinted>
  <dcterms:created xsi:type="dcterms:W3CDTF">2025-08-28T17:25:00Z</dcterms:created>
  <dcterms:modified xsi:type="dcterms:W3CDTF">2025-08-28T17:25:00Z</dcterms:modified>
</cp:coreProperties>
</file>