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A559" w14:textId="450C3ED1" w:rsidR="007B6333" w:rsidRDefault="00B25504" w:rsidP="00CF4FBE">
      <w:pPr>
        <w:spacing w:after="0"/>
        <w:jc w:val="center"/>
        <w:rPr>
          <w:rFonts w:ascii="Arial" w:hAnsi="Arial" w:cs="Arial"/>
          <w:b/>
          <w:bCs/>
          <w:sz w:val="24"/>
          <w:szCs w:val="24"/>
        </w:rPr>
      </w:pPr>
      <w:r>
        <w:rPr>
          <w:rFonts w:ascii="Arial" w:hAnsi="Arial" w:cs="Arial"/>
          <w:b/>
          <w:bCs/>
          <w:sz w:val="24"/>
          <w:szCs w:val="24"/>
        </w:rPr>
        <w:t xml:space="preserve">CONTENT OF </w:t>
      </w:r>
      <w:r w:rsidR="00A646BE">
        <w:rPr>
          <w:rFonts w:ascii="Arial" w:hAnsi="Arial" w:cs="Arial"/>
          <w:b/>
          <w:bCs/>
          <w:sz w:val="24"/>
          <w:szCs w:val="24"/>
        </w:rPr>
        <w:t xml:space="preserve">OPENING </w:t>
      </w:r>
      <w:r w:rsidR="00F66677">
        <w:rPr>
          <w:rFonts w:ascii="Arial" w:hAnsi="Arial" w:cs="Arial"/>
          <w:b/>
          <w:bCs/>
          <w:sz w:val="24"/>
          <w:szCs w:val="24"/>
        </w:rPr>
        <w:t xml:space="preserve">STATEMENTS </w:t>
      </w:r>
      <w:r w:rsidR="00A646BE">
        <w:rPr>
          <w:rFonts w:ascii="Arial" w:hAnsi="Arial" w:cs="Arial"/>
          <w:b/>
          <w:bCs/>
          <w:sz w:val="24"/>
          <w:szCs w:val="24"/>
        </w:rPr>
        <w:t xml:space="preserve">AND CLOSING </w:t>
      </w:r>
      <w:r w:rsidR="00F66677">
        <w:rPr>
          <w:rFonts w:ascii="Arial" w:hAnsi="Arial" w:cs="Arial"/>
          <w:b/>
          <w:bCs/>
          <w:sz w:val="24"/>
          <w:szCs w:val="24"/>
        </w:rPr>
        <w:t>ARGUMENTS</w:t>
      </w:r>
    </w:p>
    <w:p w14:paraId="4FCF3C38" w14:textId="77777777" w:rsidR="00CF4FBE" w:rsidRPr="00F40662" w:rsidRDefault="00CF4FBE" w:rsidP="00CF4FBE">
      <w:pPr>
        <w:spacing w:after="0"/>
        <w:jc w:val="center"/>
        <w:rPr>
          <w:rFonts w:ascii="Arial" w:hAnsi="Arial" w:cs="Arial"/>
          <w:b/>
          <w:bCs/>
          <w:sz w:val="24"/>
          <w:szCs w:val="24"/>
        </w:rPr>
      </w:pPr>
    </w:p>
    <w:p w14:paraId="5C4617F8" w14:textId="77777777" w:rsidR="007B6333" w:rsidRDefault="007B6333" w:rsidP="00CF4FBE">
      <w:pPr>
        <w:spacing w:after="0"/>
        <w:rPr>
          <w:rFonts w:ascii="Arial" w:hAnsi="Arial" w:cs="Arial"/>
        </w:rPr>
      </w:pPr>
      <w:r w:rsidRPr="00641284">
        <w:rPr>
          <w:rFonts w:ascii="Arial" w:hAnsi="Arial" w:cs="Arial"/>
        </w:rPr>
        <w:t>Jessica Smith, UNC School of Government (April 2012)</w:t>
      </w:r>
    </w:p>
    <w:p w14:paraId="081266F4" w14:textId="13A847F2" w:rsidR="00CF4FBE" w:rsidRDefault="001F59F7" w:rsidP="00CF4FBE">
      <w:pPr>
        <w:spacing w:after="0"/>
        <w:rPr>
          <w:rFonts w:ascii="Arial" w:hAnsi="Arial" w:cs="Arial"/>
        </w:rPr>
      </w:pPr>
      <w:r>
        <w:rPr>
          <w:rFonts w:ascii="Arial" w:hAnsi="Arial" w:cs="Arial"/>
        </w:rPr>
        <w:t>Updated by Christopher Tyner (</w:t>
      </w:r>
      <w:r w:rsidR="00F66677">
        <w:rPr>
          <w:rFonts w:ascii="Arial" w:hAnsi="Arial" w:cs="Arial"/>
        </w:rPr>
        <w:t>August</w:t>
      </w:r>
      <w:r>
        <w:rPr>
          <w:rFonts w:ascii="Arial" w:hAnsi="Arial" w:cs="Arial"/>
        </w:rPr>
        <w:t xml:space="preserve"> 202</w:t>
      </w:r>
      <w:r w:rsidR="00F66677">
        <w:rPr>
          <w:rFonts w:ascii="Arial" w:hAnsi="Arial" w:cs="Arial"/>
        </w:rPr>
        <w:t>5</w:t>
      </w:r>
      <w:r>
        <w:rPr>
          <w:rFonts w:ascii="Arial" w:hAnsi="Arial" w:cs="Arial"/>
        </w:rPr>
        <w:t>)</w:t>
      </w:r>
    </w:p>
    <w:p w14:paraId="4E8C1BAB" w14:textId="77777777" w:rsidR="001F59F7" w:rsidRDefault="001F59F7" w:rsidP="00CF4FBE">
      <w:pPr>
        <w:spacing w:after="0"/>
        <w:rPr>
          <w:rFonts w:ascii="Arial" w:hAnsi="Arial" w:cs="Arial"/>
        </w:rPr>
      </w:pPr>
    </w:p>
    <w:p w14:paraId="45045AA9" w14:textId="77777777" w:rsidR="001F3316" w:rsidRDefault="001F3316" w:rsidP="00CF4FBE">
      <w:pPr>
        <w:spacing w:after="0"/>
        <w:rPr>
          <w:rFonts w:ascii="Arial" w:hAnsi="Arial" w:cs="Arial"/>
        </w:rPr>
      </w:pPr>
      <w:r w:rsidRPr="001F3316">
        <w:rPr>
          <w:rFonts w:ascii="Arial" w:hAnsi="Arial" w:cs="Arial"/>
          <w:b/>
        </w:rPr>
        <w:t>Contents</w:t>
      </w:r>
    </w:p>
    <w:p w14:paraId="4C846D8D" w14:textId="739A7341" w:rsidR="00A63790" w:rsidRDefault="00A63790">
      <w:pPr>
        <w:pStyle w:val="TOC1"/>
        <w:rPr>
          <w:rFonts w:asciiTheme="minorHAnsi" w:eastAsiaTheme="minorEastAsia" w:hAnsiTheme="minorHAnsi" w:cstheme="minorBidi"/>
          <w:noProof/>
          <w:kern w:val="2"/>
          <w:sz w:val="24"/>
          <w:szCs w:val="24"/>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09539181" w:history="1">
        <w:r w:rsidRPr="00EB5581">
          <w:rPr>
            <w:rStyle w:val="Hyperlink"/>
            <w:noProof/>
          </w:rPr>
          <w:t>I.</w:t>
        </w:r>
        <w:r>
          <w:rPr>
            <w:rFonts w:asciiTheme="minorHAnsi" w:eastAsiaTheme="minorEastAsia" w:hAnsiTheme="minorHAnsi" w:cstheme="minorBidi"/>
            <w:noProof/>
            <w:kern w:val="2"/>
            <w:sz w:val="24"/>
            <w:szCs w:val="24"/>
            <w14:ligatures w14:val="standardContextual"/>
          </w:rPr>
          <w:tab/>
        </w:r>
        <w:r w:rsidRPr="00EB5581">
          <w:rPr>
            <w:rStyle w:val="Hyperlink"/>
            <w:noProof/>
          </w:rPr>
          <w:t>Introduction</w:t>
        </w:r>
        <w:r>
          <w:rPr>
            <w:noProof/>
            <w:webHidden/>
          </w:rPr>
          <w:tab/>
        </w:r>
        <w:r>
          <w:rPr>
            <w:noProof/>
            <w:webHidden/>
          </w:rPr>
          <w:fldChar w:fldCharType="begin"/>
        </w:r>
        <w:r>
          <w:rPr>
            <w:noProof/>
            <w:webHidden/>
          </w:rPr>
          <w:instrText xml:space="preserve"> PAGEREF _Toc209539181 \h </w:instrText>
        </w:r>
        <w:r>
          <w:rPr>
            <w:noProof/>
            <w:webHidden/>
          </w:rPr>
        </w:r>
        <w:r>
          <w:rPr>
            <w:noProof/>
            <w:webHidden/>
          </w:rPr>
          <w:fldChar w:fldCharType="separate"/>
        </w:r>
        <w:r>
          <w:rPr>
            <w:noProof/>
            <w:webHidden/>
          </w:rPr>
          <w:t>2</w:t>
        </w:r>
        <w:r>
          <w:rPr>
            <w:noProof/>
            <w:webHidden/>
          </w:rPr>
          <w:fldChar w:fldCharType="end"/>
        </w:r>
      </w:hyperlink>
    </w:p>
    <w:p w14:paraId="0F6B8EF8" w14:textId="6B4BF039" w:rsidR="00A63790" w:rsidRDefault="00A63790">
      <w:pPr>
        <w:pStyle w:val="TOC1"/>
        <w:rPr>
          <w:rFonts w:asciiTheme="minorHAnsi" w:eastAsiaTheme="minorEastAsia" w:hAnsiTheme="minorHAnsi" w:cstheme="minorBidi"/>
          <w:noProof/>
          <w:kern w:val="2"/>
          <w:sz w:val="24"/>
          <w:szCs w:val="24"/>
          <w14:ligatures w14:val="standardContextual"/>
        </w:rPr>
      </w:pPr>
      <w:hyperlink w:anchor="_Toc209539182" w:history="1">
        <w:r w:rsidRPr="00EB5581">
          <w:rPr>
            <w:rStyle w:val="Hyperlink"/>
            <w:noProof/>
          </w:rPr>
          <w:t>II.</w:t>
        </w:r>
        <w:r>
          <w:rPr>
            <w:rFonts w:asciiTheme="minorHAnsi" w:eastAsiaTheme="minorEastAsia" w:hAnsiTheme="minorHAnsi" w:cstheme="minorBidi"/>
            <w:noProof/>
            <w:kern w:val="2"/>
            <w:sz w:val="24"/>
            <w:szCs w:val="24"/>
            <w14:ligatures w14:val="standardContextual"/>
          </w:rPr>
          <w:tab/>
        </w:r>
        <w:r w:rsidRPr="00EB5581">
          <w:rPr>
            <w:rStyle w:val="Hyperlink"/>
            <w:noProof/>
          </w:rPr>
          <w:t>Timing, Number, Duration, and Order of Statements and Arguments</w:t>
        </w:r>
        <w:r>
          <w:rPr>
            <w:noProof/>
            <w:webHidden/>
          </w:rPr>
          <w:tab/>
        </w:r>
        <w:r>
          <w:rPr>
            <w:noProof/>
            <w:webHidden/>
          </w:rPr>
          <w:fldChar w:fldCharType="begin"/>
        </w:r>
        <w:r>
          <w:rPr>
            <w:noProof/>
            <w:webHidden/>
          </w:rPr>
          <w:instrText xml:space="preserve"> PAGEREF _Toc209539182 \h </w:instrText>
        </w:r>
        <w:r>
          <w:rPr>
            <w:noProof/>
            <w:webHidden/>
          </w:rPr>
        </w:r>
        <w:r>
          <w:rPr>
            <w:noProof/>
            <w:webHidden/>
          </w:rPr>
          <w:fldChar w:fldCharType="separate"/>
        </w:r>
        <w:r>
          <w:rPr>
            <w:noProof/>
            <w:webHidden/>
          </w:rPr>
          <w:t>2</w:t>
        </w:r>
        <w:r>
          <w:rPr>
            <w:noProof/>
            <w:webHidden/>
          </w:rPr>
          <w:fldChar w:fldCharType="end"/>
        </w:r>
      </w:hyperlink>
    </w:p>
    <w:p w14:paraId="2C588448" w14:textId="0287F73E"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83" w:history="1">
        <w:r w:rsidRPr="00EB5581">
          <w:rPr>
            <w:rStyle w:val="Hyperlink"/>
            <w:noProof/>
          </w:rPr>
          <w:t>A.</w:t>
        </w:r>
        <w:r>
          <w:rPr>
            <w:rFonts w:asciiTheme="minorHAnsi" w:eastAsiaTheme="minorEastAsia" w:hAnsiTheme="minorHAnsi" w:cstheme="minorBidi"/>
            <w:noProof/>
            <w:kern w:val="2"/>
            <w:sz w:val="24"/>
            <w:szCs w:val="24"/>
            <w14:ligatures w14:val="standardContextual"/>
          </w:rPr>
          <w:tab/>
        </w:r>
        <w:r w:rsidRPr="00EB5581">
          <w:rPr>
            <w:rStyle w:val="Hyperlink"/>
            <w:noProof/>
          </w:rPr>
          <w:t>Opening Statements</w:t>
        </w:r>
        <w:r>
          <w:rPr>
            <w:noProof/>
            <w:webHidden/>
          </w:rPr>
          <w:tab/>
        </w:r>
        <w:r>
          <w:rPr>
            <w:noProof/>
            <w:webHidden/>
          </w:rPr>
          <w:fldChar w:fldCharType="begin"/>
        </w:r>
        <w:r>
          <w:rPr>
            <w:noProof/>
            <w:webHidden/>
          </w:rPr>
          <w:instrText xml:space="preserve"> PAGEREF _Toc209539183 \h </w:instrText>
        </w:r>
        <w:r>
          <w:rPr>
            <w:noProof/>
            <w:webHidden/>
          </w:rPr>
        </w:r>
        <w:r>
          <w:rPr>
            <w:noProof/>
            <w:webHidden/>
          </w:rPr>
          <w:fldChar w:fldCharType="separate"/>
        </w:r>
        <w:r>
          <w:rPr>
            <w:noProof/>
            <w:webHidden/>
          </w:rPr>
          <w:t>2</w:t>
        </w:r>
        <w:r>
          <w:rPr>
            <w:noProof/>
            <w:webHidden/>
          </w:rPr>
          <w:fldChar w:fldCharType="end"/>
        </w:r>
      </w:hyperlink>
    </w:p>
    <w:p w14:paraId="5AD77CDF" w14:textId="5F274C29"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84" w:history="1">
        <w:r w:rsidRPr="00EB5581">
          <w:rPr>
            <w:rStyle w:val="Hyperlink"/>
            <w:noProof/>
          </w:rPr>
          <w:t>B.</w:t>
        </w:r>
        <w:r>
          <w:rPr>
            <w:rFonts w:asciiTheme="minorHAnsi" w:eastAsiaTheme="minorEastAsia" w:hAnsiTheme="minorHAnsi" w:cstheme="minorBidi"/>
            <w:noProof/>
            <w:kern w:val="2"/>
            <w:sz w:val="24"/>
            <w:szCs w:val="24"/>
            <w14:ligatures w14:val="standardContextual"/>
          </w:rPr>
          <w:tab/>
        </w:r>
        <w:r w:rsidRPr="00EB5581">
          <w:rPr>
            <w:rStyle w:val="Hyperlink"/>
            <w:noProof/>
          </w:rPr>
          <w:t>Closing Arguments</w:t>
        </w:r>
        <w:r>
          <w:rPr>
            <w:noProof/>
            <w:webHidden/>
          </w:rPr>
          <w:tab/>
        </w:r>
        <w:r>
          <w:rPr>
            <w:noProof/>
            <w:webHidden/>
          </w:rPr>
          <w:fldChar w:fldCharType="begin"/>
        </w:r>
        <w:r>
          <w:rPr>
            <w:noProof/>
            <w:webHidden/>
          </w:rPr>
          <w:instrText xml:space="preserve"> PAGEREF _Toc209539184 \h </w:instrText>
        </w:r>
        <w:r>
          <w:rPr>
            <w:noProof/>
            <w:webHidden/>
          </w:rPr>
        </w:r>
        <w:r>
          <w:rPr>
            <w:noProof/>
            <w:webHidden/>
          </w:rPr>
          <w:fldChar w:fldCharType="separate"/>
        </w:r>
        <w:r>
          <w:rPr>
            <w:noProof/>
            <w:webHidden/>
          </w:rPr>
          <w:t>3</w:t>
        </w:r>
        <w:r>
          <w:rPr>
            <w:noProof/>
            <w:webHidden/>
          </w:rPr>
          <w:fldChar w:fldCharType="end"/>
        </w:r>
      </w:hyperlink>
    </w:p>
    <w:p w14:paraId="17DE5221" w14:textId="32FB8A77"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85" w:history="1">
        <w:r w:rsidRPr="00EB5581">
          <w:rPr>
            <w:rStyle w:val="Hyperlink"/>
            <w:noProof/>
          </w:rPr>
          <w:t>C.</w:t>
        </w:r>
        <w:r>
          <w:rPr>
            <w:rFonts w:asciiTheme="minorHAnsi" w:eastAsiaTheme="minorEastAsia" w:hAnsiTheme="minorHAnsi" w:cstheme="minorBidi"/>
            <w:noProof/>
            <w:kern w:val="2"/>
            <w:sz w:val="24"/>
            <w:szCs w:val="24"/>
            <w14:ligatures w14:val="standardContextual"/>
          </w:rPr>
          <w:tab/>
        </w:r>
        <w:r w:rsidRPr="00EB5581">
          <w:rPr>
            <w:rStyle w:val="Hyperlink"/>
            <w:noProof/>
          </w:rPr>
          <w:t>Habitual Status Proceedings</w:t>
        </w:r>
        <w:r>
          <w:rPr>
            <w:noProof/>
            <w:webHidden/>
          </w:rPr>
          <w:tab/>
        </w:r>
        <w:r>
          <w:rPr>
            <w:noProof/>
            <w:webHidden/>
          </w:rPr>
          <w:fldChar w:fldCharType="begin"/>
        </w:r>
        <w:r>
          <w:rPr>
            <w:noProof/>
            <w:webHidden/>
          </w:rPr>
          <w:instrText xml:space="preserve"> PAGEREF _Toc209539185 \h </w:instrText>
        </w:r>
        <w:r>
          <w:rPr>
            <w:noProof/>
            <w:webHidden/>
          </w:rPr>
        </w:r>
        <w:r>
          <w:rPr>
            <w:noProof/>
            <w:webHidden/>
          </w:rPr>
          <w:fldChar w:fldCharType="separate"/>
        </w:r>
        <w:r>
          <w:rPr>
            <w:noProof/>
            <w:webHidden/>
          </w:rPr>
          <w:t>5</w:t>
        </w:r>
        <w:r>
          <w:rPr>
            <w:noProof/>
            <w:webHidden/>
          </w:rPr>
          <w:fldChar w:fldCharType="end"/>
        </w:r>
      </w:hyperlink>
    </w:p>
    <w:p w14:paraId="47016AAB" w14:textId="349F0794" w:rsidR="00A63790" w:rsidRDefault="00A63790">
      <w:pPr>
        <w:pStyle w:val="TOC1"/>
        <w:rPr>
          <w:rFonts w:asciiTheme="minorHAnsi" w:eastAsiaTheme="minorEastAsia" w:hAnsiTheme="minorHAnsi" w:cstheme="minorBidi"/>
          <w:noProof/>
          <w:kern w:val="2"/>
          <w:sz w:val="24"/>
          <w:szCs w:val="24"/>
          <w14:ligatures w14:val="standardContextual"/>
        </w:rPr>
      </w:pPr>
      <w:hyperlink w:anchor="_Toc209539186" w:history="1">
        <w:r w:rsidRPr="00EB5581">
          <w:rPr>
            <w:rStyle w:val="Hyperlink"/>
            <w:noProof/>
            <w:specVanish/>
          </w:rPr>
          <w:t>III.</w:t>
        </w:r>
        <w:r>
          <w:rPr>
            <w:rFonts w:asciiTheme="minorHAnsi" w:eastAsiaTheme="minorEastAsia" w:hAnsiTheme="minorHAnsi" w:cstheme="minorBidi"/>
            <w:noProof/>
            <w:kern w:val="2"/>
            <w:sz w:val="24"/>
            <w:szCs w:val="24"/>
            <w14:ligatures w14:val="standardContextual"/>
          </w:rPr>
          <w:tab/>
        </w:r>
        <w:r w:rsidRPr="00EB5581">
          <w:rPr>
            <w:rStyle w:val="Hyperlink"/>
            <w:noProof/>
          </w:rPr>
          <w:t>Permissible Opening Statement.</w:t>
        </w:r>
        <w:r>
          <w:rPr>
            <w:noProof/>
            <w:webHidden/>
          </w:rPr>
          <w:tab/>
        </w:r>
        <w:r>
          <w:rPr>
            <w:noProof/>
            <w:webHidden/>
          </w:rPr>
          <w:fldChar w:fldCharType="begin"/>
        </w:r>
        <w:r>
          <w:rPr>
            <w:noProof/>
            <w:webHidden/>
          </w:rPr>
          <w:instrText xml:space="preserve"> PAGEREF _Toc209539186 \h </w:instrText>
        </w:r>
        <w:r>
          <w:rPr>
            <w:noProof/>
            <w:webHidden/>
          </w:rPr>
        </w:r>
        <w:r>
          <w:rPr>
            <w:noProof/>
            <w:webHidden/>
          </w:rPr>
          <w:fldChar w:fldCharType="separate"/>
        </w:r>
        <w:r>
          <w:rPr>
            <w:noProof/>
            <w:webHidden/>
          </w:rPr>
          <w:t>5</w:t>
        </w:r>
        <w:r>
          <w:rPr>
            <w:noProof/>
            <w:webHidden/>
          </w:rPr>
          <w:fldChar w:fldCharType="end"/>
        </w:r>
      </w:hyperlink>
    </w:p>
    <w:p w14:paraId="1C66022F" w14:textId="1873FE13" w:rsidR="00A63790" w:rsidRDefault="00A63790">
      <w:pPr>
        <w:pStyle w:val="TOC1"/>
        <w:rPr>
          <w:rFonts w:asciiTheme="minorHAnsi" w:eastAsiaTheme="minorEastAsia" w:hAnsiTheme="minorHAnsi" w:cstheme="minorBidi"/>
          <w:noProof/>
          <w:kern w:val="2"/>
          <w:sz w:val="24"/>
          <w:szCs w:val="24"/>
          <w14:ligatures w14:val="standardContextual"/>
        </w:rPr>
      </w:pPr>
      <w:hyperlink w:anchor="_Toc209539187" w:history="1">
        <w:r w:rsidRPr="00EB5581">
          <w:rPr>
            <w:rStyle w:val="Hyperlink"/>
            <w:noProof/>
            <w:specVanish/>
          </w:rPr>
          <w:t>IV.</w:t>
        </w:r>
        <w:r>
          <w:rPr>
            <w:rFonts w:asciiTheme="minorHAnsi" w:eastAsiaTheme="minorEastAsia" w:hAnsiTheme="minorHAnsi" w:cstheme="minorBidi"/>
            <w:noProof/>
            <w:kern w:val="2"/>
            <w:sz w:val="24"/>
            <w:szCs w:val="24"/>
            <w14:ligatures w14:val="standardContextual"/>
          </w:rPr>
          <w:tab/>
        </w:r>
        <w:r w:rsidRPr="00EB5581">
          <w:rPr>
            <w:rStyle w:val="Hyperlink"/>
            <w:noProof/>
          </w:rPr>
          <w:t>Permissible Closing Argument.</w:t>
        </w:r>
        <w:r>
          <w:rPr>
            <w:noProof/>
            <w:webHidden/>
          </w:rPr>
          <w:tab/>
        </w:r>
        <w:r>
          <w:rPr>
            <w:noProof/>
            <w:webHidden/>
          </w:rPr>
          <w:fldChar w:fldCharType="begin"/>
        </w:r>
        <w:r>
          <w:rPr>
            <w:noProof/>
            <w:webHidden/>
          </w:rPr>
          <w:instrText xml:space="preserve"> PAGEREF _Toc209539187 \h </w:instrText>
        </w:r>
        <w:r>
          <w:rPr>
            <w:noProof/>
            <w:webHidden/>
          </w:rPr>
        </w:r>
        <w:r>
          <w:rPr>
            <w:noProof/>
            <w:webHidden/>
          </w:rPr>
          <w:fldChar w:fldCharType="separate"/>
        </w:r>
        <w:r>
          <w:rPr>
            <w:noProof/>
            <w:webHidden/>
          </w:rPr>
          <w:t>6</w:t>
        </w:r>
        <w:r>
          <w:rPr>
            <w:noProof/>
            <w:webHidden/>
          </w:rPr>
          <w:fldChar w:fldCharType="end"/>
        </w:r>
      </w:hyperlink>
    </w:p>
    <w:p w14:paraId="106E734F" w14:textId="17CB11C6"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88" w:history="1">
        <w:r w:rsidRPr="00EB5581">
          <w:rPr>
            <w:rStyle w:val="Hyperlink"/>
            <w:noProof/>
          </w:rPr>
          <w:t>A.</w:t>
        </w:r>
        <w:r>
          <w:rPr>
            <w:rFonts w:asciiTheme="minorHAnsi" w:eastAsiaTheme="minorEastAsia" w:hAnsiTheme="minorHAnsi" w:cstheme="minorBidi"/>
            <w:noProof/>
            <w:kern w:val="2"/>
            <w:sz w:val="24"/>
            <w:szCs w:val="24"/>
            <w14:ligatures w14:val="standardContextual"/>
          </w:rPr>
          <w:tab/>
        </w:r>
        <w:r w:rsidRPr="00EB5581">
          <w:rPr>
            <w:rStyle w:val="Hyperlink"/>
            <w:noProof/>
          </w:rPr>
          <w:t>Facts in Evidence and All Reasonable Inferences</w:t>
        </w:r>
        <w:r>
          <w:rPr>
            <w:noProof/>
            <w:webHidden/>
          </w:rPr>
          <w:tab/>
        </w:r>
        <w:r>
          <w:rPr>
            <w:noProof/>
            <w:webHidden/>
          </w:rPr>
          <w:fldChar w:fldCharType="begin"/>
        </w:r>
        <w:r>
          <w:rPr>
            <w:noProof/>
            <w:webHidden/>
          </w:rPr>
          <w:instrText xml:space="preserve"> PAGEREF _Toc209539188 \h </w:instrText>
        </w:r>
        <w:r>
          <w:rPr>
            <w:noProof/>
            <w:webHidden/>
          </w:rPr>
        </w:r>
        <w:r>
          <w:rPr>
            <w:noProof/>
            <w:webHidden/>
          </w:rPr>
          <w:fldChar w:fldCharType="separate"/>
        </w:r>
        <w:r>
          <w:rPr>
            <w:noProof/>
            <w:webHidden/>
          </w:rPr>
          <w:t>7</w:t>
        </w:r>
        <w:r>
          <w:rPr>
            <w:noProof/>
            <w:webHidden/>
          </w:rPr>
          <w:fldChar w:fldCharType="end"/>
        </w:r>
      </w:hyperlink>
    </w:p>
    <w:p w14:paraId="784A53F2" w14:textId="0D1C7D82"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89" w:history="1">
        <w:r w:rsidRPr="00EB5581">
          <w:rPr>
            <w:rStyle w:val="Hyperlink"/>
            <w:noProof/>
          </w:rPr>
          <w:t>B.</w:t>
        </w:r>
        <w:r>
          <w:rPr>
            <w:rFonts w:asciiTheme="minorHAnsi" w:eastAsiaTheme="minorEastAsia" w:hAnsiTheme="minorHAnsi" w:cstheme="minorBidi"/>
            <w:noProof/>
            <w:kern w:val="2"/>
            <w:sz w:val="24"/>
            <w:szCs w:val="24"/>
            <w14:ligatures w14:val="standardContextual"/>
          </w:rPr>
          <w:tab/>
        </w:r>
        <w:r w:rsidRPr="00EB5581">
          <w:rPr>
            <w:rStyle w:val="Hyperlink"/>
            <w:noProof/>
          </w:rPr>
          <w:t>Relevant Law</w:t>
        </w:r>
        <w:r>
          <w:rPr>
            <w:noProof/>
            <w:webHidden/>
          </w:rPr>
          <w:tab/>
        </w:r>
        <w:r>
          <w:rPr>
            <w:noProof/>
            <w:webHidden/>
          </w:rPr>
          <w:fldChar w:fldCharType="begin"/>
        </w:r>
        <w:r>
          <w:rPr>
            <w:noProof/>
            <w:webHidden/>
          </w:rPr>
          <w:instrText xml:space="preserve"> PAGEREF _Toc209539189 \h </w:instrText>
        </w:r>
        <w:r>
          <w:rPr>
            <w:noProof/>
            <w:webHidden/>
          </w:rPr>
        </w:r>
        <w:r>
          <w:rPr>
            <w:noProof/>
            <w:webHidden/>
          </w:rPr>
          <w:fldChar w:fldCharType="separate"/>
        </w:r>
        <w:r>
          <w:rPr>
            <w:noProof/>
            <w:webHidden/>
          </w:rPr>
          <w:t>7</w:t>
        </w:r>
        <w:r>
          <w:rPr>
            <w:noProof/>
            <w:webHidden/>
          </w:rPr>
          <w:fldChar w:fldCharType="end"/>
        </w:r>
      </w:hyperlink>
    </w:p>
    <w:p w14:paraId="5683583C" w14:textId="5398A2F5"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90" w:history="1">
        <w:r w:rsidRPr="00EB5581">
          <w:rPr>
            <w:rStyle w:val="Hyperlink"/>
            <w:noProof/>
          </w:rPr>
          <w:t>C.</w:t>
        </w:r>
        <w:r>
          <w:rPr>
            <w:rFonts w:asciiTheme="minorHAnsi" w:eastAsiaTheme="minorEastAsia" w:hAnsiTheme="minorHAnsi" w:cstheme="minorBidi"/>
            <w:noProof/>
            <w:kern w:val="2"/>
            <w:sz w:val="24"/>
            <w:szCs w:val="24"/>
            <w14:ligatures w14:val="standardContextual"/>
          </w:rPr>
          <w:tab/>
        </w:r>
        <w:r w:rsidRPr="00EB5581">
          <w:rPr>
            <w:rStyle w:val="Hyperlink"/>
            <w:noProof/>
          </w:rPr>
          <w:t>Positions or Conclusions</w:t>
        </w:r>
        <w:r>
          <w:rPr>
            <w:noProof/>
            <w:webHidden/>
          </w:rPr>
          <w:tab/>
        </w:r>
        <w:r>
          <w:rPr>
            <w:noProof/>
            <w:webHidden/>
          </w:rPr>
          <w:fldChar w:fldCharType="begin"/>
        </w:r>
        <w:r>
          <w:rPr>
            <w:noProof/>
            <w:webHidden/>
          </w:rPr>
          <w:instrText xml:space="preserve"> PAGEREF _Toc209539190 \h </w:instrText>
        </w:r>
        <w:r>
          <w:rPr>
            <w:noProof/>
            <w:webHidden/>
          </w:rPr>
        </w:r>
        <w:r>
          <w:rPr>
            <w:noProof/>
            <w:webHidden/>
          </w:rPr>
          <w:fldChar w:fldCharType="separate"/>
        </w:r>
        <w:r>
          <w:rPr>
            <w:noProof/>
            <w:webHidden/>
          </w:rPr>
          <w:t>9</w:t>
        </w:r>
        <w:r>
          <w:rPr>
            <w:noProof/>
            <w:webHidden/>
          </w:rPr>
          <w:fldChar w:fldCharType="end"/>
        </w:r>
      </w:hyperlink>
    </w:p>
    <w:p w14:paraId="07DCD03D" w14:textId="0A5B56FC"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91" w:history="1">
        <w:r w:rsidRPr="00EB5581">
          <w:rPr>
            <w:rStyle w:val="Hyperlink"/>
            <w:noProof/>
          </w:rPr>
          <w:t>D.</w:t>
        </w:r>
        <w:r>
          <w:rPr>
            <w:rFonts w:asciiTheme="minorHAnsi" w:eastAsiaTheme="minorEastAsia" w:hAnsiTheme="minorHAnsi" w:cstheme="minorBidi"/>
            <w:noProof/>
            <w:kern w:val="2"/>
            <w:sz w:val="24"/>
            <w:szCs w:val="24"/>
            <w14:ligatures w14:val="standardContextual"/>
          </w:rPr>
          <w:tab/>
        </w:r>
        <w:r w:rsidRPr="00EB5581">
          <w:rPr>
            <w:rStyle w:val="Hyperlink"/>
            <w:noProof/>
          </w:rPr>
          <w:t>Credibility of Witnesses</w:t>
        </w:r>
        <w:r>
          <w:rPr>
            <w:noProof/>
            <w:webHidden/>
          </w:rPr>
          <w:tab/>
        </w:r>
        <w:r>
          <w:rPr>
            <w:noProof/>
            <w:webHidden/>
          </w:rPr>
          <w:fldChar w:fldCharType="begin"/>
        </w:r>
        <w:r>
          <w:rPr>
            <w:noProof/>
            <w:webHidden/>
          </w:rPr>
          <w:instrText xml:space="preserve"> PAGEREF _Toc209539191 \h </w:instrText>
        </w:r>
        <w:r>
          <w:rPr>
            <w:noProof/>
            <w:webHidden/>
          </w:rPr>
        </w:r>
        <w:r>
          <w:rPr>
            <w:noProof/>
            <w:webHidden/>
          </w:rPr>
          <w:fldChar w:fldCharType="separate"/>
        </w:r>
        <w:r>
          <w:rPr>
            <w:noProof/>
            <w:webHidden/>
          </w:rPr>
          <w:t>9</w:t>
        </w:r>
        <w:r>
          <w:rPr>
            <w:noProof/>
            <w:webHidden/>
          </w:rPr>
          <w:fldChar w:fldCharType="end"/>
        </w:r>
      </w:hyperlink>
    </w:p>
    <w:p w14:paraId="3D2D70DA" w14:textId="36B9DC67"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92" w:history="1">
        <w:r w:rsidRPr="00EB5581">
          <w:rPr>
            <w:rStyle w:val="Hyperlink"/>
            <w:noProof/>
          </w:rPr>
          <w:t>E.</w:t>
        </w:r>
        <w:r>
          <w:rPr>
            <w:rFonts w:asciiTheme="minorHAnsi" w:eastAsiaTheme="minorEastAsia" w:hAnsiTheme="minorHAnsi" w:cstheme="minorBidi"/>
            <w:noProof/>
            <w:kern w:val="2"/>
            <w:sz w:val="24"/>
            <w:szCs w:val="24"/>
            <w14:ligatures w14:val="standardContextual"/>
          </w:rPr>
          <w:tab/>
        </w:r>
        <w:r w:rsidRPr="00EB5581">
          <w:rPr>
            <w:rStyle w:val="Hyperlink"/>
            <w:noProof/>
          </w:rPr>
          <w:t>Pretrial Silence</w:t>
        </w:r>
        <w:r>
          <w:rPr>
            <w:noProof/>
            <w:webHidden/>
          </w:rPr>
          <w:tab/>
        </w:r>
        <w:r>
          <w:rPr>
            <w:noProof/>
            <w:webHidden/>
          </w:rPr>
          <w:fldChar w:fldCharType="begin"/>
        </w:r>
        <w:r>
          <w:rPr>
            <w:noProof/>
            <w:webHidden/>
          </w:rPr>
          <w:instrText xml:space="preserve"> PAGEREF _Toc209539192 \h </w:instrText>
        </w:r>
        <w:r>
          <w:rPr>
            <w:noProof/>
            <w:webHidden/>
          </w:rPr>
        </w:r>
        <w:r>
          <w:rPr>
            <w:noProof/>
            <w:webHidden/>
          </w:rPr>
          <w:fldChar w:fldCharType="separate"/>
        </w:r>
        <w:r>
          <w:rPr>
            <w:noProof/>
            <w:webHidden/>
          </w:rPr>
          <w:t>9</w:t>
        </w:r>
        <w:r>
          <w:rPr>
            <w:noProof/>
            <w:webHidden/>
          </w:rPr>
          <w:fldChar w:fldCharType="end"/>
        </w:r>
      </w:hyperlink>
    </w:p>
    <w:p w14:paraId="134F39FC" w14:textId="76D86153"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93" w:history="1">
        <w:r w:rsidRPr="00EB5581">
          <w:rPr>
            <w:rStyle w:val="Hyperlink"/>
            <w:noProof/>
          </w:rPr>
          <w:t>F.</w:t>
        </w:r>
        <w:r>
          <w:rPr>
            <w:rFonts w:asciiTheme="minorHAnsi" w:eastAsiaTheme="minorEastAsia" w:hAnsiTheme="minorHAnsi" w:cstheme="minorBidi"/>
            <w:noProof/>
            <w:kern w:val="2"/>
            <w:sz w:val="24"/>
            <w:szCs w:val="24"/>
            <w14:ligatures w14:val="standardContextual"/>
          </w:rPr>
          <w:tab/>
        </w:r>
        <w:r w:rsidRPr="00EB5581">
          <w:rPr>
            <w:rStyle w:val="Hyperlink"/>
            <w:noProof/>
          </w:rPr>
          <w:t>Comment on the Defendant’s Failure to Present Evidence</w:t>
        </w:r>
        <w:r>
          <w:rPr>
            <w:noProof/>
            <w:webHidden/>
          </w:rPr>
          <w:tab/>
        </w:r>
        <w:r>
          <w:rPr>
            <w:noProof/>
            <w:webHidden/>
          </w:rPr>
          <w:fldChar w:fldCharType="begin"/>
        </w:r>
        <w:r>
          <w:rPr>
            <w:noProof/>
            <w:webHidden/>
          </w:rPr>
          <w:instrText xml:space="preserve"> PAGEREF _Toc209539193 \h </w:instrText>
        </w:r>
        <w:r>
          <w:rPr>
            <w:noProof/>
            <w:webHidden/>
          </w:rPr>
        </w:r>
        <w:r>
          <w:rPr>
            <w:noProof/>
            <w:webHidden/>
          </w:rPr>
          <w:fldChar w:fldCharType="separate"/>
        </w:r>
        <w:r>
          <w:rPr>
            <w:noProof/>
            <w:webHidden/>
          </w:rPr>
          <w:t>10</w:t>
        </w:r>
        <w:r>
          <w:rPr>
            <w:noProof/>
            <w:webHidden/>
          </w:rPr>
          <w:fldChar w:fldCharType="end"/>
        </w:r>
      </w:hyperlink>
    </w:p>
    <w:p w14:paraId="61702367" w14:textId="253D730E"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94" w:history="1">
        <w:r w:rsidRPr="00EB5581">
          <w:rPr>
            <w:rStyle w:val="Hyperlink"/>
            <w:noProof/>
          </w:rPr>
          <w:t>G.</w:t>
        </w:r>
        <w:r>
          <w:rPr>
            <w:rFonts w:asciiTheme="minorHAnsi" w:eastAsiaTheme="minorEastAsia" w:hAnsiTheme="minorHAnsi" w:cstheme="minorBidi"/>
            <w:noProof/>
            <w:kern w:val="2"/>
            <w:sz w:val="24"/>
            <w:szCs w:val="24"/>
            <w14:ligatures w14:val="standardContextual"/>
          </w:rPr>
          <w:tab/>
        </w:r>
        <w:r w:rsidRPr="00EB5581">
          <w:rPr>
            <w:rStyle w:val="Hyperlink"/>
            <w:noProof/>
          </w:rPr>
          <w:t>Role of Jury</w:t>
        </w:r>
        <w:r>
          <w:rPr>
            <w:noProof/>
            <w:webHidden/>
          </w:rPr>
          <w:tab/>
        </w:r>
        <w:r>
          <w:rPr>
            <w:noProof/>
            <w:webHidden/>
          </w:rPr>
          <w:fldChar w:fldCharType="begin"/>
        </w:r>
        <w:r>
          <w:rPr>
            <w:noProof/>
            <w:webHidden/>
          </w:rPr>
          <w:instrText xml:space="preserve"> PAGEREF _Toc209539194 \h </w:instrText>
        </w:r>
        <w:r>
          <w:rPr>
            <w:noProof/>
            <w:webHidden/>
          </w:rPr>
        </w:r>
        <w:r>
          <w:rPr>
            <w:noProof/>
            <w:webHidden/>
          </w:rPr>
          <w:fldChar w:fldCharType="separate"/>
        </w:r>
        <w:r>
          <w:rPr>
            <w:noProof/>
            <w:webHidden/>
          </w:rPr>
          <w:t>10</w:t>
        </w:r>
        <w:r>
          <w:rPr>
            <w:noProof/>
            <w:webHidden/>
          </w:rPr>
          <w:fldChar w:fldCharType="end"/>
        </w:r>
      </w:hyperlink>
    </w:p>
    <w:p w14:paraId="260B22BA" w14:textId="0A8EE5E0"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95" w:history="1">
        <w:r w:rsidRPr="00EB5581">
          <w:rPr>
            <w:rStyle w:val="Hyperlink"/>
            <w:noProof/>
          </w:rPr>
          <w:t>H.</w:t>
        </w:r>
        <w:r>
          <w:rPr>
            <w:rFonts w:asciiTheme="minorHAnsi" w:eastAsiaTheme="minorEastAsia" w:hAnsiTheme="minorHAnsi" w:cstheme="minorBidi"/>
            <w:noProof/>
            <w:kern w:val="2"/>
            <w:sz w:val="24"/>
            <w:szCs w:val="24"/>
            <w14:ligatures w14:val="standardContextual"/>
          </w:rPr>
          <w:tab/>
        </w:r>
        <w:r w:rsidRPr="00EB5581">
          <w:rPr>
            <w:rStyle w:val="Hyperlink"/>
            <w:noProof/>
          </w:rPr>
          <w:t>Display or Use of Evidence</w:t>
        </w:r>
        <w:r>
          <w:rPr>
            <w:noProof/>
            <w:webHidden/>
          </w:rPr>
          <w:tab/>
        </w:r>
        <w:r>
          <w:rPr>
            <w:noProof/>
            <w:webHidden/>
          </w:rPr>
          <w:fldChar w:fldCharType="begin"/>
        </w:r>
        <w:r>
          <w:rPr>
            <w:noProof/>
            <w:webHidden/>
          </w:rPr>
          <w:instrText xml:space="preserve"> PAGEREF _Toc209539195 \h </w:instrText>
        </w:r>
        <w:r>
          <w:rPr>
            <w:noProof/>
            <w:webHidden/>
          </w:rPr>
        </w:r>
        <w:r>
          <w:rPr>
            <w:noProof/>
            <w:webHidden/>
          </w:rPr>
          <w:fldChar w:fldCharType="separate"/>
        </w:r>
        <w:r>
          <w:rPr>
            <w:noProof/>
            <w:webHidden/>
          </w:rPr>
          <w:t>11</w:t>
        </w:r>
        <w:r>
          <w:rPr>
            <w:noProof/>
            <w:webHidden/>
          </w:rPr>
          <w:fldChar w:fldCharType="end"/>
        </w:r>
      </w:hyperlink>
    </w:p>
    <w:p w14:paraId="143FFA29" w14:textId="7DCCD890"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96" w:history="1">
        <w:r w:rsidRPr="00EB5581">
          <w:rPr>
            <w:rStyle w:val="Hyperlink"/>
            <w:noProof/>
          </w:rPr>
          <w:t>I.</w:t>
        </w:r>
        <w:r>
          <w:rPr>
            <w:rFonts w:asciiTheme="minorHAnsi" w:eastAsiaTheme="minorEastAsia" w:hAnsiTheme="minorHAnsi" w:cstheme="minorBidi"/>
            <w:noProof/>
            <w:kern w:val="2"/>
            <w:sz w:val="24"/>
            <w:szCs w:val="24"/>
            <w14:ligatures w14:val="standardContextual"/>
          </w:rPr>
          <w:tab/>
        </w:r>
        <w:r w:rsidRPr="00EB5581">
          <w:rPr>
            <w:rStyle w:val="Hyperlink"/>
            <w:noProof/>
          </w:rPr>
          <w:t>Specific Deterrence</w:t>
        </w:r>
        <w:r>
          <w:rPr>
            <w:noProof/>
            <w:webHidden/>
          </w:rPr>
          <w:tab/>
        </w:r>
        <w:r>
          <w:rPr>
            <w:noProof/>
            <w:webHidden/>
          </w:rPr>
          <w:fldChar w:fldCharType="begin"/>
        </w:r>
        <w:r>
          <w:rPr>
            <w:noProof/>
            <w:webHidden/>
          </w:rPr>
          <w:instrText xml:space="preserve"> PAGEREF _Toc209539196 \h </w:instrText>
        </w:r>
        <w:r>
          <w:rPr>
            <w:noProof/>
            <w:webHidden/>
          </w:rPr>
        </w:r>
        <w:r>
          <w:rPr>
            <w:noProof/>
            <w:webHidden/>
          </w:rPr>
          <w:fldChar w:fldCharType="separate"/>
        </w:r>
        <w:r>
          <w:rPr>
            <w:noProof/>
            <w:webHidden/>
          </w:rPr>
          <w:t>11</w:t>
        </w:r>
        <w:r>
          <w:rPr>
            <w:noProof/>
            <w:webHidden/>
          </w:rPr>
          <w:fldChar w:fldCharType="end"/>
        </w:r>
      </w:hyperlink>
    </w:p>
    <w:p w14:paraId="756CC065" w14:textId="3F91B12C" w:rsidR="00A63790" w:rsidRDefault="00A63790">
      <w:pPr>
        <w:pStyle w:val="TOC1"/>
        <w:rPr>
          <w:rFonts w:asciiTheme="minorHAnsi" w:eastAsiaTheme="minorEastAsia" w:hAnsiTheme="minorHAnsi" w:cstheme="minorBidi"/>
          <w:noProof/>
          <w:kern w:val="2"/>
          <w:sz w:val="24"/>
          <w:szCs w:val="24"/>
          <w14:ligatures w14:val="standardContextual"/>
        </w:rPr>
      </w:pPr>
      <w:hyperlink w:anchor="_Toc209539197" w:history="1">
        <w:r w:rsidRPr="00EB5581">
          <w:rPr>
            <w:rStyle w:val="Hyperlink"/>
            <w:noProof/>
            <w:specVanish/>
          </w:rPr>
          <w:t>V.</w:t>
        </w:r>
        <w:r>
          <w:rPr>
            <w:rFonts w:asciiTheme="minorHAnsi" w:eastAsiaTheme="minorEastAsia" w:hAnsiTheme="minorHAnsi" w:cstheme="minorBidi"/>
            <w:noProof/>
            <w:kern w:val="2"/>
            <w:sz w:val="24"/>
            <w:szCs w:val="24"/>
            <w14:ligatures w14:val="standardContextual"/>
          </w:rPr>
          <w:tab/>
        </w:r>
        <w:r w:rsidRPr="00EB5581">
          <w:rPr>
            <w:rStyle w:val="Hyperlink"/>
            <w:noProof/>
          </w:rPr>
          <w:t>Impermissible Closing Argument.</w:t>
        </w:r>
        <w:r>
          <w:rPr>
            <w:noProof/>
            <w:webHidden/>
          </w:rPr>
          <w:tab/>
        </w:r>
        <w:r>
          <w:rPr>
            <w:noProof/>
            <w:webHidden/>
          </w:rPr>
          <w:fldChar w:fldCharType="begin"/>
        </w:r>
        <w:r>
          <w:rPr>
            <w:noProof/>
            <w:webHidden/>
          </w:rPr>
          <w:instrText xml:space="preserve"> PAGEREF _Toc209539197 \h </w:instrText>
        </w:r>
        <w:r>
          <w:rPr>
            <w:noProof/>
            <w:webHidden/>
          </w:rPr>
        </w:r>
        <w:r>
          <w:rPr>
            <w:noProof/>
            <w:webHidden/>
          </w:rPr>
          <w:fldChar w:fldCharType="separate"/>
        </w:r>
        <w:r>
          <w:rPr>
            <w:noProof/>
            <w:webHidden/>
          </w:rPr>
          <w:t>12</w:t>
        </w:r>
        <w:r>
          <w:rPr>
            <w:noProof/>
            <w:webHidden/>
          </w:rPr>
          <w:fldChar w:fldCharType="end"/>
        </w:r>
      </w:hyperlink>
    </w:p>
    <w:p w14:paraId="681DEA29" w14:textId="5B52DEFD"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198" w:history="1">
        <w:r w:rsidRPr="00EB5581">
          <w:rPr>
            <w:rStyle w:val="Hyperlink"/>
            <w:noProof/>
          </w:rPr>
          <w:t>A.</w:t>
        </w:r>
        <w:r>
          <w:rPr>
            <w:rFonts w:asciiTheme="minorHAnsi" w:eastAsiaTheme="minorEastAsia" w:hAnsiTheme="minorHAnsi" w:cstheme="minorBidi"/>
            <w:noProof/>
            <w:kern w:val="2"/>
            <w:sz w:val="24"/>
            <w:szCs w:val="24"/>
            <w14:ligatures w14:val="standardContextual"/>
          </w:rPr>
          <w:tab/>
        </w:r>
        <w:r w:rsidRPr="00EB5581">
          <w:rPr>
            <w:rStyle w:val="Hyperlink"/>
            <w:noProof/>
          </w:rPr>
          <w:t>Generally</w:t>
        </w:r>
        <w:r>
          <w:rPr>
            <w:noProof/>
            <w:webHidden/>
          </w:rPr>
          <w:tab/>
        </w:r>
        <w:r>
          <w:rPr>
            <w:noProof/>
            <w:webHidden/>
          </w:rPr>
          <w:fldChar w:fldCharType="begin"/>
        </w:r>
        <w:r>
          <w:rPr>
            <w:noProof/>
            <w:webHidden/>
          </w:rPr>
          <w:instrText xml:space="preserve"> PAGEREF _Toc209539198 \h </w:instrText>
        </w:r>
        <w:r>
          <w:rPr>
            <w:noProof/>
            <w:webHidden/>
          </w:rPr>
        </w:r>
        <w:r>
          <w:rPr>
            <w:noProof/>
            <w:webHidden/>
          </w:rPr>
          <w:fldChar w:fldCharType="separate"/>
        </w:r>
        <w:r>
          <w:rPr>
            <w:noProof/>
            <w:webHidden/>
          </w:rPr>
          <w:t>12</w:t>
        </w:r>
        <w:r>
          <w:rPr>
            <w:noProof/>
            <w:webHidden/>
          </w:rPr>
          <w:fldChar w:fldCharType="end"/>
        </w:r>
      </w:hyperlink>
    </w:p>
    <w:p w14:paraId="5EAD1051" w14:textId="0A93D024"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199" w:history="1">
        <w:r w:rsidRPr="00EB5581">
          <w:rPr>
            <w:rStyle w:val="Hyperlink"/>
            <w:noProof/>
          </w:rPr>
          <w:t>1.</w:t>
        </w:r>
        <w:r>
          <w:rPr>
            <w:rFonts w:asciiTheme="minorHAnsi" w:eastAsiaTheme="minorEastAsia" w:hAnsiTheme="minorHAnsi" w:cstheme="minorBidi"/>
            <w:noProof/>
            <w:kern w:val="2"/>
            <w:sz w:val="24"/>
            <w:szCs w:val="24"/>
            <w14:ligatures w14:val="standardContextual"/>
          </w:rPr>
          <w:tab/>
        </w:r>
        <w:r w:rsidRPr="00EB5581">
          <w:rPr>
            <w:rStyle w:val="Hyperlink"/>
            <w:noProof/>
          </w:rPr>
          <w:t>Abusive Arguments</w:t>
        </w:r>
        <w:r>
          <w:rPr>
            <w:noProof/>
            <w:webHidden/>
          </w:rPr>
          <w:tab/>
        </w:r>
        <w:r>
          <w:rPr>
            <w:noProof/>
            <w:webHidden/>
          </w:rPr>
          <w:fldChar w:fldCharType="begin"/>
        </w:r>
        <w:r>
          <w:rPr>
            <w:noProof/>
            <w:webHidden/>
          </w:rPr>
          <w:instrText xml:space="preserve"> PAGEREF _Toc209539199 \h </w:instrText>
        </w:r>
        <w:r>
          <w:rPr>
            <w:noProof/>
            <w:webHidden/>
          </w:rPr>
        </w:r>
        <w:r>
          <w:rPr>
            <w:noProof/>
            <w:webHidden/>
          </w:rPr>
          <w:fldChar w:fldCharType="separate"/>
        </w:r>
        <w:r>
          <w:rPr>
            <w:noProof/>
            <w:webHidden/>
          </w:rPr>
          <w:t>12</w:t>
        </w:r>
        <w:r>
          <w:rPr>
            <w:noProof/>
            <w:webHidden/>
          </w:rPr>
          <w:fldChar w:fldCharType="end"/>
        </w:r>
      </w:hyperlink>
    </w:p>
    <w:p w14:paraId="3057E312" w14:textId="3DA40F9D"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00" w:history="1">
        <w:r w:rsidRPr="00EB5581">
          <w:rPr>
            <w:rStyle w:val="Hyperlink"/>
            <w:noProof/>
          </w:rPr>
          <w:t>2.</w:t>
        </w:r>
        <w:r>
          <w:rPr>
            <w:rFonts w:asciiTheme="minorHAnsi" w:eastAsiaTheme="minorEastAsia" w:hAnsiTheme="minorHAnsi" w:cstheme="minorBidi"/>
            <w:noProof/>
            <w:kern w:val="2"/>
            <w:sz w:val="24"/>
            <w:szCs w:val="24"/>
            <w14:ligatures w14:val="standardContextual"/>
          </w:rPr>
          <w:tab/>
        </w:r>
        <w:r w:rsidRPr="00EB5581">
          <w:rPr>
            <w:rStyle w:val="Hyperlink"/>
            <w:noProof/>
          </w:rPr>
          <w:t>Lack of Dignity or Propriety</w:t>
        </w:r>
        <w:r>
          <w:rPr>
            <w:noProof/>
            <w:webHidden/>
          </w:rPr>
          <w:tab/>
        </w:r>
        <w:r>
          <w:rPr>
            <w:noProof/>
            <w:webHidden/>
          </w:rPr>
          <w:fldChar w:fldCharType="begin"/>
        </w:r>
        <w:r>
          <w:rPr>
            <w:noProof/>
            <w:webHidden/>
          </w:rPr>
          <w:instrText xml:space="preserve"> PAGEREF _Toc209539200 \h </w:instrText>
        </w:r>
        <w:r>
          <w:rPr>
            <w:noProof/>
            <w:webHidden/>
          </w:rPr>
        </w:r>
        <w:r>
          <w:rPr>
            <w:noProof/>
            <w:webHidden/>
          </w:rPr>
          <w:fldChar w:fldCharType="separate"/>
        </w:r>
        <w:r>
          <w:rPr>
            <w:noProof/>
            <w:webHidden/>
          </w:rPr>
          <w:t>12</w:t>
        </w:r>
        <w:r>
          <w:rPr>
            <w:noProof/>
            <w:webHidden/>
          </w:rPr>
          <w:fldChar w:fldCharType="end"/>
        </w:r>
      </w:hyperlink>
    </w:p>
    <w:p w14:paraId="36AEF5BE" w14:textId="1306AFDF"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01" w:history="1">
        <w:r w:rsidRPr="00EB5581">
          <w:rPr>
            <w:rStyle w:val="Hyperlink"/>
            <w:noProof/>
          </w:rPr>
          <w:t>3.</w:t>
        </w:r>
        <w:r>
          <w:rPr>
            <w:rFonts w:asciiTheme="minorHAnsi" w:eastAsiaTheme="minorEastAsia" w:hAnsiTheme="minorHAnsi" w:cstheme="minorBidi"/>
            <w:noProof/>
            <w:kern w:val="2"/>
            <w:sz w:val="24"/>
            <w:szCs w:val="24"/>
            <w14:ligatures w14:val="standardContextual"/>
          </w:rPr>
          <w:tab/>
        </w:r>
        <w:r w:rsidRPr="00EB5581">
          <w:rPr>
            <w:rStyle w:val="Hyperlink"/>
            <w:noProof/>
          </w:rPr>
          <w:t>Arguments Appealing to Passion or Prejudice</w:t>
        </w:r>
        <w:r>
          <w:rPr>
            <w:noProof/>
            <w:webHidden/>
          </w:rPr>
          <w:tab/>
        </w:r>
        <w:r>
          <w:rPr>
            <w:noProof/>
            <w:webHidden/>
          </w:rPr>
          <w:fldChar w:fldCharType="begin"/>
        </w:r>
        <w:r>
          <w:rPr>
            <w:noProof/>
            <w:webHidden/>
          </w:rPr>
          <w:instrText xml:space="preserve"> PAGEREF _Toc209539201 \h </w:instrText>
        </w:r>
        <w:r>
          <w:rPr>
            <w:noProof/>
            <w:webHidden/>
          </w:rPr>
        </w:r>
        <w:r>
          <w:rPr>
            <w:noProof/>
            <w:webHidden/>
          </w:rPr>
          <w:fldChar w:fldCharType="separate"/>
        </w:r>
        <w:r>
          <w:rPr>
            <w:noProof/>
            <w:webHidden/>
          </w:rPr>
          <w:t>12</w:t>
        </w:r>
        <w:r>
          <w:rPr>
            <w:noProof/>
            <w:webHidden/>
          </w:rPr>
          <w:fldChar w:fldCharType="end"/>
        </w:r>
      </w:hyperlink>
    </w:p>
    <w:p w14:paraId="71164972" w14:textId="42C145DA"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02" w:history="1">
        <w:r w:rsidRPr="00EB5581">
          <w:rPr>
            <w:rStyle w:val="Hyperlink"/>
            <w:noProof/>
          </w:rPr>
          <w:t>4.</w:t>
        </w:r>
        <w:r>
          <w:rPr>
            <w:rFonts w:asciiTheme="minorHAnsi" w:eastAsiaTheme="minorEastAsia" w:hAnsiTheme="minorHAnsi" w:cstheme="minorBidi"/>
            <w:noProof/>
            <w:kern w:val="2"/>
            <w:sz w:val="24"/>
            <w:szCs w:val="24"/>
            <w14:ligatures w14:val="standardContextual"/>
          </w:rPr>
          <w:tab/>
        </w:r>
        <w:r w:rsidRPr="00EB5581">
          <w:rPr>
            <w:rStyle w:val="Hyperlink"/>
            <w:noProof/>
          </w:rPr>
          <w:t>Lack of Candor and Unfairness</w:t>
        </w:r>
        <w:r>
          <w:rPr>
            <w:noProof/>
            <w:webHidden/>
          </w:rPr>
          <w:tab/>
        </w:r>
        <w:r>
          <w:rPr>
            <w:noProof/>
            <w:webHidden/>
          </w:rPr>
          <w:fldChar w:fldCharType="begin"/>
        </w:r>
        <w:r>
          <w:rPr>
            <w:noProof/>
            <w:webHidden/>
          </w:rPr>
          <w:instrText xml:space="preserve"> PAGEREF _Toc209539202 \h </w:instrText>
        </w:r>
        <w:r>
          <w:rPr>
            <w:noProof/>
            <w:webHidden/>
          </w:rPr>
        </w:r>
        <w:r>
          <w:rPr>
            <w:noProof/>
            <w:webHidden/>
          </w:rPr>
          <w:fldChar w:fldCharType="separate"/>
        </w:r>
        <w:r>
          <w:rPr>
            <w:noProof/>
            <w:webHidden/>
          </w:rPr>
          <w:t>13</w:t>
        </w:r>
        <w:r>
          <w:rPr>
            <w:noProof/>
            <w:webHidden/>
          </w:rPr>
          <w:fldChar w:fldCharType="end"/>
        </w:r>
      </w:hyperlink>
    </w:p>
    <w:p w14:paraId="7F0C88EE" w14:textId="4FA9EF98"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203" w:history="1">
        <w:r w:rsidRPr="00EB5581">
          <w:rPr>
            <w:rStyle w:val="Hyperlink"/>
            <w:noProof/>
          </w:rPr>
          <w:t>B.</w:t>
        </w:r>
        <w:r>
          <w:rPr>
            <w:rFonts w:asciiTheme="minorHAnsi" w:eastAsiaTheme="minorEastAsia" w:hAnsiTheme="minorHAnsi" w:cstheme="minorBidi"/>
            <w:noProof/>
            <w:kern w:val="2"/>
            <w:sz w:val="24"/>
            <w:szCs w:val="24"/>
            <w14:ligatures w14:val="standardContextual"/>
          </w:rPr>
          <w:tab/>
        </w:r>
        <w:r w:rsidRPr="00EB5581">
          <w:rPr>
            <w:rStyle w:val="Hyperlink"/>
            <w:noProof/>
          </w:rPr>
          <w:t>Specific Types of Impermissible Arguments</w:t>
        </w:r>
        <w:r>
          <w:rPr>
            <w:noProof/>
            <w:webHidden/>
          </w:rPr>
          <w:tab/>
        </w:r>
        <w:r>
          <w:rPr>
            <w:noProof/>
            <w:webHidden/>
          </w:rPr>
          <w:fldChar w:fldCharType="begin"/>
        </w:r>
        <w:r>
          <w:rPr>
            <w:noProof/>
            <w:webHidden/>
          </w:rPr>
          <w:instrText xml:space="preserve"> PAGEREF _Toc209539203 \h </w:instrText>
        </w:r>
        <w:r>
          <w:rPr>
            <w:noProof/>
            <w:webHidden/>
          </w:rPr>
        </w:r>
        <w:r>
          <w:rPr>
            <w:noProof/>
            <w:webHidden/>
          </w:rPr>
          <w:fldChar w:fldCharType="separate"/>
        </w:r>
        <w:r>
          <w:rPr>
            <w:noProof/>
            <w:webHidden/>
          </w:rPr>
          <w:t>13</w:t>
        </w:r>
        <w:r>
          <w:rPr>
            <w:noProof/>
            <w:webHidden/>
          </w:rPr>
          <w:fldChar w:fldCharType="end"/>
        </w:r>
      </w:hyperlink>
    </w:p>
    <w:p w14:paraId="1EEE0FAB" w14:textId="125645AE"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04" w:history="1">
        <w:r w:rsidRPr="00EB5581">
          <w:rPr>
            <w:rStyle w:val="Hyperlink"/>
            <w:noProof/>
          </w:rPr>
          <w:t>1.</w:t>
        </w:r>
        <w:r>
          <w:rPr>
            <w:rFonts w:asciiTheme="minorHAnsi" w:eastAsiaTheme="minorEastAsia" w:hAnsiTheme="minorHAnsi" w:cstheme="minorBidi"/>
            <w:noProof/>
            <w:kern w:val="2"/>
            <w:sz w:val="24"/>
            <w:szCs w:val="24"/>
            <w14:ligatures w14:val="standardContextual"/>
          </w:rPr>
          <w:tab/>
        </w:r>
        <w:r w:rsidRPr="00EB5581">
          <w:rPr>
            <w:rStyle w:val="Hyperlink"/>
            <w:noProof/>
          </w:rPr>
          <w:t>Matters Outside the Record</w:t>
        </w:r>
        <w:r>
          <w:rPr>
            <w:noProof/>
            <w:webHidden/>
          </w:rPr>
          <w:tab/>
        </w:r>
        <w:r>
          <w:rPr>
            <w:noProof/>
            <w:webHidden/>
          </w:rPr>
          <w:fldChar w:fldCharType="begin"/>
        </w:r>
        <w:r>
          <w:rPr>
            <w:noProof/>
            <w:webHidden/>
          </w:rPr>
          <w:instrText xml:space="preserve"> PAGEREF _Toc209539204 \h </w:instrText>
        </w:r>
        <w:r>
          <w:rPr>
            <w:noProof/>
            <w:webHidden/>
          </w:rPr>
        </w:r>
        <w:r>
          <w:rPr>
            <w:noProof/>
            <w:webHidden/>
          </w:rPr>
          <w:fldChar w:fldCharType="separate"/>
        </w:r>
        <w:r>
          <w:rPr>
            <w:noProof/>
            <w:webHidden/>
          </w:rPr>
          <w:t>13</w:t>
        </w:r>
        <w:r>
          <w:rPr>
            <w:noProof/>
            <w:webHidden/>
          </w:rPr>
          <w:fldChar w:fldCharType="end"/>
        </w:r>
      </w:hyperlink>
    </w:p>
    <w:p w14:paraId="2DDBDAAE" w14:textId="49CD1DF0"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05" w:history="1">
        <w:r w:rsidRPr="00EB5581">
          <w:rPr>
            <w:rStyle w:val="Hyperlink"/>
            <w:noProof/>
          </w:rPr>
          <w:t>2.</w:t>
        </w:r>
        <w:r>
          <w:rPr>
            <w:rFonts w:asciiTheme="minorHAnsi" w:eastAsiaTheme="minorEastAsia" w:hAnsiTheme="minorHAnsi" w:cstheme="minorBidi"/>
            <w:noProof/>
            <w:kern w:val="2"/>
            <w:sz w:val="24"/>
            <w:szCs w:val="24"/>
            <w14:ligatures w14:val="standardContextual"/>
          </w:rPr>
          <w:tab/>
        </w:r>
        <w:r w:rsidRPr="00EB5581">
          <w:rPr>
            <w:rStyle w:val="Hyperlink"/>
            <w:noProof/>
          </w:rPr>
          <w:t>Irrelevant Statements of the Law</w:t>
        </w:r>
        <w:r>
          <w:rPr>
            <w:noProof/>
            <w:webHidden/>
          </w:rPr>
          <w:tab/>
        </w:r>
        <w:r>
          <w:rPr>
            <w:noProof/>
            <w:webHidden/>
          </w:rPr>
          <w:fldChar w:fldCharType="begin"/>
        </w:r>
        <w:r>
          <w:rPr>
            <w:noProof/>
            <w:webHidden/>
          </w:rPr>
          <w:instrText xml:space="preserve"> PAGEREF _Toc209539205 \h </w:instrText>
        </w:r>
        <w:r>
          <w:rPr>
            <w:noProof/>
            <w:webHidden/>
          </w:rPr>
        </w:r>
        <w:r>
          <w:rPr>
            <w:noProof/>
            <w:webHidden/>
          </w:rPr>
          <w:fldChar w:fldCharType="separate"/>
        </w:r>
        <w:r>
          <w:rPr>
            <w:noProof/>
            <w:webHidden/>
          </w:rPr>
          <w:t>14</w:t>
        </w:r>
        <w:r>
          <w:rPr>
            <w:noProof/>
            <w:webHidden/>
          </w:rPr>
          <w:fldChar w:fldCharType="end"/>
        </w:r>
      </w:hyperlink>
    </w:p>
    <w:p w14:paraId="66610A98" w14:textId="4077F6DE"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06" w:history="1">
        <w:r w:rsidRPr="00EB5581">
          <w:rPr>
            <w:rStyle w:val="Hyperlink"/>
            <w:noProof/>
          </w:rPr>
          <w:t>3.</w:t>
        </w:r>
        <w:r>
          <w:rPr>
            <w:rFonts w:asciiTheme="minorHAnsi" w:eastAsiaTheme="minorEastAsia" w:hAnsiTheme="minorHAnsi" w:cstheme="minorBidi"/>
            <w:noProof/>
            <w:kern w:val="2"/>
            <w:sz w:val="24"/>
            <w:szCs w:val="24"/>
            <w14:ligatures w14:val="standardContextual"/>
          </w:rPr>
          <w:tab/>
        </w:r>
        <w:r w:rsidRPr="00EB5581">
          <w:rPr>
            <w:rStyle w:val="Hyperlink"/>
            <w:noProof/>
          </w:rPr>
          <w:t>Incorrect Statements of the Law</w:t>
        </w:r>
        <w:r>
          <w:rPr>
            <w:noProof/>
            <w:webHidden/>
          </w:rPr>
          <w:tab/>
        </w:r>
        <w:r>
          <w:rPr>
            <w:noProof/>
            <w:webHidden/>
          </w:rPr>
          <w:fldChar w:fldCharType="begin"/>
        </w:r>
        <w:r>
          <w:rPr>
            <w:noProof/>
            <w:webHidden/>
          </w:rPr>
          <w:instrText xml:space="preserve"> PAGEREF _Toc209539206 \h </w:instrText>
        </w:r>
        <w:r>
          <w:rPr>
            <w:noProof/>
            <w:webHidden/>
          </w:rPr>
        </w:r>
        <w:r>
          <w:rPr>
            <w:noProof/>
            <w:webHidden/>
          </w:rPr>
          <w:fldChar w:fldCharType="separate"/>
        </w:r>
        <w:r>
          <w:rPr>
            <w:noProof/>
            <w:webHidden/>
          </w:rPr>
          <w:t>14</w:t>
        </w:r>
        <w:r>
          <w:rPr>
            <w:noProof/>
            <w:webHidden/>
          </w:rPr>
          <w:fldChar w:fldCharType="end"/>
        </w:r>
      </w:hyperlink>
    </w:p>
    <w:p w14:paraId="33E04AB4" w14:textId="0BC0DD7C"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07" w:history="1">
        <w:r w:rsidRPr="00EB5581">
          <w:rPr>
            <w:rStyle w:val="Hyperlink"/>
            <w:noProof/>
          </w:rPr>
          <w:t>4.</w:t>
        </w:r>
        <w:r>
          <w:rPr>
            <w:rFonts w:asciiTheme="minorHAnsi" w:eastAsiaTheme="minorEastAsia" w:hAnsiTheme="minorHAnsi" w:cstheme="minorBidi"/>
            <w:noProof/>
            <w:kern w:val="2"/>
            <w:sz w:val="24"/>
            <w:szCs w:val="24"/>
            <w14:ligatures w14:val="standardContextual"/>
          </w:rPr>
          <w:tab/>
        </w:r>
        <w:r w:rsidRPr="00EB5581">
          <w:rPr>
            <w:rStyle w:val="Hyperlink"/>
            <w:noProof/>
          </w:rPr>
          <w:t>Arguing that a Result is Mandated by a Prior Case</w:t>
        </w:r>
        <w:r>
          <w:rPr>
            <w:noProof/>
            <w:webHidden/>
          </w:rPr>
          <w:tab/>
        </w:r>
        <w:r>
          <w:rPr>
            <w:noProof/>
            <w:webHidden/>
          </w:rPr>
          <w:fldChar w:fldCharType="begin"/>
        </w:r>
        <w:r>
          <w:rPr>
            <w:noProof/>
            <w:webHidden/>
          </w:rPr>
          <w:instrText xml:space="preserve"> PAGEREF _Toc209539207 \h </w:instrText>
        </w:r>
        <w:r>
          <w:rPr>
            <w:noProof/>
            <w:webHidden/>
          </w:rPr>
        </w:r>
        <w:r>
          <w:rPr>
            <w:noProof/>
            <w:webHidden/>
          </w:rPr>
          <w:fldChar w:fldCharType="separate"/>
        </w:r>
        <w:r>
          <w:rPr>
            <w:noProof/>
            <w:webHidden/>
          </w:rPr>
          <w:t>15</w:t>
        </w:r>
        <w:r>
          <w:rPr>
            <w:noProof/>
            <w:webHidden/>
          </w:rPr>
          <w:fldChar w:fldCharType="end"/>
        </w:r>
      </w:hyperlink>
    </w:p>
    <w:p w14:paraId="3E9E9AEE" w14:textId="18B3AB26" w:rsidR="00A63790" w:rsidRDefault="00A63790">
      <w:pPr>
        <w:pStyle w:val="TOC3"/>
        <w:rPr>
          <w:rFonts w:asciiTheme="minorHAnsi" w:eastAsiaTheme="minorEastAsia" w:hAnsiTheme="minorHAnsi" w:cstheme="minorBidi"/>
          <w:noProof/>
          <w:kern w:val="2"/>
          <w:sz w:val="24"/>
          <w:szCs w:val="24"/>
          <w14:ligatures w14:val="standardContextual"/>
        </w:rPr>
      </w:pPr>
      <w:r w:rsidRPr="00EB5581">
        <w:rPr>
          <w:rStyle w:val="Hyperlink"/>
          <w:noProof/>
        </w:rPr>
        <w:fldChar w:fldCharType="begin"/>
      </w:r>
      <w:r w:rsidRPr="00EB5581">
        <w:rPr>
          <w:rStyle w:val="Hyperlink"/>
          <w:noProof/>
        </w:rPr>
        <w:instrText xml:space="preserve"> </w:instrText>
      </w:r>
      <w:r>
        <w:rPr>
          <w:noProof/>
        </w:rPr>
        <w:instrText>HYPERLINK \l "_Toc209539208"</w:instrText>
      </w:r>
      <w:r w:rsidRPr="00EB5581">
        <w:rPr>
          <w:rStyle w:val="Hyperlink"/>
          <w:noProof/>
        </w:rPr>
        <w:instrText xml:space="preserve"> </w:instrText>
      </w:r>
      <w:r w:rsidRPr="00EB5581">
        <w:rPr>
          <w:rStyle w:val="Hyperlink"/>
          <w:noProof/>
        </w:rPr>
      </w:r>
      <w:r w:rsidRPr="00EB5581">
        <w:rPr>
          <w:rStyle w:val="Hyperlink"/>
          <w:noProof/>
        </w:rPr>
        <w:fldChar w:fldCharType="separate"/>
      </w:r>
      <w:r w:rsidRPr="00EB5581">
        <w:rPr>
          <w:rStyle w:val="Hyperlink"/>
          <w:noProof/>
        </w:rPr>
        <w:t>5.</w:t>
      </w:r>
      <w:r>
        <w:rPr>
          <w:rFonts w:asciiTheme="minorHAnsi" w:eastAsiaTheme="minorEastAsia" w:hAnsiTheme="minorHAnsi" w:cstheme="minorBidi"/>
          <w:noProof/>
          <w:kern w:val="2"/>
          <w:sz w:val="24"/>
          <w:szCs w:val="24"/>
          <w14:ligatures w14:val="standardContextual"/>
        </w:rPr>
        <w:tab/>
      </w:r>
      <w:r w:rsidRPr="00EB5581">
        <w:rPr>
          <w:rStyle w:val="Hyperlink"/>
          <w:noProof/>
        </w:rPr>
        <w:t>Pretrial Silence</w:t>
      </w:r>
      <w:r>
        <w:rPr>
          <w:noProof/>
          <w:webHidden/>
        </w:rPr>
        <w:tab/>
      </w:r>
      <w:r>
        <w:rPr>
          <w:noProof/>
          <w:webHidden/>
        </w:rPr>
        <w:fldChar w:fldCharType="begin"/>
      </w:r>
      <w:r>
        <w:rPr>
          <w:noProof/>
          <w:webHidden/>
        </w:rPr>
        <w:instrText xml:space="preserve"> PAGEREF _Toc209539208 \h </w:instrText>
      </w:r>
      <w:r>
        <w:rPr>
          <w:noProof/>
          <w:webHidden/>
        </w:rPr>
      </w:r>
      <w:r>
        <w:rPr>
          <w:noProof/>
          <w:webHidden/>
        </w:rPr>
        <w:fldChar w:fldCharType="separate"/>
      </w:r>
      <w:r>
        <w:rPr>
          <w:noProof/>
          <w:webHidden/>
        </w:rPr>
        <w:t>15</w:t>
      </w:r>
      <w:r>
        <w:rPr>
          <w:noProof/>
          <w:webHidden/>
        </w:rPr>
        <w:fldChar w:fldCharType="end"/>
      </w:r>
      <w:r w:rsidRPr="00EB5581">
        <w:rPr>
          <w:rStyle w:val="Hyperlink"/>
          <w:noProof/>
        </w:rPr>
        <w:fldChar w:fldCharType="end"/>
      </w:r>
    </w:p>
    <w:p w14:paraId="65AA777F" w14:textId="6DAF5FAE"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09" w:history="1">
        <w:r w:rsidRPr="00EB5581">
          <w:rPr>
            <w:rStyle w:val="Hyperlink"/>
            <w:noProof/>
          </w:rPr>
          <w:t>6.</w:t>
        </w:r>
        <w:r>
          <w:rPr>
            <w:rFonts w:asciiTheme="minorHAnsi" w:eastAsiaTheme="minorEastAsia" w:hAnsiTheme="minorHAnsi" w:cstheme="minorBidi"/>
            <w:noProof/>
            <w:kern w:val="2"/>
            <w:sz w:val="24"/>
            <w:szCs w:val="24"/>
            <w14:ligatures w14:val="standardContextual"/>
          </w:rPr>
          <w:tab/>
        </w:r>
        <w:r w:rsidRPr="00EB5581">
          <w:rPr>
            <w:rStyle w:val="Hyperlink"/>
            <w:noProof/>
          </w:rPr>
          <w:t>Comment on Exercise of Right to Jury Trial or Failure to Plead Guilty</w:t>
        </w:r>
        <w:r>
          <w:rPr>
            <w:noProof/>
            <w:webHidden/>
          </w:rPr>
          <w:tab/>
        </w:r>
        <w:r>
          <w:rPr>
            <w:noProof/>
            <w:webHidden/>
          </w:rPr>
          <w:fldChar w:fldCharType="begin"/>
        </w:r>
        <w:r>
          <w:rPr>
            <w:noProof/>
            <w:webHidden/>
          </w:rPr>
          <w:instrText xml:space="preserve"> PAGEREF _Toc209539209 \h </w:instrText>
        </w:r>
        <w:r>
          <w:rPr>
            <w:noProof/>
            <w:webHidden/>
          </w:rPr>
        </w:r>
        <w:r>
          <w:rPr>
            <w:noProof/>
            <w:webHidden/>
          </w:rPr>
          <w:fldChar w:fldCharType="separate"/>
        </w:r>
        <w:r>
          <w:rPr>
            <w:noProof/>
            <w:webHidden/>
          </w:rPr>
          <w:t>15</w:t>
        </w:r>
        <w:r>
          <w:rPr>
            <w:noProof/>
            <w:webHidden/>
          </w:rPr>
          <w:fldChar w:fldCharType="end"/>
        </w:r>
      </w:hyperlink>
    </w:p>
    <w:p w14:paraId="57B73793" w14:textId="03C7ED6E"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10" w:history="1">
        <w:r w:rsidRPr="00EB5581">
          <w:rPr>
            <w:rStyle w:val="Hyperlink"/>
            <w:noProof/>
          </w:rPr>
          <w:t>7.</w:t>
        </w:r>
        <w:r>
          <w:rPr>
            <w:rFonts w:asciiTheme="minorHAnsi" w:eastAsiaTheme="minorEastAsia" w:hAnsiTheme="minorHAnsi" w:cstheme="minorBidi"/>
            <w:noProof/>
            <w:kern w:val="2"/>
            <w:sz w:val="24"/>
            <w:szCs w:val="24"/>
            <w14:ligatures w14:val="standardContextual"/>
          </w:rPr>
          <w:tab/>
        </w:r>
        <w:r w:rsidRPr="00EB5581">
          <w:rPr>
            <w:rStyle w:val="Hyperlink"/>
            <w:noProof/>
          </w:rPr>
          <w:t>Comment on the Defendant’s Failure to Testify</w:t>
        </w:r>
        <w:r>
          <w:rPr>
            <w:noProof/>
            <w:webHidden/>
          </w:rPr>
          <w:tab/>
        </w:r>
        <w:r>
          <w:rPr>
            <w:noProof/>
            <w:webHidden/>
          </w:rPr>
          <w:fldChar w:fldCharType="begin"/>
        </w:r>
        <w:r>
          <w:rPr>
            <w:noProof/>
            <w:webHidden/>
          </w:rPr>
          <w:instrText xml:space="preserve"> PAGEREF _Toc209539210 \h </w:instrText>
        </w:r>
        <w:r>
          <w:rPr>
            <w:noProof/>
            <w:webHidden/>
          </w:rPr>
        </w:r>
        <w:r>
          <w:rPr>
            <w:noProof/>
            <w:webHidden/>
          </w:rPr>
          <w:fldChar w:fldCharType="separate"/>
        </w:r>
        <w:r>
          <w:rPr>
            <w:noProof/>
            <w:webHidden/>
          </w:rPr>
          <w:t>16</w:t>
        </w:r>
        <w:r>
          <w:rPr>
            <w:noProof/>
            <w:webHidden/>
          </w:rPr>
          <w:fldChar w:fldCharType="end"/>
        </w:r>
      </w:hyperlink>
    </w:p>
    <w:p w14:paraId="2ADBE695" w14:textId="2F7878CA"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11" w:history="1">
        <w:r w:rsidRPr="00EB5581">
          <w:rPr>
            <w:rStyle w:val="Hyperlink"/>
            <w:noProof/>
          </w:rPr>
          <w:t>8.</w:t>
        </w:r>
        <w:r>
          <w:rPr>
            <w:rFonts w:asciiTheme="minorHAnsi" w:eastAsiaTheme="minorEastAsia" w:hAnsiTheme="minorHAnsi" w:cstheme="minorBidi"/>
            <w:noProof/>
            <w:kern w:val="2"/>
            <w:sz w:val="24"/>
            <w:szCs w:val="24"/>
            <w14:ligatures w14:val="standardContextual"/>
          </w:rPr>
          <w:tab/>
        </w:r>
        <w:r w:rsidRPr="00EB5581">
          <w:rPr>
            <w:rStyle w:val="Hyperlink"/>
            <w:noProof/>
          </w:rPr>
          <w:t>Failure To Call a Spouse</w:t>
        </w:r>
        <w:r>
          <w:rPr>
            <w:noProof/>
            <w:webHidden/>
          </w:rPr>
          <w:tab/>
        </w:r>
        <w:r>
          <w:rPr>
            <w:noProof/>
            <w:webHidden/>
          </w:rPr>
          <w:fldChar w:fldCharType="begin"/>
        </w:r>
        <w:r>
          <w:rPr>
            <w:noProof/>
            <w:webHidden/>
          </w:rPr>
          <w:instrText xml:space="preserve"> PAGEREF _Toc209539211 \h </w:instrText>
        </w:r>
        <w:r>
          <w:rPr>
            <w:noProof/>
            <w:webHidden/>
          </w:rPr>
        </w:r>
        <w:r>
          <w:rPr>
            <w:noProof/>
            <w:webHidden/>
          </w:rPr>
          <w:fldChar w:fldCharType="separate"/>
        </w:r>
        <w:r>
          <w:rPr>
            <w:noProof/>
            <w:webHidden/>
          </w:rPr>
          <w:t>17</w:t>
        </w:r>
        <w:r>
          <w:rPr>
            <w:noProof/>
            <w:webHidden/>
          </w:rPr>
          <w:fldChar w:fldCharType="end"/>
        </w:r>
      </w:hyperlink>
    </w:p>
    <w:p w14:paraId="5129B659" w14:textId="1EC154CB"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12" w:history="1">
        <w:r w:rsidRPr="00EB5581">
          <w:rPr>
            <w:rStyle w:val="Hyperlink"/>
            <w:noProof/>
          </w:rPr>
          <w:t>9.</w:t>
        </w:r>
        <w:r>
          <w:rPr>
            <w:rFonts w:asciiTheme="minorHAnsi" w:eastAsiaTheme="minorEastAsia" w:hAnsiTheme="minorHAnsi" w:cstheme="minorBidi"/>
            <w:noProof/>
            <w:kern w:val="2"/>
            <w:sz w:val="24"/>
            <w:szCs w:val="24"/>
            <w14:ligatures w14:val="standardContextual"/>
          </w:rPr>
          <w:tab/>
        </w:r>
        <w:r w:rsidRPr="00EB5581">
          <w:rPr>
            <w:rStyle w:val="Hyperlink"/>
            <w:noProof/>
          </w:rPr>
          <w:t>Reading the Indictment</w:t>
        </w:r>
        <w:r>
          <w:rPr>
            <w:noProof/>
            <w:webHidden/>
          </w:rPr>
          <w:tab/>
        </w:r>
        <w:r>
          <w:rPr>
            <w:noProof/>
            <w:webHidden/>
          </w:rPr>
          <w:fldChar w:fldCharType="begin"/>
        </w:r>
        <w:r>
          <w:rPr>
            <w:noProof/>
            <w:webHidden/>
          </w:rPr>
          <w:instrText xml:space="preserve"> PAGEREF _Toc209539212 \h </w:instrText>
        </w:r>
        <w:r>
          <w:rPr>
            <w:noProof/>
            <w:webHidden/>
          </w:rPr>
        </w:r>
        <w:r>
          <w:rPr>
            <w:noProof/>
            <w:webHidden/>
          </w:rPr>
          <w:fldChar w:fldCharType="separate"/>
        </w:r>
        <w:r>
          <w:rPr>
            <w:noProof/>
            <w:webHidden/>
          </w:rPr>
          <w:t>17</w:t>
        </w:r>
        <w:r>
          <w:rPr>
            <w:noProof/>
            <w:webHidden/>
          </w:rPr>
          <w:fldChar w:fldCharType="end"/>
        </w:r>
      </w:hyperlink>
    </w:p>
    <w:p w14:paraId="48455477" w14:textId="71FC9BC4"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13" w:history="1">
        <w:r w:rsidRPr="00EB5581">
          <w:rPr>
            <w:rStyle w:val="Hyperlink"/>
            <w:noProof/>
          </w:rPr>
          <w:t>10.</w:t>
        </w:r>
        <w:r>
          <w:rPr>
            <w:rFonts w:asciiTheme="minorHAnsi" w:eastAsiaTheme="minorEastAsia" w:hAnsiTheme="minorHAnsi" w:cstheme="minorBidi"/>
            <w:noProof/>
            <w:kern w:val="2"/>
            <w:sz w:val="24"/>
            <w:szCs w:val="24"/>
            <w14:ligatures w14:val="standardContextual"/>
          </w:rPr>
          <w:tab/>
        </w:r>
        <w:r w:rsidRPr="00EB5581">
          <w:rPr>
            <w:rStyle w:val="Hyperlink"/>
            <w:noProof/>
          </w:rPr>
          <w:t>Religious Arguments</w:t>
        </w:r>
        <w:r>
          <w:rPr>
            <w:noProof/>
            <w:webHidden/>
          </w:rPr>
          <w:tab/>
        </w:r>
        <w:r>
          <w:rPr>
            <w:noProof/>
            <w:webHidden/>
          </w:rPr>
          <w:fldChar w:fldCharType="begin"/>
        </w:r>
        <w:r>
          <w:rPr>
            <w:noProof/>
            <w:webHidden/>
          </w:rPr>
          <w:instrText xml:space="preserve"> PAGEREF _Toc209539213 \h </w:instrText>
        </w:r>
        <w:r>
          <w:rPr>
            <w:noProof/>
            <w:webHidden/>
          </w:rPr>
        </w:r>
        <w:r>
          <w:rPr>
            <w:noProof/>
            <w:webHidden/>
          </w:rPr>
          <w:fldChar w:fldCharType="separate"/>
        </w:r>
        <w:r>
          <w:rPr>
            <w:noProof/>
            <w:webHidden/>
          </w:rPr>
          <w:t>17</w:t>
        </w:r>
        <w:r>
          <w:rPr>
            <w:noProof/>
            <w:webHidden/>
          </w:rPr>
          <w:fldChar w:fldCharType="end"/>
        </w:r>
      </w:hyperlink>
    </w:p>
    <w:p w14:paraId="26C634CB" w14:textId="6534AAFA"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14" w:history="1">
        <w:r w:rsidRPr="00EB5581">
          <w:rPr>
            <w:rStyle w:val="Hyperlink"/>
            <w:noProof/>
          </w:rPr>
          <w:t>11.</w:t>
        </w:r>
        <w:r>
          <w:rPr>
            <w:rFonts w:asciiTheme="minorHAnsi" w:eastAsiaTheme="minorEastAsia" w:hAnsiTheme="minorHAnsi" w:cstheme="minorBidi"/>
            <w:noProof/>
            <w:kern w:val="2"/>
            <w:sz w:val="24"/>
            <w:szCs w:val="24"/>
            <w14:ligatures w14:val="standardContextual"/>
          </w:rPr>
          <w:tab/>
        </w:r>
        <w:r w:rsidRPr="00EB5581">
          <w:rPr>
            <w:rStyle w:val="Hyperlink"/>
            <w:noProof/>
          </w:rPr>
          <w:t>Name Calling</w:t>
        </w:r>
        <w:r>
          <w:rPr>
            <w:noProof/>
            <w:webHidden/>
          </w:rPr>
          <w:tab/>
        </w:r>
        <w:r>
          <w:rPr>
            <w:noProof/>
            <w:webHidden/>
          </w:rPr>
          <w:fldChar w:fldCharType="begin"/>
        </w:r>
        <w:r>
          <w:rPr>
            <w:noProof/>
            <w:webHidden/>
          </w:rPr>
          <w:instrText xml:space="preserve"> PAGEREF _Toc209539214 \h </w:instrText>
        </w:r>
        <w:r>
          <w:rPr>
            <w:noProof/>
            <w:webHidden/>
          </w:rPr>
        </w:r>
        <w:r>
          <w:rPr>
            <w:noProof/>
            <w:webHidden/>
          </w:rPr>
          <w:fldChar w:fldCharType="separate"/>
        </w:r>
        <w:r>
          <w:rPr>
            <w:noProof/>
            <w:webHidden/>
          </w:rPr>
          <w:t>17</w:t>
        </w:r>
        <w:r>
          <w:rPr>
            <w:noProof/>
            <w:webHidden/>
          </w:rPr>
          <w:fldChar w:fldCharType="end"/>
        </w:r>
      </w:hyperlink>
    </w:p>
    <w:p w14:paraId="1CE4283D" w14:textId="241FCF70"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15" w:history="1">
        <w:r w:rsidRPr="00EB5581">
          <w:rPr>
            <w:rStyle w:val="Hyperlink"/>
            <w:noProof/>
          </w:rPr>
          <w:t>12.</w:t>
        </w:r>
        <w:r>
          <w:rPr>
            <w:rFonts w:asciiTheme="minorHAnsi" w:eastAsiaTheme="minorEastAsia" w:hAnsiTheme="minorHAnsi" w:cstheme="minorBidi"/>
            <w:noProof/>
            <w:kern w:val="2"/>
            <w:sz w:val="24"/>
            <w:szCs w:val="24"/>
            <w14:ligatures w14:val="standardContextual"/>
          </w:rPr>
          <w:tab/>
        </w:r>
        <w:r w:rsidRPr="00EB5581">
          <w:rPr>
            <w:rStyle w:val="Hyperlink"/>
            <w:noProof/>
          </w:rPr>
          <w:t>Referring to the Defendant as a Criminal</w:t>
        </w:r>
        <w:r>
          <w:rPr>
            <w:noProof/>
            <w:webHidden/>
          </w:rPr>
          <w:tab/>
        </w:r>
        <w:r>
          <w:rPr>
            <w:noProof/>
            <w:webHidden/>
          </w:rPr>
          <w:fldChar w:fldCharType="begin"/>
        </w:r>
        <w:r>
          <w:rPr>
            <w:noProof/>
            <w:webHidden/>
          </w:rPr>
          <w:instrText xml:space="preserve"> PAGEREF _Toc209539215 \h </w:instrText>
        </w:r>
        <w:r>
          <w:rPr>
            <w:noProof/>
            <w:webHidden/>
          </w:rPr>
        </w:r>
        <w:r>
          <w:rPr>
            <w:noProof/>
            <w:webHidden/>
          </w:rPr>
          <w:fldChar w:fldCharType="separate"/>
        </w:r>
        <w:r>
          <w:rPr>
            <w:noProof/>
            <w:webHidden/>
          </w:rPr>
          <w:t>20</w:t>
        </w:r>
        <w:r>
          <w:rPr>
            <w:noProof/>
            <w:webHidden/>
          </w:rPr>
          <w:fldChar w:fldCharType="end"/>
        </w:r>
      </w:hyperlink>
    </w:p>
    <w:p w14:paraId="77E8737D" w14:textId="247870D2"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16" w:history="1">
        <w:r w:rsidRPr="00EB5581">
          <w:rPr>
            <w:rStyle w:val="Hyperlink"/>
            <w:noProof/>
          </w:rPr>
          <w:t>13.</w:t>
        </w:r>
        <w:r>
          <w:rPr>
            <w:rFonts w:asciiTheme="minorHAnsi" w:eastAsiaTheme="minorEastAsia" w:hAnsiTheme="minorHAnsi" w:cstheme="minorBidi"/>
            <w:noProof/>
            <w:kern w:val="2"/>
            <w:sz w:val="24"/>
            <w:szCs w:val="24"/>
            <w14:ligatures w14:val="standardContextual"/>
          </w:rPr>
          <w:tab/>
        </w:r>
        <w:r w:rsidRPr="00EB5581">
          <w:rPr>
            <w:rStyle w:val="Hyperlink"/>
            <w:noProof/>
          </w:rPr>
          <w:t>Comparing the Defendant to an Animal</w:t>
        </w:r>
        <w:r>
          <w:rPr>
            <w:noProof/>
            <w:webHidden/>
          </w:rPr>
          <w:tab/>
        </w:r>
        <w:r>
          <w:rPr>
            <w:noProof/>
            <w:webHidden/>
          </w:rPr>
          <w:fldChar w:fldCharType="begin"/>
        </w:r>
        <w:r>
          <w:rPr>
            <w:noProof/>
            <w:webHidden/>
          </w:rPr>
          <w:instrText xml:space="preserve"> PAGEREF _Toc209539216 \h </w:instrText>
        </w:r>
        <w:r>
          <w:rPr>
            <w:noProof/>
            <w:webHidden/>
          </w:rPr>
        </w:r>
        <w:r>
          <w:rPr>
            <w:noProof/>
            <w:webHidden/>
          </w:rPr>
          <w:fldChar w:fldCharType="separate"/>
        </w:r>
        <w:r>
          <w:rPr>
            <w:noProof/>
            <w:webHidden/>
          </w:rPr>
          <w:t>20</w:t>
        </w:r>
        <w:r>
          <w:rPr>
            <w:noProof/>
            <w:webHidden/>
          </w:rPr>
          <w:fldChar w:fldCharType="end"/>
        </w:r>
      </w:hyperlink>
    </w:p>
    <w:p w14:paraId="2BA37F9E" w14:textId="29195A5F"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17" w:history="1">
        <w:r w:rsidRPr="00EB5581">
          <w:rPr>
            <w:rStyle w:val="Hyperlink"/>
            <w:noProof/>
          </w:rPr>
          <w:t>14.</w:t>
        </w:r>
        <w:r>
          <w:rPr>
            <w:rFonts w:asciiTheme="minorHAnsi" w:eastAsiaTheme="minorEastAsia" w:hAnsiTheme="minorHAnsi" w:cstheme="minorBidi"/>
            <w:noProof/>
            <w:kern w:val="2"/>
            <w:sz w:val="24"/>
            <w:szCs w:val="24"/>
            <w14:ligatures w14:val="standardContextual"/>
          </w:rPr>
          <w:tab/>
        </w:r>
        <w:r w:rsidRPr="00EB5581">
          <w:rPr>
            <w:rStyle w:val="Hyperlink"/>
            <w:noProof/>
          </w:rPr>
          <w:t>Argument Regarding the Defendant’s Appearance</w:t>
        </w:r>
        <w:r>
          <w:rPr>
            <w:noProof/>
            <w:webHidden/>
          </w:rPr>
          <w:tab/>
        </w:r>
        <w:r>
          <w:rPr>
            <w:noProof/>
            <w:webHidden/>
          </w:rPr>
          <w:fldChar w:fldCharType="begin"/>
        </w:r>
        <w:r>
          <w:rPr>
            <w:noProof/>
            <w:webHidden/>
          </w:rPr>
          <w:instrText xml:space="preserve"> PAGEREF _Toc209539217 \h </w:instrText>
        </w:r>
        <w:r>
          <w:rPr>
            <w:noProof/>
            <w:webHidden/>
          </w:rPr>
        </w:r>
        <w:r>
          <w:rPr>
            <w:noProof/>
            <w:webHidden/>
          </w:rPr>
          <w:fldChar w:fldCharType="separate"/>
        </w:r>
        <w:r>
          <w:rPr>
            <w:noProof/>
            <w:webHidden/>
          </w:rPr>
          <w:t>21</w:t>
        </w:r>
        <w:r>
          <w:rPr>
            <w:noProof/>
            <w:webHidden/>
          </w:rPr>
          <w:fldChar w:fldCharType="end"/>
        </w:r>
      </w:hyperlink>
    </w:p>
    <w:p w14:paraId="3A6397F5" w14:textId="1A9D813C"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18" w:history="1">
        <w:r w:rsidRPr="00EB5581">
          <w:rPr>
            <w:rStyle w:val="Hyperlink"/>
            <w:noProof/>
          </w:rPr>
          <w:t>15.</w:t>
        </w:r>
        <w:r>
          <w:rPr>
            <w:rFonts w:asciiTheme="minorHAnsi" w:eastAsiaTheme="minorEastAsia" w:hAnsiTheme="minorHAnsi" w:cstheme="minorBidi"/>
            <w:noProof/>
            <w:kern w:val="2"/>
            <w:sz w:val="24"/>
            <w:szCs w:val="24"/>
            <w14:ligatures w14:val="standardContextual"/>
          </w:rPr>
          <w:tab/>
        </w:r>
        <w:r w:rsidRPr="00EB5581">
          <w:rPr>
            <w:rStyle w:val="Hyperlink"/>
            <w:noProof/>
          </w:rPr>
          <w:t>Racial References</w:t>
        </w:r>
        <w:r>
          <w:rPr>
            <w:noProof/>
            <w:webHidden/>
          </w:rPr>
          <w:tab/>
        </w:r>
        <w:r>
          <w:rPr>
            <w:noProof/>
            <w:webHidden/>
          </w:rPr>
          <w:fldChar w:fldCharType="begin"/>
        </w:r>
        <w:r>
          <w:rPr>
            <w:noProof/>
            <w:webHidden/>
          </w:rPr>
          <w:instrText xml:space="preserve"> PAGEREF _Toc209539218 \h </w:instrText>
        </w:r>
        <w:r>
          <w:rPr>
            <w:noProof/>
            <w:webHidden/>
          </w:rPr>
        </w:r>
        <w:r>
          <w:rPr>
            <w:noProof/>
            <w:webHidden/>
          </w:rPr>
          <w:fldChar w:fldCharType="separate"/>
        </w:r>
        <w:r>
          <w:rPr>
            <w:noProof/>
            <w:webHidden/>
          </w:rPr>
          <w:t>21</w:t>
        </w:r>
        <w:r>
          <w:rPr>
            <w:noProof/>
            <w:webHidden/>
          </w:rPr>
          <w:fldChar w:fldCharType="end"/>
        </w:r>
      </w:hyperlink>
    </w:p>
    <w:p w14:paraId="19C95764" w14:textId="17372454"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19" w:history="1">
        <w:r w:rsidRPr="00EB5581">
          <w:rPr>
            <w:rStyle w:val="Hyperlink"/>
            <w:noProof/>
          </w:rPr>
          <w:t>16.</w:t>
        </w:r>
        <w:r>
          <w:rPr>
            <w:rFonts w:asciiTheme="minorHAnsi" w:eastAsiaTheme="minorEastAsia" w:hAnsiTheme="minorHAnsi" w:cstheme="minorBidi"/>
            <w:noProof/>
            <w:kern w:val="2"/>
            <w:sz w:val="24"/>
            <w:szCs w:val="24"/>
            <w14:ligatures w14:val="standardContextual"/>
          </w:rPr>
          <w:tab/>
        </w:r>
        <w:r w:rsidRPr="00EB5581">
          <w:rPr>
            <w:rStyle w:val="Hyperlink"/>
            <w:noProof/>
          </w:rPr>
          <w:t>Referring to Tragic National Events</w:t>
        </w:r>
        <w:r>
          <w:rPr>
            <w:noProof/>
            <w:webHidden/>
          </w:rPr>
          <w:tab/>
        </w:r>
        <w:r>
          <w:rPr>
            <w:noProof/>
            <w:webHidden/>
          </w:rPr>
          <w:fldChar w:fldCharType="begin"/>
        </w:r>
        <w:r>
          <w:rPr>
            <w:noProof/>
            <w:webHidden/>
          </w:rPr>
          <w:instrText xml:space="preserve"> PAGEREF _Toc209539219 \h </w:instrText>
        </w:r>
        <w:r>
          <w:rPr>
            <w:noProof/>
            <w:webHidden/>
          </w:rPr>
        </w:r>
        <w:r>
          <w:rPr>
            <w:noProof/>
            <w:webHidden/>
          </w:rPr>
          <w:fldChar w:fldCharType="separate"/>
        </w:r>
        <w:r>
          <w:rPr>
            <w:noProof/>
            <w:webHidden/>
          </w:rPr>
          <w:t>21</w:t>
        </w:r>
        <w:r>
          <w:rPr>
            <w:noProof/>
            <w:webHidden/>
          </w:rPr>
          <w:fldChar w:fldCharType="end"/>
        </w:r>
      </w:hyperlink>
    </w:p>
    <w:p w14:paraId="5C2A5272" w14:textId="02119430"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20" w:history="1">
        <w:r w:rsidRPr="00EB5581">
          <w:rPr>
            <w:rStyle w:val="Hyperlink"/>
            <w:noProof/>
          </w:rPr>
          <w:t>17.</w:t>
        </w:r>
        <w:r>
          <w:rPr>
            <w:rFonts w:asciiTheme="minorHAnsi" w:eastAsiaTheme="minorEastAsia" w:hAnsiTheme="minorHAnsi" w:cstheme="minorBidi"/>
            <w:noProof/>
            <w:kern w:val="2"/>
            <w:sz w:val="24"/>
            <w:szCs w:val="24"/>
            <w14:ligatures w14:val="standardContextual"/>
          </w:rPr>
          <w:tab/>
        </w:r>
        <w:r w:rsidRPr="00EB5581">
          <w:rPr>
            <w:rStyle w:val="Hyperlink"/>
            <w:noProof/>
          </w:rPr>
          <w:t>Personal Experiences</w:t>
        </w:r>
        <w:r>
          <w:rPr>
            <w:noProof/>
            <w:webHidden/>
          </w:rPr>
          <w:tab/>
        </w:r>
        <w:r>
          <w:rPr>
            <w:noProof/>
            <w:webHidden/>
          </w:rPr>
          <w:fldChar w:fldCharType="begin"/>
        </w:r>
        <w:r>
          <w:rPr>
            <w:noProof/>
            <w:webHidden/>
          </w:rPr>
          <w:instrText xml:space="preserve"> PAGEREF _Toc209539220 \h </w:instrText>
        </w:r>
        <w:r>
          <w:rPr>
            <w:noProof/>
            <w:webHidden/>
          </w:rPr>
        </w:r>
        <w:r>
          <w:rPr>
            <w:noProof/>
            <w:webHidden/>
          </w:rPr>
          <w:fldChar w:fldCharType="separate"/>
        </w:r>
        <w:r>
          <w:rPr>
            <w:noProof/>
            <w:webHidden/>
          </w:rPr>
          <w:t>22</w:t>
        </w:r>
        <w:r>
          <w:rPr>
            <w:noProof/>
            <w:webHidden/>
          </w:rPr>
          <w:fldChar w:fldCharType="end"/>
        </w:r>
      </w:hyperlink>
    </w:p>
    <w:p w14:paraId="5EA9C551" w14:textId="6BCBA53F"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21" w:history="1">
        <w:r w:rsidRPr="00EB5581">
          <w:rPr>
            <w:rStyle w:val="Hyperlink"/>
            <w:noProof/>
          </w:rPr>
          <w:t>18.</w:t>
        </w:r>
        <w:r>
          <w:rPr>
            <w:rFonts w:asciiTheme="minorHAnsi" w:eastAsiaTheme="minorEastAsia" w:hAnsiTheme="minorHAnsi" w:cstheme="minorBidi"/>
            <w:noProof/>
            <w:kern w:val="2"/>
            <w:sz w:val="24"/>
            <w:szCs w:val="24"/>
            <w14:ligatures w14:val="standardContextual"/>
          </w:rPr>
          <w:tab/>
        </w:r>
        <w:r w:rsidRPr="00EB5581">
          <w:rPr>
            <w:rStyle w:val="Hyperlink"/>
            <w:noProof/>
          </w:rPr>
          <w:t>Personal Beliefs</w:t>
        </w:r>
        <w:r>
          <w:rPr>
            <w:noProof/>
            <w:webHidden/>
          </w:rPr>
          <w:tab/>
        </w:r>
        <w:r>
          <w:rPr>
            <w:noProof/>
            <w:webHidden/>
          </w:rPr>
          <w:fldChar w:fldCharType="begin"/>
        </w:r>
        <w:r>
          <w:rPr>
            <w:noProof/>
            <w:webHidden/>
          </w:rPr>
          <w:instrText xml:space="preserve"> PAGEREF _Toc209539221 \h </w:instrText>
        </w:r>
        <w:r>
          <w:rPr>
            <w:noProof/>
            <w:webHidden/>
          </w:rPr>
        </w:r>
        <w:r>
          <w:rPr>
            <w:noProof/>
            <w:webHidden/>
          </w:rPr>
          <w:fldChar w:fldCharType="separate"/>
        </w:r>
        <w:r>
          <w:rPr>
            <w:noProof/>
            <w:webHidden/>
          </w:rPr>
          <w:t>22</w:t>
        </w:r>
        <w:r>
          <w:rPr>
            <w:noProof/>
            <w:webHidden/>
          </w:rPr>
          <w:fldChar w:fldCharType="end"/>
        </w:r>
      </w:hyperlink>
    </w:p>
    <w:p w14:paraId="32038F77" w14:textId="5E201930"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22" w:history="1">
        <w:r w:rsidRPr="00EB5581">
          <w:rPr>
            <w:rStyle w:val="Hyperlink"/>
            <w:noProof/>
          </w:rPr>
          <w:t>19.</w:t>
        </w:r>
        <w:r>
          <w:rPr>
            <w:rFonts w:asciiTheme="minorHAnsi" w:eastAsiaTheme="minorEastAsia" w:hAnsiTheme="minorHAnsi" w:cstheme="minorBidi"/>
            <w:noProof/>
            <w:kern w:val="2"/>
            <w:sz w:val="24"/>
            <w:szCs w:val="24"/>
            <w14:ligatures w14:val="standardContextual"/>
          </w:rPr>
          <w:tab/>
        </w:r>
        <w:r w:rsidRPr="00EB5581">
          <w:rPr>
            <w:rStyle w:val="Hyperlink"/>
            <w:noProof/>
          </w:rPr>
          <w:t>Personal Attacks on Opposing Counsel</w:t>
        </w:r>
        <w:r>
          <w:rPr>
            <w:noProof/>
            <w:webHidden/>
          </w:rPr>
          <w:tab/>
        </w:r>
        <w:r>
          <w:rPr>
            <w:noProof/>
            <w:webHidden/>
          </w:rPr>
          <w:fldChar w:fldCharType="begin"/>
        </w:r>
        <w:r>
          <w:rPr>
            <w:noProof/>
            <w:webHidden/>
          </w:rPr>
          <w:instrText xml:space="preserve"> PAGEREF _Toc209539222 \h </w:instrText>
        </w:r>
        <w:r>
          <w:rPr>
            <w:noProof/>
            <w:webHidden/>
          </w:rPr>
        </w:r>
        <w:r>
          <w:rPr>
            <w:noProof/>
            <w:webHidden/>
          </w:rPr>
          <w:fldChar w:fldCharType="separate"/>
        </w:r>
        <w:r>
          <w:rPr>
            <w:noProof/>
            <w:webHidden/>
          </w:rPr>
          <w:t>23</w:t>
        </w:r>
        <w:r>
          <w:rPr>
            <w:noProof/>
            <w:webHidden/>
          </w:rPr>
          <w:fldChar w:fldCharType="end"/>
        </w:r>
      </w:hyperlink>
    </w:p>
    <w:p w14:paraId="4DA3964E" w14:textId="2C2E4F84"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23" w:history="1">
        <w:r w:rsidRPr="00EB5581">
          <w:rPr>
            <w:rStyle w:val="Hyperlink"/>
            <w:noProof/>
          </w:rPr>
          <w:t>20.</w:t>
        </w:r>
        <w:r>
          <w:rPr>
            <w:rFonts w:asciiTheme="minorHAnsi" w:eastAsiaTheme="minorEastAsia" w:hAnsiTheme="minorHAnsi" w:cstheme="minorBidi"/>
            <w:noProof/>
            <w:kern w:val="2"/>
            <w:sz w:val="24"/>
            <w:szCs w:val="24"/>
            <w14:ligatures w14:val="standardContextual"/>
          </w:rPr>
          <w:tab/>
        </w:r>
        <w:r w:rsidRPr="00EB5581">
          <w:rPr>
            <w:rStyle w:val="Hyperlink"/>
            <w:noProof/>
          </w:rPr>
          <w:t>Personal Attacks on Witnesses</w:t>
        </w:r>
        <w:r>
          <w:rPr>
            <w:noProof/>
            <w:webHidden/>
          </w:rPr>
          <w:tab/>
        </w:r>
        <w:r>
          <w:rPr>
            <w:noProof/>
            <w:webHidden/>
          </w:rPr>
          <w:fldChar w:fldCharType="begin"/>
        </w:r>
        <w:r>
          <w:rPr>
            <w:noProof/>
            <w:webHidden/>
          </w:rPr>
          <w:instrText xml:space="preserve"> PAGEREF _Toc209539223 \h </w:instrText>
        </w:r>
        <w:r>
          <w:rPr>
            <w:noProof/>
            <w:webHidden/>
          </w:rPr>
        </w:r>
        <w:r>
          <w:rPr>
            <w:noProof/>
            <w:webHidden/>
          </w:rPr>
          <w:fldChar w:fldCharType="separate"/>
        </w:r>
        <w:r>
          <w:rPr>
            <w:noProof/>
            <w:webHidden/>
          </w:rPr>
          <w:t>23</w:t>
        </w:r>
        <w:r>
          <w:rPr>
            <w:noProof/>
            <w:webHidden/>
          </w:rPr>
          <w:fldChar w:fldCharType="end"/>
        </w:r>
      </w:hyperlink>
    </w:p>
    <w:p w14:paraId="17CA1285" w14:textId="1FDFBE51"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24" w:history="1">
        <w:r w:rsidRPr="00EB5581">
          <w:rPr>
            <w:rStyle w:val="Hyperlink"/>
            <w:noProof/>
          </w:rPr>
          <w:t>21.</w:t>
        </w:r>
        <w:r>
          <w:rPr>
            <w:rFonts w:asciiTheme="minorHAnsi" w:eastAsiaTheme="minorEastAsia" w:hAnsiTheme="minorHAnsi" w:cstheme="minorBidi"/>
            <w:noProof/>
            <w:kern w:val="2"/>
            <w:sz w:val="24"/>
            <w:szCs w:val="24"/>
            <w14:ligatures w14:val="standardContextual"/>
          </w:rPr>
          <w:tab/>
        </w:r>
        <w:r w:rsidRPr="00EB5581">
          <w:rPr>
            <w:rStyle w:val="Hyperlink"/>
            <w:noProof/>
          </w:rPr>
          <w:t>Asking Jurors to Put Themselves in the Victim’s Position</w:t>
        </w:r>
        <w:r>
          <w:rPr>
            <w:noProof/>
            <w:webHidden/>
          </w:rPr>
          <w:tab/>
        </w:r>
        <w:r>
          <w:rPr>
            <w:noProof/>
            <w:webHidden/>
          </w:rPr>
          <w:fldChar w:fldCharType="begin"/>
        </w:r>
        <w:r>
          <w:rPr>
            <w:noProof/>
            <w:webHidden/>
          </w:rPr>
          <w:instrText xml:space="preserve"> PAGEREF _Toc209539224 \h </w:instrText>
        </w:r>
        <w:r>
          <w:rPr>
            <w:noProof/>
            <w:webHidden/>
          </w:rPr>
        </w:r>
        <w:r>
          <w:rPr>
            <w:noProof/>
            <w:webHidden/>
          </w:rPr>
          <w:fldChar w:fldCharType="separate"/>
        </w:r>
        <w:r>
          <w:rPr>
            <w:noProof/>
            <w:webHidden/>
          </w:rPr>
          <w:t>24</w:t>
        </w:r>
        <w:r>
          <w:rPr>
            <w:noProof/>
            <w:webHidden/>
          </w:rPr>
          <w:fldChar w:fldCharType="end"/>
        </w:r>
      </w:hyperlink>
    </w:p>
    <w:p w14:paraId="3E35262C" w14:textId="1D47006F"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25" w:history="1">
        <w:r w:rsidRPr="00EB5581">
          <w:rPr>
            <w:rStyle w:val="Hyperlink"/>
            <w:noProof/>
          </w:rPr>
          <w:t>22.</w:t>
        </w:r>
        <w:r>
          <w:rPr>
            <w:rFonts w:asciiTheme="minorHAnsi" w:eastAsiaTheme="minorEastAsia" w:hAnsiTheme="minorHAnsi" w:cstheme="minorBidi"/>
            <w:noProof/>
            <w:kern w:val="2"/>
            <w:sz w:val="24"/>
            <w:szCs w:val="24"/>
            <w14:ligatures w14:val="standardContextual"/>
          </w:rPr>
          <w:tab/>
        </w:r>
        <w:r w:rsidRPr="00EB5581">
          <w:rPr>
            <w:rStyle w:val="Hyperlink"/>
            <w:noProof/>
          </w:rPr>
          <w:t>Role of the Jury</w:t>
        </w:r>
        <w:r>
          <w:rPr>
            <w:noProof/>
            <w:webHidden/>
          </w:rPr>
          <w:tab/>
        </w:r>
        <w:r>
          <w:rPr>
            <w:noProof/>
            <w:webHidden/>
          </w:rPr>
          <w:fldChar w:fldCharType="begin"/>
        </w:r>
        <w:r>
          <w:rPr>
            <w:noProof/>
            <w:webHidden/>
          </w:rPr>
          <w:instrText xml:space="preserve"> PAGEREF _Toc209539225 \h </w:instrText>
        </w:r>
        <w:r>
          <w:rPr>
            <w:noProof/>
            <w:webHidden/>
          </w:rPr>
        </w:r>
        <w:r>
          <w:rPr>
            <w:noProof/>
            <w:webHidden/>
          </w:rPr>
          <w:fldChar w:fldCharType="separate"/>
        </w:r>
        <w:r>
          <w:rPr>
            <w:noProof/>
            <w:webHidden/>
          </w:rPr>
          <w:t>25</w:t>
        </w:r>
        <w:r>
          <w:rPr>
            <w:noProof/>
            <w:webHidden/>
          </w:rPr>
          <w:fldChar w:fldCharType="end"/>
        </w:r>
      </w:hyperlink>
    </w:p>
    <w:p w14:paraId="1806461F" w14:textId="39A8CEB2"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26" w:history="1">
        <w:r w:rsidRPr="00EB5581">
          <w:rPr>
            <w:rStyle w:val="Hyperlink"/>
            <w:noProof/>
          </w:rPr>
          <w:t>23.</w:t>
        </w:r>
        <w:r>
          <w:rPr>
            <w:rFonts w:asciiTheme="minorHAnsi" w:eastAsiaTheme="minorEastAsia" w:hAnsiTheme="minorHAnsi" w:cstheme="minorBidi"/>
            <w:noProof/>
            <w:kern w:val="2"/>
            <w:sz w:val="24"/>
            <w:szCs w:val="24"/>
            <w14:ligatures w14:val="standardContextual"/>
          </w:rPr>
          <w:tab/>
        </w:r>
        <w:r w:rsidRPr="00EB5581">
          <w:rPr>
            <w:rStyle w:val="Hyperlink"/>
            <w:noProof/>
          </w:rPr>
          <w:t>Arguments Concerning Punishment or Penalty</w:t>
        </w:r>
        <w:r>
          <w:rPr>
            <w:noProof/>
            <w:webHidden/>
          </w:rPr>
          <w:tab/>
        </w:r>
        <w:r>
          <w:rPr>
            <w:noProof/>
            <w:webHidden/>
          </w:rPr>
          <w:fldChar w:fldCharType="begin"/>
        </w:r>
        <w:r>
          <w:rPr>
            <w:noProof/>
            <w:webHidden/>
          </w:rPr>
          <w:instrText xml:space="preserve"> PAGEREF _Toc209539226 \h </w:instrText>
        </w:r>
        <w:r>
          <w:rPr>
            <w:noProof/>
            <w:webHidden/>
          </w:rPr>
        </w:r>
        <w:r>
          <w:rPr>
            <w:noProof/>
            <w:webHidden/>
          </w:rPr>
          <w:fldChar w:fldCharType="separate"/>
        </w:r>
        <w:r>
          <w:rPr>
            <w:noProof/>
            <w:webHidden/>
          </w:rPr>
          <w:t>25</w:t>
        </w:r>
        <w:r>
          <w:rPr>
            <w:noProof/>
            <w:webHidden/>
          </w:rPr>
          <w:fldChar w:fldCharType="end"/>
        </w:r>
      </w:hyperlink>
    </w:p>
    <w:p w14:paraId="43BCC876" w14:textId="6A4AFD36"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27" w:history="1">
        <w:r w:rsidRPr="00EB5581">
          <w:rPr>
            <w:rStyle w:val="Hyperlink"/>
            <w:noProof/>
          </w:rPr>
          <w:t>24.</w:t>
        </w:r>
        <w:r>
          <w:rPr>
            <w:rFonts w:asciiTheme="minorHAnsi" w:eastAsiaTheme="minorEastAsia" w:hAnsiTheme="minorHAnsi" w:cstheme="minorBidi"/>
            <w:noProof/>
            <w:kern w:val="2"/>
            <w:sz w:val="24"/>
            <w:szCs w:val="24"/>
            <w14:ligatures w14:val="standardContextual"/>
          </w:rPr>
          <w:tab/>
        </w:r>
        <w:r w:rsidRPr="00EB5581">
          <w:rPr>
            <w:rStyle w:val="Hyperlink"/>
            <w:noProof/>
          </w:rPr>
          <w:t>Appealing to Juror’s Fears</w:t>
        </w:r>
        <w:r>
          <w:rPr>
            <w:noProof/>
            <w:webHidden/>
          </w:rPr>
          <w:tab/>
        </w:r>
        <w:r>
          <w:rPr>
            <w:noProof/>
            <w:webHidden/>
          </w:rPr>
          <w:fldChar w:fldCharType="begin"/>
        </w:r>
        <w:r>
          <w:rPr>
            <w:noProof/>
            <w:webHidden/>
          </w:rPr>
          <w:instrText xml:space="preserve"> PAGEREF _Toc209539227 \h </w:instrText>
        </w:r>
        <w:r>
          <w:rPr>
            <w:noProof/>
            <w:webHidden/>
          </w:rPr>
        </w:r>
        <w:r>
          <w:rPr>
            <w:noProof/>
            <w:webHidden/>
          </w:rPr>
          <w:fldChar w:fldCharType="separate"/>
        </w:r>
        <w:r>
          <w:rPr>
            <w:noProof/>
            <w:webHidden/>
          </w:rPr>
          <w:t>26</w:t>
        </w:r>
        <w:r>
          <w:rPr>
            <w:noProof/>
            <w:webHidden/>
          </w:rPr>
          <w:fldChar w:fldCharType="end"/>
        </w:r>
      </w:hyperlink>
    </w:p>
    <w:p w14:paraId="3C632F5C" w14:textId="24AD6F35" w:rsidR="00A63790" w:rsidRDefault="00A63790">
      <w:pPr>
        <w:pStyle w:val="TOC3"/>
        <w:rPr>
          <w:rFonts w:asciiTheme="minorHAnsi" w:eastAsiaTheme="minorEastAsia" w:hAnsiTheme="minorHAnsi" w:cstheme="minorBidi"/>
          <w:noProof/>
          <w:kern w:val="2"/>
          <w:sz w:val="24"/>
          <w:szCs w:val="24"/>
          <w14:ligatures w14:val="standardContextual"/>
        </w:rPr>
      </w:pPr>
      <w:hyperlink w:anchor="_Toc209539228" w:history="1">
        <w:r w:rsidRPr="00EB5581">
          <w:rPr>
            <w:rStyle w:val="Hyperlink"/>
            <w:noProof/>
          </w:rPr>
          <w:t>25.</w:t>
        </w:r>
        <w:r>
          <w:rPr>
            <w:rFonts w:asciiTheme="minorHAnsi" w:eastAsiaTheme="minorEastAsia" w:hAnsiTheme="minorHAnsi" w:cstheme="minorBidi"/>
            <w:noProof/>
            <w:kern w:val="2"/>
            <w:sz w:val="24"/>
            <w:szCs w:val="24"/>
            <w14:ligatures w14:val="standardContextual"/>
          </w:rPr>
          <w:tab/>
        </w:r>
        <w:r w:rsidRPr="00EB5581">
          <w:rPr>
            <w:rStyle w:val="Hyperlink"/>
            <w:noProof/>
          </w:rPr>
          <w:t>Appellate Review and Other Post-Conviction Procedures</w:t>
        </w:r>
        <w:r>
          <w:rPr>
            <w:noProof/>
            <w:webHidden/>
          </w:rPr>
          <w:tab/>
        </w:r>
        <w:r>
          <w:rPr>
            <w:noProof/>
            <w:webHidden/>
          </w:rPr>
          <w:fldChar w:fldCharType="begin"/>
        </w:r>
        <w:r>
          <w:rPr>
            <w:noProof/>
            <w:webHidden/>
          </w:rPr>
          <w:instrText xml:space="preserve"> PAGEREF _Toc209539228 \h </w:instrText>
        </w:r>
        <w:r>
          <w:rPr>
            <w:noProof/>
            <w:webHidden/>
          </w:rPr>
        </w:r>
        <w:r>
          <w:rPr>
            <w:noProof/>
            <w:webHidden/>
          </w:rPr>
          <w:fldChar w:fldCharType="separate"/>
        </w:r>
        <w:r>
          <w:rPr>
            <w:noProof/>
            <w:webHidden/>
          </w:rPr>
          <w:t>26</w:t>
        </w:r>
        <w:r>
          <w:rPr>
            <w:noProof/>
            <w:webHidden/>
          </w:rPr>
          <w:fldChar w:fldCharType="end"/>
        </w:r>
      </w:hyperlink>
    </w:p>
    <w:p w14:paraId="441CA3C1" w14:textId="2F72154E" w:rsidR="00A63790" w:rsidRDefault="00A63790">
      <w:pPr>
        <w:pStyle w:val="TOC1"/>
        <w:rPr>
          <w:rFonts w:asciiTheme="minorHAnsi" w:eastAsiaTheme="minorEastAsia" w:hAnsiTheme="minorHAnsi" w:cstheme="minorBidi"/>
          <w:noProof/>
          <w:kern w:val="2"/>
          <w:sz w:val="24"/>
          <w:szCs w:val="24"/>
          <w14:ligatures w14:val="standardContextual"/>
        </w:rPr>
      </w:pPr>
      <w:hyperlink w:anchor="_Toc209539229" w:history="1">
        <w:r w:rsidRPr="00EB5581">
          <w:rPr>
            <w:rStyle w:val="Hyperlink"/>
            <w:noProof/>
          </w:rPr>
          <w:t>VI.</w:t>
        </w:r>
        <w:r>
          <w:rPr>
            <w:rFonts w:asciiTheme="minorHAnsi" w:eastAsiaTheme="minorEastAsia" w:hAnsiTheme="minorHAnsi" w:cstheme="minorBidi"/>
            <w:noProof/>
            <w:kern w:val="2"/>
            <w:sz w:val="24"/>
            <w:szCs w:val="24"/>
            <w14:ligatures w14:val="standardContextual"/>
          </w:rPr>
          <w:tab/>
        </w:r>
        <w:r w:rsidRPr="00EB5581">
          <w:rPr>
            <w:rStyle w:val="Hyperlink"/>
            <w:noProof/>
          </w:rPr>
          <w:t>Judge’s Role.</w:t>
        </w:r>
        <w:r>
          <w:rPr>
            <w:noProof/>
            <w:webHidden/>
          </w:rPr>
          <w:tab/>
        </w:r>
        <w:r>
          <w:rPr>
            <w:noProof/>
            <w:webHidden/>
          </w:rPr>
          <w:fldChar w:fldCharType="begin"/>
        </w:r>
        <w:r>
          <w:rPr>
            <w:noProof/>
            <w:webHidden/>
          </w:rPr>
          <w:instrText xml:space="preserve"> PAGEREF _Toc209539229 \h </w:instrText>
        </w:r>
        <w:r>
          <w:rPr>
            <w:noProof/>
            <w:webHidden/>
          </w:rPr>
        </w:r>
        <w:r>
          <w:rPr>
            <w:noProof/>
            <w:webHidden/>
          </w:rPr>
          <w:fldChar w:fldCharType="separate"/>
        </w:r>
        <w:r>
          <w:rPr>
            <w:noProof/>
            <w:webHidden/>
          </w:rPr>
          <w:t>26</w:t>
        </w:r>
        <w:r>
          <w:rPr>
            <w:noProof/>
            <w:webHidden/>
          </w:rPr>
          <w:fldChar w:fldCharType="end"/>
        </w:r>
      </w:hyperlink>
    </w:p>
    <w:p w14:paraId="19C2F9F5" w14:textId="3CF4AA5D"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230" w:history="1">
        <w:r w:rsidRPr="00EB5581">
          <w:rPr>
            <w:rStyle w:val="Hyperlink"/>
            <w:noProof/>
          </w:rPr>
          <w:t>A.</w:t>
        </w:r>
        <w:r>
          <w:rPr>
            <w:rFonts w:asciiTheme="minorHAnsi" w:eastAsiaTheme="minorEastAsia" w:hAnsiTheme="minorHAnsi" w:cstheme="minorBidi"/>
            <w:noProof/>
            <w:kern w:val="2"/>
            <w:sz w:val="24"/>
            <w:szCs w:val="24"/>
            <w14:ligatures w14:val="standardContextual"/>
          </w:rPr>
          <w:tab/>
        </w:r>
        <w:r w:rsidRPr="00EB5581">
          <w:rPr>
            <w:rStyle w:val="Hyperlink"/>
            <w:noProof/>
          </w:rPr>
          <w:t>Generally</w:t>
        </w:r>
        <w:r>
          <w:rPr>
            <w:noProof/>
            <w:webHidden/>
          </w:rPr>
          <w:tab/>
        </w:r>
        <w:r>
          <w:rPr>
            <w:noProof/>
            <w:webHidden/>
          </w:rPr>
          <w:fldChar w:fldCharType="begin"/>
        </w:r>
        <w:r>
          <w:rPr>
            <w:noProof/>
            <w:webHidden/>
          </w:rPr>
          <w:instrText xml:space="preserve"> PAGEREF _Toc209539230 \h </w:instrText>
        </w:r>
        <w:r>
          <w:rPr>
            <w:noProof/>
            <w:webHidden/>
          </w:rPr>
        </w:r>
        <w:r>
          <w:rPr>
            <w:noProof/>
            <w:webHidden/>
          </w:rPr>
          <w:fldChar w:fldCharType="separate"/>
        </w:r>
        <w:r>
          <w:rPr>
            <w:noProof/>
            <w:webHidden/>
          </w:rPr>
          <w:t>26</w:t>
        </w:r>
        <w:r>
          <w:rPr>
            <w:noProof/>
            <w:webHidden/>
          </w:rPr>
          <w:fldChar w:fldCharType="end"/>
        </w:r>
      </w:hyperlink>
    </w:p>
    <w:p w14:paraId="67FBF37C" w14:textId="420382C7"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231" w:history="1">
        <w:r w:rsidRPr="00EB5581">
          <w:rPr>
            <w:rStyle w:val="Hyperlink"/>
            <w:noProof/>
          </w:rPr>
          <w:t>B.</w:t>
        </w:r>
        <w:r>
          <w:rPr>
            <w:rFonts w:asciiTheme="minorHAnsi" w:eastAsiaTheme="minorEastAsia" w:hAnsiTheme="minorHAnsi" w:cstheme="minorBidi"/>
            <w:noProof/>
            <w:kern w:val="2"/>
            <w:sz w:val="24"/>
            <w:szCs w:val="24"/>
            <w14:ligatures w14:val="standardContextual"/>
          </w:rPr>
          <w:tab/>
        </w:r>
        <w:r w:rsidRPr="00EB5581">
          <w:rPr>
            <w:rStyle w:val="Hyperlink"/>
            <w:noProof/>
          </w:rPr>
          <w:t>Remarks to Jurors.</w:t>
        </w:r>
        <w:r>
          <w:rPr>
            <w:noProof/>
            <w:webHidden/>
          </w:rPr>
          <w:tab/>
        </w:r>
        <w:r>
          <w:rPr>
            <w:noProof/>
            <w:webHidden/>
          </w:rPr>
          <w:fldChar w:fldCharType="begin"/>
        </w:r>
        <w:r>
          <w:rPr>
            <w:noProof/>
            <w:webHidden/>
          </w:rPr>
          <w:instrText xml:space="preserve"> PAGEREF _Toc209539231 \h </w:instrText>
        </w:r>
        <w:r>
          <w:rPr>
            <w:noProof/>
            <w:webHidden/>
          </w:rPr>
        </w:r>
        <w:r>
          <w:rPr>
            <w:noProof/>
            <w:webHidden/>
          </w:rPr>
          <w:fldChar w:fldCharType="separate"/>
        </w:r>
        <w:r>
          <w:rPr>
            <w:noProof/>
            <w:webHidden/>
          </w:rPr>
          <w:t>27</w:t>
        </w:r>
        <w:r>
          <w:rPr>
            <w:noProof/>
            <w:webHidden/>
          </w:rPr>
          <w:fldChar w:fldCharType="end"/>
        </w:r>
      </w:hyperlink>
    </w:p>
    <w:p w14:paraId="47B8C0D3" w14:textId="3AB8624C"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232" w:history="1">
        <w:r w:rsidRPr="00EB5581">
          <w:rPr>
            <w:rStyle w:val="Hyperlink"/>
            <w:noProof/>
          </w:rPr>
          <w:t>C.</w:t>
        </w:r>
        <w:r>
          <w:rPr>
            <w:rFonts w:asciiTheme="minorHAnsi" w:eastAsiaTheme="minorEastAsia" w:hAnsiTheme="minorHAnsi" w:cstheme="minorBidi"/>
            <w:noProof/>
            <w:kern w:val="2"/>
            <w:sz w:val="24"/>
            <w:szCs w:val="24"/>
            <w14:ligatures w14:val="standardContextual"/>
          </w:rPr>
          <w:tab/>
        </w:r>
        <w:r w:rsidRPr="00EB5581">
          <w:rPr>
            <w:rStyle w:val="Hyperlink"/>
            <w:noProof/>
          </w:rPr>
          <w:t>Curative Instructions</w:t>
        </w:r>
        <w:r>
          <w:rPr>
            <w:noProof/>
            <w:webHidden/>
          </w:rPr>
          <w:tab/>
        </w:r>
        <w:r>
          <w:rPr>
            <w:noProof/>
            <w:webHidden/>
          </w:rPr>
          <w:fldChar w:fldCharType="begin"/>
        </w:r>
        <w:r>
          <w:rPr>
            <w:noProof/>
            <w:webHidden/>
          </w:rPr>
          <w:instrText xml:space="preserve"> PAGEREF _Toc209539232 \h </w:instrText>
        </w:r>
        <w:r>
          <w:rPr>
            <w:noProof/>
            <w:webHidden/>
          </w:rPr>
        </w:r>
        <w:r>
          <w:rPr>
            <w:noProof/>
            <w:webHidden/>
          </w:rPr>
          <w:fldChar w:fldCharType="separate"/>
        </w:r>
        <w:r>
          <w:rPr>
            <w:noProof/>
            <w:webHidden/>
          </w:rPr>
          <w:t>27</w:t>
        </w:r>
        <w:r>
          <w:rPr>
            <w:noProof/>
            <w:webHidden/>
          </w:rPr>
          <w:fldChar w:fldCharType="end"/>
        </w:r>
      </w:hyperlink>
    </w:p>
    <w:p w14:paraId="15CA4442" w14:textId="64C2EC54" w:rsidR="00A63790" w:rsidRDefault="00A63790">
      <w:pPr>
        <w:pStyle w:val="TOC2"/>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209539233" w:history="1">
        <w:r w:rsidRPr="00EB5581">
          <w:rPr>
            <w:rStyle w:val="Hyperlink"/>
            <w:noProof/>
          </w:rPr>
          <w:t>D.</w:t>
        </w:r>
        <w:r>
          <w:rPr>
            <w:rFonts w:asciiTheme="minorHAnsi" w:eastAsiaTheme="minorEastAsia" w:hAnsiTheme="minorHAnsi" w:cstheme="minorBidi"/>
            <w:noProof/>
            <w:kern w:val="2"/>
            <w:sz w:val="24"/>
            <w:szCs w:val="24"/>
            <w14:ligatures w14:val="standardContextual"/>
          </w:rPr>
          <w:tab/>
        </w:r>
        <w:r w:rsidRPr="00EB5581">
          <w:rPr>
            <w:rStyle w:val="Hyperlink"/>
            <w:noProof/>
          </w:rPr>
          <w:t>Standard of Review</w:t>
        </w:r>
        <w:r>
          <w:rPr>
            <w:noProof/>
            <w:webHidden/>
          </w:rPr>
          <w:tab/>
        </w:r>
        <w:r>
          <w:rPr>
            <w:noProof/>
            <w:webHidden/>
          </w:rPr>
          <w:fldChar w:fldCharType="begin"/>
        </w:r>
        <w:r>
          <w:rPr>
            <w:noProof/>
            <w:webHidden/>
          </w:rPr>
          <w:instrText xml:space="preserve"> PAGEREF _Toc209539233 \h </w:instrText>
        </w:r>
        <w:r>
          <w:rPr>
            <w:noProof/>
            <w:webHidden/>
          </w:rPr>
        </w:r>
        <w:r>
          <w:rPr>
            <w:noProof/>
            <w:webHidden/>
          </w:rPr>
          <w:fldChar w:fldCharType="separate"/>
        </w:r>
        <w:r>
          <w:rPr>
            <w:noProof/>
            <w:webHidden/>
          </w:rPr>
          <w:t>28</w:t>
        </w:r>
        <w:r>
          <w:rPr>
            <w:noProof/>
            <w:webHidden/>
          </w:rPr>
          <w:fldChar w:fldCharType="end"/>
        </w:r>
      </w:hyperlink>
    </w:p>
    <w:p w14:paraId="30D82AE0" w14:textId="0BA95725" w:rsidR="00CF4FBE" w:rsidRDefault="00A63790" w:rsidP="00CF4FBE">
      <w:pPr>
        <w:spacing w:after="0"/>
        <w:rPr>
          <w:rFonts w:ascii="Arial" w:hAnsi="Arial" w:cs="Arial"/>
        </w:rPr>
      </w:pPr>
      <w:r>
        <w:rPr>
          <w:rFonts w:ascii="Arial" w:hAnsi="Arial" w:cs="Arial"/>
        </w:rPr>
        <w:fldChar w:fldCharType="end"/>
      </w:r>
    </w:p>
    <w:p w14:paraId="6FF1AF76" w14:textId="77777777" w:rsidR="00CF4FBE" w:rsidRPr="00641284" w:rsidRDefault="00CF4FBE" w:rsidP="00DB30BF">
      <w:pPr>
        <w:spacing w:after="0" w:line="240" w:lineRule="auto"/>
        <w:rPr>
          <w:rFonts w:ascii="Arial" w:hAnsi="Arial" w:cs="Arial"/>
        </w:rPr>
      </w:pPr>
    </w:p>
    <w:p w14:paraId="21581AFF" w14:textId="074D20D0" w:rsidR="003533E8" w:rsidRDefault="007B6333" w:rsidP="00DB30BF">
      <w:pPr>
        <w:pStyle w:val="ListParagraph"/>
        <w:numPr>
          <w:ilvl w:val="0"/>
          <w:numId w:val="1"/>
        </w:numPr>
        <w:spacing w:after="0" w:line="240" w:lineRule="auto"/>
        <w:rPr>
          <w:rFonts w:ascii="Arial" w:hAnsi="Arial" w:cs="Arial"/>
        </w:rPr>
      </w:pPr>
      <w:bookmarkStart w:id="0" w:name="_Toc402880152"/>
      <w:bookmarkStart w:id="1" w:name="_Toc402880710"/>
      <w:bookmarkStart w:id="2" w:name="_Toc209539181"/>
      <w:r w:rsidRPr="00A002E8">
        <w:rPr>
          <w:rStyle w:val="Heading1Char"/>
        </w:rPr>
        <w:t>Introduction</w:t>
      </w:r>
      <w:bookmarkEnd w:id="0"/>
      <w:bookmarkEnd w:id="1"/>
      <w:bookmarkEnd w:id="2"/>
      <w:r w:rsidRPr="005C36DE">
        <w:rPr>
          <w:rFonts w:ascii="Arial" w:hAnsi="Arial" w:cs="Arial"/>
          <w:b/>
          <w:bCs/>
        </w:rPr>
        <w:t>.</w:t>
      </w:r>
      <w:r w:rsidRPr="005C36DE">
        <w:rPr>
          <w:rFonts w:ascii="Arial" w:hAnsi="Arial" w:cs="Arial"/>
        </w:rPr>
        <w:t xml:space="preserve"> This </w:t>
      </w:r>
      <w:r w:rsidR="009A615F">
        <w:rPr>
          <w:rFonts w:ascii="Arial" w:hAnsi="Arial" w:cs="Arial"/>
        </w:rPr>
        <w:t>chapter</w:t>
      </w:r>
      <w:r w:rsidRPr="005C36DE">
        <w:rPr>
          <w:rFonts w:ascii="Arial" w:hAnsi="Arial" w:cs="Arial"/>
        </w:rPr>
        <w:t xml:space="preserve"> covers </w:t>
      </w:r>
      <w:r w:rsidR="009D6423">
        <w:rPr>
          <w:rFonts w:ascii="Arial" w:hAnsi="Arial" w:cs="Arial"/>
        </w:rPr>
        <w:t xml:space="preserve">many </w:t>
      </w:r>
      <w:r w:rsidRPr="005C36DE">
        <w:rPr>
          <w:rFonts w:ascii="Arial" w:hAnsi="Arial" w:cs="Arial"/>
        </w:rPr>
        <w:t xml:space="preserve">recurring issues that arise regarding the content of opening </w:t>
      </w:r>
      <w:r w:rsidR="00B108A8">
        <w:rPr>
          <w:rFonts w:ascii="Arial" w:hAnsi="Arial" w:cs="Arial"/>
        </w:rPr>
        <w:t xml:space="preserve">statements </w:t>
      </w:r>
      <w:r w:rsidRPr="005C36DE">
        <w:rPr>
          <w:rFonts w:ascii="Arial" w:hAnsi="Arial" w:cs="Arial"/>
        </w:rPr>
        <w:t>and closing arguments to the jury.</w:t>
      </w:r>
      <w:r w:rsidR="00BD6170">
        <w:rPr>
          <w:rFonts w:ascii="Arial" w:hAnsi="Arial" w:cs="Arial"/>
        </w:rPr>
        <w:t xml:space="preserve"> </w:t>
      </w:r>
      <w:r w:rsidR="009D6423">
        <w:rPr>
          <w:rFonts w:ascii="Arial" w:hAnsi="Arial" w:cs="Arial"/>
        </w:rPr>
        <w:t xml:space="preserve">This section does not discuss </w:t>
      </w:r>
      <w:r w:rsidR="009D6423">
        <w:rPr>
          <w:rFonts w:ascii="Arial" w:hAnsi="Arial" w:cs="Arial"/>
          <w:i/>
          <w:iCs/>
        </w:rPr>
        <w:t>Harbison</w:t>
      </w:r>
      <w:r w:rsidR="009D6423">
        <w:rPr>
          <w:rFonts w:ascii="Arial" w:hAnsi="Arial" w:cs="Arial"/>
        </w:rPr>
        <w:t xml:space="preserve"> claims, a special type of ineffective assistance of counsel claim alleging that counsel admitted a defendant’s guilt to the jury without the defendant’s consent. Such claims often arise from statements made during </w:t>
      </w:r>
      <w:r w:rsidR="00B108A8">
        <w:rPr>
          <w:rFonts w:ascii="Arial" w:hAnsi="Arial" w:cs="Arial"/>
        </w:rPr>
        <w:t xml:space="preserve">an </w:t>
      </w:r>
      <w:r w:rsidR="009D6423">
        <w:rPr>
          <w:rFonts w:ascii="Arial" w:hAnsi="Arial" w:cs="Arial"/>
        </w:rPr>
        <w:t xml:space="preserve">opening </w:t>
      </w:r>
      <w:r w:rsidR="00B108A8">
        <w:rPr>
          <w:rFonts w:ascii="Arial" w:hAnsi="Arial" w:cs="Arial"/>
        </w:rPr>
        <w:t xml:space="preserve">statement </w:t>
      </w:r>
      <w:r w:rsidR="009D6423">
        <w:rPr>
          <w:rFonts w:ascii="Arial" w:hAnsi="Arial" w:cs="Arial"/>
        </w:rPr>
        <w:t xml:space="preserve">or closing argument and are discussed in detail in the </w:t>
      </w:r>
      <w:hyperlink r:id="rId8" w:history="1">
        <w:r w:rsidR="009D6423" w:rsidRPr="009D6423">
          <w:rPr>
            <w:rStyle w:val="Hyperlink"/>
            <w:rFonts w:ascii="Arial" w:hAnsi="Arial" w:cs="Arial"/>
          </w:rPr>
          <w:t>Ineffective Assistance of Counsel</w:t>
        </w:r>
      </w:hyperlink>
      <w:r w:rsidR="009D6423">
        <w:rPr>
          <w:rFonts w:ascii="Arial" w:hAnsi="Arial" w:cs="Arial"/>
        </w:rPr>
        <w:t xml:space="preserve"> </w:t>
      </w:r>
      <w:r w:rsidR="00F42A79">
        <w:rPr>
          <w:rFonts w:ascii="Arial" w:hAnsi="Arial" w:cs="Arial"/>
        </w:rPr>
        <w:t>chapter</w:t>
      </w:r>
      <w:r w:rsidR="009D6423">
        <w:rPr>
          <w:rFonts w:ascii="Arial" w:hAnsi="Arial" w:cs="Arial"/>
        </w:rPr>
        <w:t xml:space="preserve"> of this </w:t>
      </w:r>
      <w:proofErr w:type="spellStart"/>
      <w:r w:rsidR="009D6423">
        <w:rPr>
          <w:rFonts w:ascii="Arial" w:hAnsi="Arial" w:cs="Arial"/>
        </w:rPr>
        <w:t>Benchbook</w:t>
      </w:r>
      <w:proofErr w:type="spellEnd"/>
      <w:r w:rsidR="009D6423">
        <w:rPr>
          <w:rFonts w:ascii="Arial" w:hAnsi="Arial" w:cs="Arial"/>
        </w:rPr>
        <w:t>.</w:t>
      </w:r>
    </w:p>
    <w:p w14:paraId="7246A6AB" w14:textId="2DE058E8" w:rsidR="001916F3" w:rsidRPr="003533E8" w:rsidRDefault="003533E8" w:rsidP="003533E8">
      <w:pPr>
        <w:pStyle w:val="ListParagraph"/>
        <w:spacing w:after="0" w:line="240" w:lineRule="auto"/>
        <w:ind w:firstLine="720"/>
        <w:rPr>
          <w:rFonts w:ascii="Arial" w:hAnsi="Arial" w:cs="Arial"/>
        </w:rPr>
      </w:pPr>
      <w:r>
        <w:rPr>
          <w:rFonts w:ascii="Arial" w:hAnsi="Arial" w:cs="Arial"/>
        </w:rPr>
        <w:t xml:space="preserve">Many of the same principles govern the content of both opening statements and closing arguments, and the caselaw sometimes refers to an “opening argument” or a “closing statement.” </w:t>
      </w:r>
      <w:r>
        <w:rPr>
          <w:rFonts w:ascii="Arial" w:hAnsi="Arial" w:cs="Arial"/>
          <w:i/>
          <w:iCs/>
        </w:rPr>
        <w:t>See, e.g.</w:t>
      </w:r>
      <w:r>
        <w:rPr>
          <w:rFonts w:ascii="Arial" w:hAnsi="Arial" w:cs="Arial"/>
        </w:rPr>
        <w:t xml:space="preserve">, State v. Prevatte, 356 N.C. 178, 243 </w:t>
      </w:r>
      <w:r w:rsidR="00ED6105">
        <w:rPr>
          <w:rFonts w:ascii="Arial" w:hAnsi="Arial" w:cs="Arial"/>
        </w:rPr>
        <w:t xml:space="preserve">(2002) </w:t>
      </w:r>
      <w:r>
        <w:rPr>
          <w:rFonts w:ascii="Arial" w:hAnsi="Arial" w:cs="Arial"/>
        </w:rPr>
        <w:t>(“opening argument”); State v. Tart, 372 N.C. 73</w:t>
      </w:r>
      <w:r w:rsidR="00ED6105">
        <w:rPr>
          <w:rFonts w:ascii="Arial" w:hAnsi="Arial" w:cs="Arial"/>
        </w:rPr>
        <w:t xml:space="preserve">, 81 (2019) (“closing statement”). </w:t>
      </w:r>
      <w:r w:rsidR="004135A5">
        <w:rPr>
          <w:rFonts w:ascii="Arial" w:hAnsi="Arial" w:cs="Arial"/>
        </w:rPr>
        <w:t>To distinguish certain aspects of the</w:t>
      </w:r>
      <w:r w:rsidR="00ED6105">
        <w:rPr>
          <w:rFonts w:ascii="Arial" w:hAnsi="Arial" w:cs="Arial"/>
        </w:rPr>
        <w:t xml:space="preserve"> addresses and to maintain consistency with statutory language, this </w:t>
      </w:r>
      <w:r w:rsidR="00B461E0">
        <w:rPr>
          <w:rFonts w:ascii="Arial" w:hAnsi="Arial" w:cs="Arial"/>
        </w:rPr>
        <w:t>chapter</w:t>
      </w:r>
      <w:r w:rsidR="00ED6105">
        <w:rPr>
          <w:rFonts w:ascii="Arial" w:hAnsi="Arial" w:cs="Arial"/>
        </w:rPr>
        <w:t xml:space="preserve"> uses the terminology “opening statement” and “closing argument.”</w:t>
      </w:r>
    </w:p>
    <w:p w14:paraId="4088DB2B" w14:textId="77777777" w:rsidR="00C02C0F" w:rsidRDefault="00C02C0F" w:rsidP="00DB30BF">
      <w:pPr>
        <w:pStyle w:val="ListParagraph"/>
        <w:spacing w:after="0" w:line="240" w:lineRule="auto"/>
        <w:rPr>
          <w:rFonts w:ascii="Arial" w:hAnsi="Arial" w:cs="Arial"/>
        </w:rPr>
      </w:pPr>
    </w:p>
    <w:p w14:paraId="2D8B37B0" w14:textId="42F79CAF" w:rsidR="00E26597" w:rsidRDefault="00997666" w:rsidP="00DB30BF">
      <w:pPr>
        <w:pStyle w:val="ListParagraph"/>
        <w:numPr>
          <w:ilvl w:val="0"/>
          <w:numId w:val="1"/>
        </w:numPr>
        <w:spacing w:after="0" w:line="240" w:lineRule="auto"/>
        <w:rPr>
          <w:rFonts w:ascii="Arial" w:hAnsi="Arial" w:cs="Arial"/>
        </w:rPr>
      </w:pPr>
      <w:bookmarkStart w:id="3" w:name="_Toc209539182"/>
      <w:r>
        <w:rPr>
          <w:rStyle w:val="Heading1Char"/>
        </w:rPr>
        <w:t xml:space="preserve">Timing, </w:t>
      </w:r>
      <w:r w:rsidR="00C02C0F" w:rsidRPr="00C02C0F">
        <w:rPr>
          <w:rStyle w:val="Heading1Char"/>
        </w:rPr>
        <w:t>Number</w:t>
      </w:r>
      <w:r>
        <w:rPr>
          <w:rStyle w:val="Heading1Char"/>
        </w:rPr>
        <w:t>,</w:t>
      </w:r>
      <w:r w:rsidR="00C02C0F" w:rsidRPr="00C02C0F">
        <w:rPr>
          <w:rStyle w:val="Heading1Char"/>
        </w:rPr>
        <w:t xml:space="preserve"> Duration</w:t>
      </w:r>
      <w:r w:rsidR="00FE3085">
        <w:rPr>
          <w:rStyle w:val="Heading1Char"/>
        </w:rPr>
        <w:t>, and Order</w:t>
      </w:r>
      <w:r w:rsidR="00C02C0F" w:rsidRPr="00C02C0F">
        <w:rPr>
          <w:rStyle w:val="Heading1Char"/>
        </w:rPr>
        <w:t xml:space="preserve"> of </w:t>
      </w:r>
      <w:r w:rsidR="003F4B75">
        <w:rPr>
          <w:rStyle w:val="Heading1Char"/>
        </w:rPr>
        <w:t xml:space="preserve">Statements and </w:t>
      </w:r>
      <w:r w:rsidR="00C02C0F" w:rsidRPr="00C02C0F">
        <w:rPr>
          <w:rStyle w:val="Heading1Char"/>
        </w:rPr>
        <w:t>Arguments</w:t>
      </w:r>
      <w:bookmarkEnd w:id="3"/>
      <w:r w:rsidR="00C02C0F">
        <w:rPr>
          <w:rFonts w:ascii="Arial" w:hAnsi="Arial" w:cs="Arial"/>
          <w:b/>
          <w:bCs/>
        </w:rPr>
        <w:t>.</w:t>
      </w:r>
      <w:r w:rsidR="00C02C0F" w:rsidRPr="00C02C0F">
        <w:rPr>
          <w:rFonts w:ascii="Arial" w:hAnsi="Arial" w:cs="Arial"/>
        </w:rPr>
        <w:t xml:space="preserve"> </w:t>
      </w:r>
    </w:p>
    <w:p w14:paraId="6CDBD1FE" w14:textId="77777777" w:rsidR="00C931CF" w:rsidRPr="00C931CF" w:rsidRDefault="00E26597" w:rsidP="00E26597">
      <w:pPr>
        <w:pStyle w:val="ListParagraph"/>
        <w:numPr>
          <w:ilvl w:val="0"/>
          <w:numId w:val="19"/>
        </w:numPr>
        <w:spacing w:after="0" w:line="240" w:lineRule="auto"/>
        <w:ind w:left="1440" w:hanging="720"/>
        <w:rPr>
          <w:rFonts w:ascii="Arial" w:hAnsi="Arial" w:cs="Arial"/>
        </w:rPr>
      </w:pPr>
      <w:bookmarkStart w:id="4" w:name="_Toc209539183"/>
      <w:r w:rsidRPr="00E26597">
        <w:rPr>
          <w:rStyle w:val="Heading2Char"/>
        </w:rPr>
        <w:t>Opening Statements</w:t>
      </w:r>
      <w:bookmarkEnd w:id="4"/>
      <w:r>
        <w:rPr>
          <w:rFonts w:ascii="Arial" w:hAnsi="Arial" w:cs="Arial"/>
          <w:b/>
          <w:bCs/>
        </w:rPr>
        <w:t>.</w:t>
      </w:r>
    </w:p>
    <w:p w14:paraId="264A6C2D" w14:textId="571AF1E3" w:rsidR="00B25E9C" w:rsidRDefault="00C931CF" w:rsidP="00C931CF">
      <w:pPr>
        <w:pStyle w:val="ListParagraph"/>
        <w:numPr>
          <w:ilvl w:val="3"/>
          <w:numId w:val="1"/>
        </w:numPr>
        <w:spacing w:after="0" w:line="240" w:lineRule="auto"/>
        <w:ind w:left="2160" w:hanging="720"/>
        <w:rPr>
          <w:rFonts w:ascii="Arial" w:hAnsi="Arial" w:cs="Arial"/>
        </w:rPr>
      </w:pPr>
      <w:r w:rsidRPr="00A63790">
        <w:rPr>
          <w:rFonts w:ascii="Arial" w:hAnsi="Arial" w:cs="Arial"/>
          <w:b/>
          <w:bCs/>
        </w:rPr>
        <w:t>Timing</w:t>
      </w:r>
      <w:r w:rsidRPr="00C931CF">
        <w:rPr>
          <w:rFonts w:ascii="Arial" w:hAnsi="Arial" w:cs="Arial"/>
          <w:b/>
          <w:bCs/>
        </w:rPr>
        <w:t>.</w:t>
      </w:r>
      <w:r>
        <w:rPr>
          <w:rFonts w:ascii="Arial" w:hAnsi="Arial" w:cs="Arial"/>
        </w:rPr>
        <w:t xml:space="preserve"> </w:t>
      </w:r>
      <w:r w:rsidR="00997666">
        <w:rPr>
          <w:rFonts w:ascii="Arial" w:hAnsi="Arial" w:cs="Arial"/>
        </w:rPr>
        <w:t>G.S. 15A-1221(a)</w:t>
      </w:r>
      <w:r w:rsidR="00350C2D">
        <w:rPr>
          <w:rFonts w:ascii="Arial" w:hAnsi="Arial" w:cs="Arial"/>
        </w:rPr>
        <w:t xml:space="preserve"> addresses the order of proceedings in a jury trial</w:t>
      </w:r>
      <w:r w:rsidR="00FE3085">
        <w:rPr>
          <w:rFonts w:ascii="Arial" w:hAnsi="Arial" w:cs="Arial"/>
        </w:rPr>
        <w:t>.</w:t>
      </w:r>
      <w:r w:rsidR="00350C2D">
        <w:rPr>
          <w:rFonts w:ascii="Arial" w:hAnsi="Arial" w:cs="Arial"/>
        </w:rPr>
        <w:t xml:space="preserve"> </w:t>
      </w:r>
      <w:r w:rsidR="00FE3085">
        <w:rPr>
          <w:rFonts w:ascii="Arial" w:hAnsi="Arial" w:cs="Arial"/>
        </w:rPr>
        <w:t>A</w:t>
      </w:r>
      <w:r w:rsidR="00D96783">
        <w:rPr>
          <w:rFonts w:ascii="Arial" w:hAnsi="Arial" w:cs="Arial"/>
        </w:rPr>
        <w:t xml:space="preserve">fter the jury is </w:t>
      </w:r>
      <w:proofErr w:type="gramStart"/>
      <w:r w:rsidR="00D96783">
        <w:rPr>
          <w:rFonts w:ascii="Arial" w:hAnsi="Arial" w:cs="Arial"/>
        </w:rPr>
        <w:t>impaneled</w:t>
      </w:r>
      <w:proofErr w:type="gramEnd"/>
      <w:r w:rsidR="00D96783">
        <w:rPr>
          <w:rFonts w:ascii="Arial" w:hAnsi="Arial" w:cs="Arial"/>
        </w:rPr>
        <w:t xml:space="preserve"> </w:t>
      </w:r>
      <w:r w:rsidR="00997666">
        <w:rPr>
          <w:rFonts w:ascii="Arial" w:hAnsi="Arial" w:cs="Arial"/>
        </w:rPr>
        <w:t xml:space="preserve">each party </w:t>
      </w:r>
      <w:r w:rsidR="00FE3085">
        <w:rPr>
          <w:rFonts w:ascii="Arial" w:hAnsi="Arial" w:cs="Arial"/>
        </w:rPr>
        <w:t xml:space="preserve">must </w:t>
      </w:r>
      <w:r w:rsidR="00997666">
        <w:rPr>
          <w:rFonts w:ascii="Arial" w:hAnsi="Arial" w:cs="Arial"/>
        </w:rPr>
        <w:t xml:space="preserve">be given an opportunity to make </w:t>
      </w:r>
      <w:r w:rsidR="002F5539">
        <w:rPr>
          <w:rFonts w:ascii="Arial" w:hAnsi="Arial" w:cs="Arial"/>
        </w:rPr>
        <w:t>“</w:t>
      </w:r>
      <w:r w:rsidR="00997666">
        <w:rPr>
          <w:rFonts w:ascii="Arial" w:hAnsi="Arial" w:cs="Arial"/>
        </w:rPr>
        <w:t xml:space="preserve">a </w:t>
      </w:r>
      <w:r w:rsidR="002F5539">
        <w:rPr>
          <w:rFonts w:ascii="Arial" w:hAnsi="Arial" w:cs="Arial"/>
        </w:rPr>
        <w:t xml:space="preserve">brief </w:t>
      </w:r>
      <w:r w:rsidR="00997666">
        <w:rPr>
          <w:rFonts w:ascii="Arial" w:hAnsi="Arial" w:cs="Arial"/>
        </w:rPr>
        <w:t>opening statement</w:t>
      </w:r>
      <w:r w:rsidR="002F5539">
        <w:rPr>
          <w:rFonts w:ascii="Arial" w:hAnsi="Arial" w:cs="Arial"/>
        </w:rPr>
        <w:t>”</w:t>
      </w:r>
      <w:r w:rsidR="00D96783">
        <w:rPr>
          <w:rFonts w:ascii="Arial" w:hAnsi="Arial" w:cs="Arial"/>
        </w:rPr>
        <w:t xml:space="preserve"> </w:t>
      </w:r>
      <w:r w:rsidR="00997666">
        <w:rPr>
          <w:rFonts w:ascii="Arial" w:hAnsi="Arial" w:cs="Arial"/>
        </w:rPr>
        <w:t xml:space="preserve">prior to the </w:t>
      </w:r>
      <w:r w:rsidR="00FE3085">
        <w:rPr>
          <w:rFonts w:ascii="Arial" w:hAnsi="Arial" w:cs="Arial"/>
        </w:rPr>
        <w:t>S</w:t>
      </w:r>
      <w:r w:rsidR="00997666">
        <w:rPr>
          <w:rFonts w:ascii="Arial" w:hAnsi="Arial" w:cs="Arial"/>
        </w:rPr>
        <w:t>tate’s presentation of evidence.</w:t>
      </w:r>
      <w:r w:rsidR="00FE3085">
        <w:rPr>
          <w:rFonts w:ascii="Arial" w:hAnsi="Arial" w:cs="Arial"/>
        </w:rPr>
        <w:t xml:space="preserve"> G.S. 15A-1221(a)(4).</w:t>
      </w:r>
      <w:r w:rsidR="00997666">
        <w:rPr>
          <w:rFonts w:ascii="Arial" w:hAnsi="Arial" w:cs="Arial"/>
        </w:rPr>
        <w:t xml:space="preserve"> A</w:t>
      </w:r>
      <w:r w:rsidR="00997666" w:rsidRPr="003B4905">
        <w:rPr>
          <w:rFonts w:ascii="Arial" w:hAnsi="Arial" w:cs="Arial"/>
        </w:rPr>
        <w:t xml:space="preserve"> defendant may “reserve</w:t>
      </w:r>
      <w:r w:rsidR="00997666">
        <w:rPr>
          <w:rFonts w:ascii="Arial" w:hAnsi="Arial" w:cs="Arial"/>
        </w:rPr>
        <w:t>”</w:t>
      </w:r>
      <w:r w:rsidR="00997666" w:rsidRPr="003B4905">
        <w:rPr>
          <w:rFonts w:ascii="Arial" w:hAnsi="Arial" w:cs="Arial"/>
        </w:rPr>
        <w:t xml:space="preserve"> his</w:t>
      </w:r>
      <w:r w:rsidR="00997666">
        <w:rPr>
          <w:rFonts w:ascii="Arial" w:hAnsi="Arial" w:cs="Arial"/>
        </w:rPr>
        <w:t xml:space="preserve"> or her</w:t>
      </w:r>
      <w:r w:rsidR="00997666" w:rsidRPr="003B4905">
        <w:rPr>
          <w:rFonts w:ascii="Arial" w:hAnsi="Arial" w:cs="Arial"/>
        </w:rPr>
        <w:t xml:space="preserve"> opening statement</w:t>
      </w:r>
      <w:r w:rsidR="00997666">
        <w:rPr>
          <w:rFonts w:ascii="Arial" w:hAnsi="Arial" w:cs="Arial"/>
        </w:rPr>
        <w:t xml:space="preserve">. </w:t>
      </w:r>
      <w:r w:rsidR="00997666">
        <w:rPr>
          <w:rFonts w:ascii="Arial" w:hAnsi="Arial" w:cs="Arial"/>
          <w:i/>
          <w:iCs/>
        </w:rPr>
        <w:t>Id</w:t>
      </w:r>
      <w:r w:rsidR="00997666">
        <w:rPr>
          <w:rFonts w:ascii="Arial" w:hAnsi="Arial" w:cs="Arial"/>
        </w:rPr>
        <w:t xml:space="preserve">. If a defendant does so, he or she may precede </w:t>
      </w:r>
      <w:r w:rsidR="00350C2D">
        <w:rPr>
          <w:rFonts w:ascii="Arial" w:hAnsi="Arial" w:cs="Arial"/>
        </w:rPr>
        <w:t>the defense’s presentation of</w:t>
      </w:r>
      <w:r w:rsidR="00997666">
        <w:rPr>
          <w:rFonts w:ascii="Arial" w:hAnsi="Arial" w:cs="Arial"/>
        </w:rPr>
        <w:t xml:space="preserve"> evidence with that statement. G.S. 15A-1221(a)(6). </w:t>
      </w:r>
    </w:p>
    <w:p w14:paraId="1EA337AA" w14:textId="521B2FCB" w:rsidR="00997666" w:rsidRPr="00E60D31" w:rsidRDefault="00B25E9C" w:rsidP="00B25E9C">
      <w:pPr>
        <w:pStyle w:val="ListParagraph"/>
        <w:spacing w:after="0" w:line="240" w:lineRule="auto"/>
        <w:ind w:left="2160" w:firstLine="720"/>
        <w:rPr>
          <w:rFonts w:ascii="Arial" w:hAnsi="Arial" w:cs="Arial"/>
        </w:rPr>
      </w:pPr>
      <w:r>
        <w:rPr>
          <w:rFonts w:ascii="Arial" w:hAnsi="Arial" w:cs="Arial"/>
        </w:rPr>
        <w:t>The trial court has discretion whether to permit the parties to make opening statement</w:t>
      </w:r>
      <w:r w:rsidR="004E2CED">
        <w:rPr>
          <w:rFonts w:ascii="Arial" w:hAnsi="Arial" w:cs="Arial"/>
        </w:rPr>
        <w:t>s</w:t>
      </w:r>
      <w:r>
        <w:rPr>
          <w:rFonts w:ascii="Arial" w:hAnsi="Arial" w:cs="Arial"/>
        </w:rPr>
        <w:t xml:space="preserve"> in a capital sentencing proceeding. </w:t>
      </w:r>
      <w:r w:rsidRPr="00B25E9C">
        <w:rPr>
          <w:rFonts w:ascii="Arial" w:hAnsi="Arial" w:cs="Arial"/>
        </w:rPr>
        <w:t>State v. Call</w:t>
      </w:r>
      <w:r>
        <w:rPr>
          <w:rFonts w:ascii="Arial" w:hAnsi="Arial" w:cs="Arial"/>
        </w:rPr>
        <w:t>, 349 N.C. 382, 396 (1998) (noting that no statute mandates opening statements in a capital sentencing proceeding</w:t>
      </w:r>
      <w:r w:rsidR="004E6FFF">
        <w:rPr>
          <w:rFonts w:ascii="Arial" w:hAnsi="Arial" w:cs="Arial"/>
        </w:rPr>
        <w:t>;</w:t>
      </w:r>
      <w:r>
        <w:rPr>
          <w:rFonts w:ascii="Arial" w:hAnsi="Arial" w:cs="Arial"/>
        </w:rPr>
        <w:t xml:space="preserve"> </w:t>
      </w:r>
      <w:r w:rsidR="00AE646C">
        <w:rPr>
          <w:rFonts w:ascii="Arial" w:hAnsi="Arial" w:cs="Arial"/>
        </w:rPr>
        <w:t>trial court did not</w:t>
      </w:r>
      <w:r>
        <w:rPr>
          <w:rFonts w:ascii="Arial" w:hAnsi="Arial" w:cs="Arial"/>
        </w:rPr>
        <w:t xml:space="preserve"> abuse discretion </w:t>
      </w:r>
      <w:r w:rsidR="00AE646C">
        <w:rPr>
          <w:rFonts w:ascii="Arial" w:hAnsi="Arial" w:cs="Arial"/>
        </w:rPr>
        <w:t xml:space="preserve">by </w:t>
      </w:r>
      <w:r>
        <w:rPr>
          <w:rFonts w:ascii="Arial" w:hAnsi="Arial" w:cs="Arial"/>
        </w:rPr>
        <w:t>forbidding opening statements).</w:t>
      </w:r>
      <w:r w:rsidR="004E6FFF">
        <w:rPr>
          <w:rFonts w:ascii="Arial" w:hAnsi="Arial" w:cs="Arial"/>
        </w:rPr>
        <w:t xml:space="preserve"> The same</w:t>
      </w:r>
      <w:r w:rsidR="00E60D31">
        <w:rPr>
          <w:rFonts w:ascii="Arial" w:hAnsi="Arial" w:cs="Arial"/>
        </w:rPr>
        <w:t xml:space="preserve"> </w:t>
      </w:r>
      <w:r w:rsidR="004E6FFF">
        <w:rPr>
          <w:rFonts w:ascii="Arial" w:hAnsi="Arial" w:cs="Arial"/>
        </w:rPr>
        <w:t xml:space="preserve">principles </w:t>
      </w:r>
      <w:r w:rsidR="00E60D31">
        <w:rPr>
          <w:rFonts w:ascii="Arial" w:hAnsi="Arial" w:cs="Arial"/>
        </w:rPr>
        <w:t xml:space="preserve">discussed in Section III </w:t>
      </w:r>
      <w:r w:rsidR="004E6FFF">
        <w:rPr>
          <w:rFonts w:ascii="Arial" w:hAnsi="Arial" w:cs="Arial"/>
        </w:rPr>
        <w:t>concerning the permissible scope of opening statements apply</w:t>
      </w:r>
      <w:r w:rsidR="00E60D31">
        <w:rPr>
          <w:rFonts w:ascii="Arial" w:hAnsi="Arial" w:cs="Arial"/>
        </w:rPr>
        <w:t xml:space="preserve"> in capital sentencing proceedings</w:t>
      </w:r>
      <w:r w:rsidR="004E6FFF">
        <w:rPr>
          <w:rFonts w:ascii="Arial" w:hAnsi="Arial" w:cs="Arial"/>
        </w:rPr>
        <w:t>.</w:t>
      </w:r>
      <w:r w:rsidR="00E60D31">
        <w:rPr>
          <w:rFonts w:ascii="Arial" w:hAnsi="Arial" w:cs="Arial"/>
        </w:rPr>
        <w:t xml:space="preserve"> </w:t>
      </w:r>
      <w:r w:rsidR="00E60D31">
        <w:rPr>
          <w:rFonts w:ascii="Arial" w:hAnsi="Arial" w:cs="Arial"/>
          <w:i/>
          <w:iCs/>
        </w:rPr>
        <w:t xml:space="preserve">See </w:t>
      </w:r>
      <w:r w:rsidR="00E60D31">
        <w:rPr>
          <w:rFonts w:ascii="Arial" w:hAnsi="Arial" w:cs="Arial"/>
        </w:rPr>
        <w:t>State v. Waring, 364 N.C. 443, 505 (2010).</w:t>
      </w:r>
    </w:p>
    <w:p w14:paraId="193B3063" w14:textId="130FE4FC" w:rsidR="00F251A6" w:rsidRDefault="00F251A6" w:rsidP="00C931CF">
      <w:pPr>
        <w:pStyle w:val="ListParagraph"/>
        <w:numPr>
          <w:ilvl w:val="3"/>
          <w:numId w:val="1"/>
        </w:numPr>
        <w:spacing w:after="0" w:line="240" w:lineRule="auto"/>
        <w:ind w:left="2160" w:hanging="720"/>
        <w:rPr>
          <w:rStyle w:val="Heading3Char"/>
        </w:rPr>
      </w:pPr>
      <w:r w:rsidRPr="00A63790">
        <w:rPr>
          <w:rFonts w:ascii="Arial" w:hAnsi="Arial" w:cs="Arial"/>
          <w:b/>
          <w:bCs/>
        </w:rPr>
        <w:t>Duration</w:t>
      </w:r>
      <w:r w:rsidRPr="00C931CF">
        <w:rPr>
          <w:rFonts w:ascii="Arial" w:hAnsi="Arial" w:cs="Arial"/>
          <w:b/>
          <w:bCs/>
        </w:rPr>
        <w:t>.</w:t>
      </w:r>
      <w:r>
        <w:rPr>
          <w:rFonts w:ascii="Arial" w:hAnsi="Arial" w:cs="Arial"/>
        </w:rPr>
        <w:t xml:space="preserve"> N</w:t>
      </w:r>
      <w:r w:rsidRPr="00175EE1">
        <w:rPr>
          <w:rFonts w:ascii="Arial" w:hAnsi="Arial" w:cs="Arial"/>
        </w:rPr>
        <w:t>o</w:t>
      </w:r>
      <w:r>
        <w:rPr>
          <w:rFonts w:ascii="Arial" w:hAnsi="Arial" w:cs="Arial"/>
        </w:rPr>
        <w:t xml:space="preserve"> statute</w:t>
      </w:r>
      <w:r w:rsidRPr="00175EE1">
        <w:rPr>
          <w:rFonts w:ascii="Arial" w:hAnsi="Arial" w:cs="Arial"/>
        </w:rPr>
        <w:t xml:space="preserve"> prescribe</w:t>
      </w:r>
      <w:r>
        <w:rPr>
          <w:rFonts w:ascii="Arial" w:hAnsi="Arial" w:cs="Arial"/>
        </w:rPr>
        <w:t>s a</w:t>
      </w:r>
      <w:r w:rsidRPr="00175EE1">
        <w:rPr>
          <w:rFonts w:ascii="Arial" w:hAnsi="Arial" w:cs="Arial"/>
        </w:rPr>
        <w:t xml:space="preserve"> time limit for opening statements. Rule 9 of the General Rules of Practice for the Superior and District Courts specifies that “[o]</w:t>
      </w:r>
      <w:proofErr w:type="spellStart"/>
      <w:r w:rsidRPr="00175EE1">
        <w:rPr>
          <w:rFonts w:ascii="Arial" w:hAnsi="Arial" w:cs="Arial"/>
        </w:rPr>
        <w:t>pening</w:t>
      </w:r>
      <w:proofErr w:type="spellEnd"/>
      <w:r w:rsidRPr="00175EE1">
        <w:rPr>
          <w:rFonts w:ascii="Arial" w:hAnsi="Arial" w:cs="Arial"/>
        </w:rPr>
        <w:t xml:space="preserve"> statements shall be subject to such time and scope limitations as may be imposed by the court.” Accordingly, the duration of an opening statement rests largely in the trial judge’s discretion. State v. Paige, 316 N.C. 630, 643 (1986) (</w:t>
      </w:r>
      <w:r>
        <w:rPr>
          <w:rFonts w:ascii="Arial" w:hAnsi="Arial" w:cs="Arial"/>
        </w:rPr>
        <w:t>so stating</w:t>
      </w:r>
      <w:r w:rsidRPr="00175EE1">
        <w:rPr>
          <w:rFonts w:ascii="Arial" w:hAnsi="Arial" w:cs="Arial"/>
        </w:rPr>
        <w:t>)</w:t>
      </w:r>
      <w:r>
        <w:rPr>
          <w:rFonts w:ascii="Arial" w:hAnsi="Arial" w:cs="Arial"/>
        </w:rPr>
        <w:t xml:space="preserve">; </w:t>
      </w:r>
      <w:r>
        <w:rPr>
          <w:rFonts w:ascii="Arial" w:hAnsi="Arial" w:cs="Arial"/>
          <w:i/>
          <w:iCs/>
        </w:rPr>
        <w:t xml:space="preserve">see also </w:t>
      </w:r>
      <w:r w:rsidRPr="00B25E9C">
        <w:rPr>
          <w:rFonts w:ascii="Arial" w:hAnsi="Arial" w:cs="Arial"/>
          <w:i/>
          <w:iCs/>
        </w:rPr>
        <w:t>Call</w:t>
      </w:r>
      <w:r>
        <w:rPr>
          <w:rFonts w:ascii="Arial" w:hAnsi="Arial" w:cs="Arial"/>
        </w:rPr>
        <w:t xml:space="preserve">, 349 N.C. </w:t>
      </w:r>
      <w:r w:rsidR="00B25E9C">
        <w:rPr>
          <w:rFonts w:ascii="Arial" w:hAnsi="Arial" w:cs="Arial"/>
        </w:rPr>
        <w:t>at</w:t>
      </w:r>
      <w:r>
        <w:rPr>
          <w:rFonts w:ascii="Arial" w:hAnsi="Arial" w:cs="Arial"/>
        </w:rPr>
        <w:t xml:space="preserve"> 396 (same; finding no abuse of discretion in trial court limiting opening statements in the guilt/innocence phase of a capital case to five minutes)</w:t>
      </w:r>
      <w:r w:rsidRPr="00175EE1">
        <w:rPr>
          <w:rFonts w:ascii="Arial" w:hAnsi="Arial" w:cs="Arial"/>
        </w:rPr>
        <w:t>.</w:t>
      </w:r>
    </w:p>
    <w:p w14:paraId="2AE0F640" w14:textId="2E547A29" w:rsidR="00C931CF" w:rsidRPr="00C931CF" w:rsidRDefault="00C931CF" w:rsidP="00C931CF">
      <w:pPr>
        <w:pStyle w:val="ListParagraph"/>
        <w:numPr>
          <w:ilvl w:val="3"/>
          <w:numId w:val="1"/>
        </w:numPr>
        <w:spacing w:after="0" w:line="240" w:lineRule="auto"/>
        <w:ind w:left="2160" w:hanging="720"/>
        <w:rPr>
          <w:rFonts w:ascii="Arial" w:hAnsi="Arial" w:cs="Arial"/>
          <w:b/>
          <w:bCs/>
        </w:rPr>
      </w:pPr>
      <w:r w:rsidRPr="00A63790">
        <w:rPr>
          <w:rFonts w:ascii="Arial" w:hAnsi="Arial" w:cs="Arial"/>
          <w:b/>
          <w:bCs/>
        </w:rPr>
        <w:lastRenderedPageBreak/>
        <w:t>Order</w:t>
      </w:r>
      <w:r w:rsidR="00D223FB" w:rsidRPr="00A63790">
        <w:rPr>
          <w:rFonts w:ascii="Arial" w:hAnsi="Arial" w:cs="Arial"/>
          <w:b/>
          <w:bCs/>
        </w:rPr>
        <w:t xml:space="preserve"> of Statements</w:t>
      </w:r>
      <w:r w:rsidRPr="00C931CF">
        <w:rPr>
          <w:rFonts w:ascii="Arial" w:hAnsi="Arial" w:cs="Arial"/>
          <w:b/>
          <w:bCs/>
        </w:rPr>
        <w:t>.</w:t>
      </w:r>
      <w:r w:rsidR="003F4B75">
        <w:rPr>
          <w:rFonts w:ascii="Arial" w:hAnsi="Arial" w:cs="Arial"/>
        </w:rPr>
        <w:t xml:space="preserve"> </w:t>
      </w:r>
      <w:r w:rsidR="00905664">
        <w:rPr>
          <w:rFonts w:ascii="Arial" w:hAnsi="Arial" w:cs="Arial"/>
        </w:rPr>
        <w:t>When</w:t>
      </w:r>
      <w:r w:rsidR="003F4B75">
        <w:rPr>
          <w:rFonts w:ascii="Arial" w:hAnsi="Arial" w:cs="Arial"/>
        </w:rPr>
        <w:t xml:space="preserve"> both the State and the defendant choose to make their opening statement</w:t>
      </w:r>
      <w:r w:rsidR="00192B17">
        <w:rPr>
          <w:rFonts w:ascii="Arial" w:hAnsi="Arial" w:cs="Arial"/>
        </w:rPr>
        <w:t>s</w:t>
      </w:r>
      <w:r w:rsidR="003F4B75">
        <w:rPr>
          <w:rFonts w:ascii="Arial" w:hAnsi="Arial" w:cs="Arial"/>
        </w:rPr>
        <w:t xml:space="preserve"> prior to the State’s presentation of evidence, </w:t>
      </w:r>
      <w:r w:rsidR="00A7454D">
        <w:rPr>
          <w:rFonts w:ascii="Arial" w:hAnsi="Arial" w:cs="Arial"/>
        </w:rPr>
        <w:t>the State, as the party bearing the burden of p</w:t>
      </w:r>
      <w:r w:rsidR="00930FDF">
        <w:rPr>
          <w:rFonts w:ascii="Arial" w:hAnsi="Arial" w:cs="Arial"/>
        </w:rPr>
        <w:t>roof</w:t>
      </w:r>
      <w:r w:rsidR="00A7454D">
        <w:rPr>
          <w:rFonts w:ascii="Arial" w:hAnsi="Arial" w:cs="Arial"/>
        </w:rPr>
        <w:t xml:space="preserve">, should make its statement first. </w:t>
      </w:r>
      <w:r w:rsidR="00A7454D">
        <w:rPr>
          <w:rFonts w:ascii="Arial" w:hAnsi="Arial" w:cs="Arial"/>
          <w:i/>
          <w:iCs/>
        </w:rPr>
        <w:t>See generally</w:t>
      </w:r>
      <w:r w:rsidR="00A7454D">
        <w:rPr>
          <w:rFonts w:ascii="Arial" w:hAnsi="Arial" w:cs="Arial"/>
        </w:rPr>
        <w:t xml:space="preserve">, </w:t>
      </w:r>
      <w:r w:rsidR="00175EE1">
        <w:rPr>
          <w:rFonts w:ascii="Arial" w:hAnsi="Arial" w:cs="Arial"/>
          <w:smallCaps/>
        </w:rPr>
        <w:t>6</w:t>
      </w:r>
      <w:r w:rsidR="00A7454D" w:rsidRPr="005B79D4">
        <w:rPr>
          <w:rFonts w:ascii="Arial" w:hAnsi="Arial" w:cs="Arial"/>
          <w:smallCaps/>
        </w:rPr>
        <w:t xml:space="preserve"> Wayne R. LaFave et al., Criminal Procedure</w:t>
      </w:r>
      <w:r w:rsidR="00A7454D">
        <w:rPr>
          <w:rFonts w:ascii="Arial" w:hAnsi="Arial" w:cs="Arial"/>
        </w:rPr>
        <w:t xml:space="preserve"> § 24.7(a) (4th ed. 2015)</w:t>
      </w:r>
      <w:r w:rsidR="00175EE1">
        <w:rPr>
          <w:rFonts w:ascii="Arial" w:hAnsi="Arial" w:cs="Arial"/>
        </w:rPr>
        <w:t>.</w:t>
      </w:r>
    </w:p>
    <w:p w14:paraId="550A73BB" w14:textId="5E80D2A4" w:rsidR="003F4B75" w:rsidRDefault="003F4B75" w:rsidP="00C931CF">
      <w:pPr>
        <w:pStyle w:val="ListParagraph"/>
        <w:numPr>
          <w:ilvl w:val="3"/>
          <w:numId w:val="1"/>
        </w:numPr>
        <w:spacing w:after="0" w:line="240" w:lineRule="auto"/>
        <w:ind w:left="2160" w:hanging="720"/>
        <w:rPr>
          <w:rFonts w:ascii="Arial" w:hAnsi="Arial" w:cs="Arial"/>
          <w:b/>
          <w:bCs/>
        </w:rPr>
      </w:pPr>
      <w:r w:rsidRPr="00A63790">
        <w:rPr>
          <w:rFonts w:ascii="Arial" w:hAnsi="Arial" w:cs="Arial"/>
          <w:b/>
          <w:bCs/>
        </w:rPr>
        <w:t>Waiver</w:t>
      </w:r>
      <w:r>
        <w:rPr>
          <w:rFonts w:ascii="Arial" w:hAnsi="Arial" w:cs="Arial"/>
          <w:b/>
          <w:bCs/>
        </w:rPr>
        <w:t>.</w:t>
      </w:r>
      <w:r w:rsidR="00806EB1">
        <w:rPr>
          <w:rFonts w:ascii="Arial" w:hAnsi="Arial" w:cs="Arial"/>
          <w:b/>
          <w:bCs/>
        </w:rPr>
        <w:t xml:space="preserve"> </w:t>
      </w:r>
      <w:r w:rsidR="00806EB1">
        <w:rPr>
          <w:rFonts w:ascii="Arial" w:hAnsi="Arial" w:cs="Arial"/>
        </w:rPr>
        <w:t xml:space="preserve">Rule 9 provides that </w:t>
      </w:r>
      <w:r w:rsidR="002E1EC5">
        <w:rPr>
          <w:rFonts w:ascii="Arial" w:hAnsi="Arial" w:cs="Arial"/>
        </w:rPr>
        <w:t>the</w:t>
      </w:r>
      <w:r w:rsidR="00806EB1">
        <w:rPr>
          <w:rFonts w:ascii="Arial" w:hAnsi="Arial" w:cs="Arial"/>
        </w:rPr>
        <w:t xml:space="preserve"> part</w:t>
      </w:r>
      <w:r w:rsidR="002E1EC5">
        <w:rPr>
          <w:rFonts w:ascii="Arial" w:hAnsi="Arial" w:cs="Arial"/>
        </w:rPr>
        <w:t>ies</w:t>
      </w:r>
      <w:r w:rsidR="00806EB1">
        <w:rPr>
          <w:rFonts w:ascii="Arial" w:hAnsi="Arial" w:cs="Arial"/>
        </w:rPr>
        <w:t xml:space="preserve"> may </w:t>
      </w:r>
      <w:r w:rsidR="002E1EC5">
        <w:rPr>
          <w:rFonts w:ascii="Arial" w:hAnsi="Arial" w:cs="Arial"/>
        </w:rPr>
        <w:t>elect</w:t>
      </w:r>
      <w:r w:rsidR="00806EB1">
        <w:rPr>
          <w:rFonts w:ascii="Arial" w:hAnsi="Arial" w:cs="Arial"/>
        </w:rPr>
        <w:t xml:space="preserve"> to waive opening statement</w:t>
      </w:r>
      <w:r w:rsidR="002E1EC5">
        <w:rPr>
          <w:rFonts w:ascii="Arial" w:hAnsi="Arial" w:cs="Arial"/>
        </w:rPr>
        <w:t xml:space="preserve">s. </w:t>
      </w:r>
      <w:r w:rsidR="002E1EC5">
        <w:rPr>
          <w:rFonts w:ascii="Arial" w:hAnsi="Arial" w:cs="Arial"/>
          <w:i/>
          <w:iCs/>
        </w:rPr>
        <w:t>See also Paige</w:t>
      </w:r>
      <w:r w:rsidR="002E1EC5">
        <w:rPr>
          <w:rFonts w:ascii="Arial" w:hAnsi="Arial" w:cs="Arial"/>
        </w:rPr>
        <w:t>, 316 N.C. at 647 (noting that State waived its opening statement).</w:t>
      </w:r>
    </w:p>
    <w:p w14:paraId="6C65FE1D" w14:textId="77777777" w:rsidR="00C931CF" w:rsidRPr="00C931CF" w:rsidRDefault="00C931CF" w:rsidP="00C931CF">
      <w:pPr>
        <w:pStyle w:val="ListParagraph"/>
        <w:spacing w:after="0" w:line="240" w:lineRule="auto"/>
        <w:ind w:left="2160"/>
        <w:rPr>
          <w:rFonts w:ascii="Arial" w:hAnsi="Arial" w:cs="Arial"/>
          <w:b/>
          <w:bCs/>
        </w:rPr>
      </w:pPr>
    </w:p>
    <w:p w14:paraId="5285AA7E" w14:textId="77777777" w:rsidR="002E1EC5" w:rsidRDefault="00E26597" w:rsidP="00C931CF">
      <w:pPr>
        <w:pStyle w:val="ListParagraph"/>
        <w:numPr>
          <w:ilvl w:val="0"/>
          <w:numId w:val="19"/>
        </w:numPr>
        <w:spacing w:after="0" w:line="240" w:lineRule="auto"/>
        <w:ind w:left="1440" w:hanging="720"/>
        <w:rPr>
          <w:rFonts w:ascii="Arial" w:hAnsi="Arial" w:cs="Arial"/>
        </w:rPr>
      </w:pPr>
      <w:bookmarkStart w:id="5" w:name="_Toc209539184"/>
      <w:r w:rsidRPr="007F0F83">
        <w:rPr>
          <w:rStyle w:val="Heading2Char"/>
        </w:rPr>
        <w:t>Closing Arguments</w:t>
      </w:r>
      <w:bookmarkEnd w:id="5"/>
      <w:r w:rsidRPr="00C931CF">
        <w:rPr>
          <w:rFonts w:ascii="Arial" w:hAnsi="Arial" w:cs="Arial"/>
          <w:b/>
          <w:bCs/>
        </w:rPr>
        <w:t>.</w:t>
      </w:r>
      <w:r w:rsidRPr="00C931CF">
        <w:rPr>
          <w:rFonts w:ascii="Arial" w:hAnsi="Arial" w:cs="Arial"/>
        </w:rPr>
        <w:t xml:space="preserve"> </w:t>
      </w:r>
    </w:p>
    <w:p w14:paraId="20F75029" w14:textId="3504E91D" w:rsidR="00B32620" w:rsidRPr="00A16AA2" w:rsidRDefault="00B32620" w:rsidP="002E1EC5">
      <w:pPr>
        <w:pStyle w:val="ListParagraph"/>
        <w:numPr>
          <w:ilvl w:val="0"/>
          <w:numId w:val="18"/>
        </w:numPr>
        <w:spacing w:after="0" w:line="240" w:lineRule="auto"/>
        <w:ind w:left="2160" w:hanging="720"/>
        <w:rPr>
          <w:rFonts w:ascii="Arial" w:hAnsi="Arial" w:cs="Arial"/>
          <w:b/>
          <w:bCs/>
        </w:rPr>
      </w:pPr>
      <w:r w:rsidRPr="00A63790">
        <w:rPr>
          <w:rFonts w:ascii="Arial" w:hAnsi="Arial" w:cs="Arial"/>
          <w:b/>
          <w:bCs/>
        </w:rPr>
        <w:t>Timing</w:t>
      </w:r>
      <w:r w:rsidRPr="00A16AA2">
        <w:rPr>
          <w:rFonts w:ascii="Arial" w:hAnsi="Arial" w:cs="Arial"/>
          <w:b/>
          <w:bCs/>
        </w:rPr>
        <w:t>.</w:t>
      </w:r>
      <w:r w:rsidR="006939A9">
        <w:rPr>
          <w:rFonts w:ascii="Arial" w:hAnsi="Arial" w:cs="Arial"/>
        </w:rPr>
        <w:t xml:space="preserve"> Closing arguments are delivered at the conclusion of all evidence, before the trial court charges the jury. G.S. 15A-1221(a)(8)</w:t>
      </w:r>
      <w:r w:rsidR="00EC5FDF">
        <w:rPr>
          <w:rFonts w:ascii="Arial" w:hAnsi="Arial" w:cs="Arial"/>
        </w:rPr>
        <w:t xml:space="preserve">; </w:t>
      </w:r>
      <w:r w:rsidR="00EC5FDF">
        <w:rPr>
          <w:rFonts w:ascii="Arial" w:hAnsi="Arial" w:cs="Arial"/>
          <w:i/>
          <w:iCs/>
        </w:rPr>
        <w:t xml:space="preserve">see also </w:t>
      </w:r>
      <w:r w:rsidR="00EC5FDF">
        <w:rPr>
          <w:rFonts w:ascii="Arial" w:hAnsi="Arial" w:cs="Arial"/>
        </w:rPr>
        <w:t>G.S. 15A-2000(b) (</w:t>
      </w:r>
      <w:r w:rsidR="00192B17">
        <w:rPr>
          <w:rFonts w:ascii="Arial" w:hAnsi="Arial" w:cs="Arial"/>
        </w:rPr>
        <w:t>implying</w:t>
      </w:r>
      <w:r w:rsidR="00EC5FDF">
        <w:rPr>
          <w:rFonts w:ascii="Arial" w:hAnsi="Arial" w:cs="Arial"/>
        </w:rPr>
        <w:t xml:space="preserve"> the same timing in capital sentencing proceedings: “After hearing the evidence, argument of counsel, and instructions of the court, the jury shall deliberate and render a sentence recommendation to the court . . ..”)</w:t>
      </w:r>
      <w:r w:rsidR="006939A9">
        <w:rPr>
          <w:rFonts w:ascii="Arial" w:hAnsi="Arial" w:cs="Arial"/>
        </w:rPr>
        <w:t>.</w:t>
      </w:r>
    </w:p>
    <w:p w14:paraId="570C8564" w14:textId="2A3B8AA9" w:rsidR="00BE373C" w:rsidRPr="00963D0F" w:rsidRDefault="00963D0F" w:rsidP="00963D0F">
      <w:pPr>
        <w:pStyle w:val="ListParagraph"/>
        <w:numPr>
          <w:ilvl w:val="0"/>
          <w:numId w:val="18"/>
        </w:numPr>
        <w:spacing w:after="0" w:line="240" w:lineRule="auto"/>
        <w:ind w:left="2160" w:hanging="720"/>
        <w:rPr>
          <w:rFonts w:ascii="Arial" w:hAnsi="Arial" w:cs="Arial"/>
        </w:rPr>
      </w:pPr>
      <w:r w:rsidRPr="00A63790">
        <w:rPr>
          <w:rFonts w:ascii="Arial" w:hAnsi="Arial" w:cs="Arial"/>
          <w:b/>
          <w:bCs/>
        </w:rPr>
        <w:t>Number and Duration</w:t>
      </w:r>
      <w:r w:rsidRPr="00963D0F">
        <w:rPr>
          <w:rFonts w:ascii="Arial" w:hAnsi="Arial" w:cs="Arial"/>
          <w:b/>
          <w:bCs/>
        </w:rPr>
        <w:t>.</w:t>
      </w:r>
      <w:r>
        <w:rPr>
          <w:rFonts w:ascii="Arial" w:hAnsi="Arial" w:cs="Arial"/>
        </w:rPr>
        <w:t xml:space="preserve"> </w:t>
      </w:r>
      <w:r w:rsidR="00C02C0F" w:rsidRPr="00963D0F">
        <w:rPr>
          <w:rFonts w:ascii="Arial" w:hAnsi="Arial" w:cs="Arial"/>
        </w:rPr>
        <w:t xml:space="preserve">G.S. 7A-97 </w:t>
      </w:r>
      <w:r w:rsidR="00174A35">
        <w:rPr>
          <w:rFonts w:ascii="Arial" w:hAnsi="Arial" w:cs="Arial"/>
        </w:rPr>
        <w:t>governs</w:t>
      </w:r>
      <w:r w:rsidR="00C02C0F" w:rsidRPr="00963D0F">
        <w:rPr>
          <w:rFonts w:ascii="Arial" w:hAnsi="Arial" w:cs="Arial"/>
        </w:rPr>
        <w:t xml:space="preserve"> the superior court’s control of the number and duration of </w:t>
      </w:r>
      <w:r w:rsidR="00E26597" w:rsidRPr="00963D0F">
        <w:rPr>
          <w:rFonts w:ascii="Arial" w:hAnsi="Arial" w:cs="Arial"/>
        </w:rPr>
        <w:t xml:space="preserve">closing </w:t>
      </w:r>
      <w:r w:rsidR="00C02C0F" w:rsidRPr="00963D0F">
        <w:rPr>
          <w:rFonts w:ascii="Arial" w:hAnsi="Arial" w:cs="Arial"/>
        </w:rPr>
        <w:t>arguments</w:t>
      </w:r>
      <w:r w:rsidR="006939A9">
        <w:rPr>
          <w:rFonts w:ascii="Arial" w:hAnsi="Arial" w:cs="Arial"/>
        </w:rPr>
        <w:t xml:space="preserve">. </w:t>
      </w:r>
      <w:r w:rsidR="006939A9">
        <w:rPr>
          <w:rFonts w:ascii="Arial" w:hAnsi="Arial" w:cs="Arial"/>
          <w:i/>
          <w:iCs/>
        </w:rPr>
        <w:t xml:space="preserve">See </w:t>
      </w:r>
      <w:r w:rsidR="006939A9">
        <w:rPr>
          <w:rFonts w:ascii="Arial" w:hAnsi="Arial" w:cs="Arial"/>
        </w:rPr>
        <w:t>State v. Gladden, 315 N.C. 398, 421 (construing the statute</w:t>
      </w:r>
      <w:r w:rsidR="00174A35">
        <w:rPr>
          <w:rFonts w:ascii="Arial" w:hAnsi="Arial" w:cs="Arial"/>
        </w:rPr>
        <w:t>’s reference to “two addresses to the jury”</w:t>
      </w:r>
      <w:r w:rsidR="004E7541">
        <w:rPr>
          <w:rFonts w:ascii="Arial" w:hAnsi="Arial" w:cs="Arial"/>
        </w:rPr>
        <w:t xml:space="preserve"> </w:t>
      </w:r>
      <w:r w:rsidR="006939A9">
        <w:rPr>
          <w:rFonts w:ascii="Arial" w:hAnsi="Arial" w:cs="Arial"/>
        </w:rPr>
        <w:t xml:space="preserve">as a regulation </w:t>
      </w:r>
      <w:r w:rsidR="00C61060">
        <w:rPr>
          <w:rFonts w:ascii="Arial" w:hAnsi="Arial" w:cs="Arial"/>
        </w:rPr>
        <w:t>up</w:t>
      </w:r>
      <w:r w:rsidR="006939A9">
        <w:rPr>
          <w:rFonts w:ascii="Arial" w:hAnsi="Arial" w:cs="Arial"/>
        </w:rPr>
        <w:t>on closing arguments)</w:t>
      </w:r>
      <w:r w:rsidR="00564A9E">
        <w:rPr>
          <w:rFonts w:ascii="Arial" w:hAnsi="Arial" w:cs="Arial"/>
        </w:rPr>
        <w:t xml:space="preserve">; </w:t>
      </w:r>
      <w:r w:rsidR="00564A9E">
        <w:rPr>
          <w:rFonts w:ascii="Arial" w:hAnsi="Arial" w:cs="Arial"/>
          <w:i/>
          <w:iCs/>
        </w:rPr>
        <w:t xml:space="preserve">see also </w:t>
      </w:r>
      <w:r w:rsidR="00564A9E">
        <w:rPr>
          <w:rFonts w:ascii="Arial" w:hAnsi="Arial" w:cs="Arial"/>
        </w:rPr>
        <w:t>G.S. 15A-1221(a)(8) (providing that closing arguments be conducted in “accordance with” G.S. 15A-1230, a statute which speaks only to closing arguments and identifies G.S. 7A-97 as governing the length, number, and order thereof).</w:t>
      </w:r>
      <w:r w:rsidR="00350C2D" w:rsidRPr="00963D0F">
        <w:rPr>
          <w:rFonts w:ascii="Arial" w:hAnsi="Arial" w:cs="Arial"/>
        </w:rPr>
        <w:t xml:space="preserve"> </w:t>
      </w:r>
      <w:r w:rsidR="006939A9">
        <w:rPr>
          <w:rFonts w:ascii="Arial" w:hAnsi="Arial" w:cs="Arial"/>
        </w:rPr>
        <w:t>T</w:t>
      </w:r>
      <w:r w:rsidR="00350C2D" w:rsidRPr="00963D0F">
        <w:rPr>
          <w:rFonts w:ascii="Arial" w:hAnsi="Arial" w:cs="Arial"/>
        </w:rPr>
        <w:t>he statute provides different rules for non-capital and capital cases as explained below</w:t>
      </w:r>
      <w:r w:rsidR="00C02C0F" w:rsidRPr="00963D0F">
        <w:rPr>
          <w:rFonts w:ascii="Arial" w:hAnsi="Arial" w:cs="Arial"/>
        </w:rPr>
        <w:t>.</w:t>
      </w:r>
    </w:p>
    <w:p w14:paraId="6E3C1066" w14:textId="0DEFAEC6" w:rsidR="00693D57" w:rsidRPr="00F251A6" w:rsidRDefault="00BE373C" w:rsidP="00F251A6">
      <w:pPr>
        <w:pStyle w:val="ListParagraph"/>
        <w:numPr>
          <w:ilvl w:val="0"/>
          <w:numId w:val="21"/>
        </w:numPr>
        <w:spacing w:after="0" w:line="240" w:lineRule="auto"/>
        <w:ind w:left="2880" w:hanging="720"/>
        <w:rPr>
          <w:rFonts w:ascii="Arial" w:hAnsi="Arial" w:cs="Arial"/>
        </w:rPr>
      </w:pPr>
      <w:r w:rsidRPr="007F0F83">
        <w:rPr>
          <w:rFonts w:ascii="Arial" w:hAnsi="Arial" w:cs="Arial"/>
          <w:b/>
          <w:bCs/>
        </w:rPr>
        <w:t>Non-Capital Cases</w:t>
      </w:r>
      <w:r w:rsidRPr="00F251A6">
        <w:rPr>
          <w:rFonts w:ascii="Arial" w:hAnsi="Arial" w:cs="Arial"/>
          <w:b/>
          <w:bCs/>
        </w:rPr>
        <w:t>.</w:t>
      </w:r>
      <w:r w:rsidRPr="00F251A6">
        <w:rPr>
          <w:rFonts w:ascii="Arial" w:hAnsi="Arial" w:cs="Arial"/>
        </w:rPr>
        <w:t xml:space="preserve"> In non-capital cases, G.S. 7A-97</w:t>
      </w:r>
      <w:r w:rsidR="00C02C0F" w:rsidRPr="00F251A6">
        <w:rPr>
          <w:rFonts w:ascii="Arial" w:hAnsi="Arial" w:cs="Arial"/>
        </w:rPr>
        <w:t xml:space="preserve"> </w:t>
      </w:r>
      <w:r w:rsidR="00B32620" w:rsidRPr="00F251A6">
        <w:rPr>
          <w:rFonts w:ascii="Arial" w:hAnsi="Arial" w:cs="Arial"/>
        </w:rPr>
        <w:t>allows</w:t>
      </w:r>
      <w:r w:rsidR="00C02C0F" w:rsidRPr="00F251A6">
        <w:rPr>
          <w:rFonts w:ascii="Arial" w:hAnsi="Arial" w:cs="Arial"/>
        </w:rPr>
        <w:t xml:space="preserve"> “two addresses to the jury for the </w:t>
      </w:r>
      <w:r w:rsidRPr="00F251A6">
        <w:rPr>
          <w:rFonts w:ascii="Arial" w:hAnsi="Arial" w:cs="Arial"/>
        </w:rPr>
        <w:t>S</w:t>
      </w:r>
      <w:r w:rsidR="00C02C0F" w:rsidRPr="00F251A6">
        <w:rPr>
          <w:rFonts w:ascii="Arial" w:hAnsi="Arial" w:cs="Arial"/>
        </w:rPr>
        <w:t>tate . . . and two for the defendant</w:t>
      </w:r>
      <w:r w:rsidR="00ED53A4" w:rsidRPr="00F251A6">
        <w:rPr>
          <w:rFonts w:ascii="Arial" w:hAnsi="Arial" w:cs="Arial"/>
        </w:rPr>
        <w:t>.</w:t>
      </w:r>
      <w:r w:rsidR="00C02C0F" w:rsidRPr="00F251A6">
        <w:rPr>
          <w:rFonts w:ascii="Arial" w:hAnsi="Arial" w:cs="Arial"/>
        </w:rPr>
        <w:t xml:space="preserve">” A superior court judge is authorized to limit the time of argument to not less than one hour on each side in misdemeanor cases and not less than two hours on each side for non-capital felony cases. </w:t>
      </w:r>
      <w:r w:rsidR="00F12FB1" w:rsidRPr="00F251A6">
        <w:rPr>
          <w:rFonts w:ascii="Arial" w:hAnsi="Arial" w:cs="Arial"/>
        </w:rPr>
        <w:t xml:space="preserve">G.S. 7A-97. A superior court judge has discretion to allow a greater number of addresses or extensions of time upon a party’s motion, “as the interests of justice may require.” </w:t>
      </w:r>
      <w:r w:rsidR="00F12FB1" w:rsidRPr="00F251A6">
        <w:rPr>
          <w:rFonts w:ascii="Arial" w:hAnsi="Arial" w:cs="Arial"/>
          <w:i/>
          <w:iCs/>
        </w:rPr>
        <w:t>Id</w:t>
      </w:r>
      <w:r w:rsidR="00F12FB1" w:rsidRPr="00F251A6">
        <w:rPr>
          <w:rFonts w:ascii="Arial" w:hAnsi="Arial" w:cs="Arial"/>
        </w:rPr>
        <w:t>.</w:t>
      </w:r>
      <w:r w:rsidR="00C02C0F" w:rsidRPr="00F251A6">
        <w:rPr>
          <w:rFonts w:ascii="Arial" w:hAnsi="Arial" w:cs="Arial"/>
        </w:rPr>
        <w:t xml:space="preserve"> </w:t>
      </w:r>
    </w:p>
    <w:p w14:paraId="34AF1FE0" w14:textId="61DFDE50" w:rsidR="00C02C0F" w:rsidRPr="00F42A79" w:rsidRDefault="00BE373C" w:rsidP="008A7EDE">
      <w:pPr>
        <w:pStyle w:val="ListParagraph"/>
        <w:numPr>
          <w:ilvl w:val="0"/>
          <w:numId w:val="21"/>
        </w:numPr>
        <w:spacing w:after="0" w:line="240" w:lineRule="auto"/>
        <w:ind w:left="2880" w:hanging="720"/>
        <w:rPr>
          <w:rFonts w:ascii="Arial" w:hAnsi="Arial" w:cs="Arial"/>
        </w:rPr>
      </w:pPr>
      <w:r w:rsidRPr="007F0F83">
        <w:rPr>
          <w:rFonts w:ascii="Arial" w:hAnsi="Arial" w:cs="Arial"/>
          <w:b/>
          <w:bCs/>
        </w:rPr>
        <w:t>Capital Cases</w:t>
      </w:r>
      <w:r w:rsidRPr="00F42A79">
        <w:rPr>
          <w:rFonts w:ascii="Arial" w:hAnsi="Arial" w:cs="Arial"/>
          <w:b/>
          <w:bCs/>
        </w:rPr>
        <w:t xml:space="preserve">. </w:t>
      </w:r>
      <w:r w:rsidRPr="00F42A79">
        <w:rPr>
          <w:rFonts w:ascii="Arial" w:hAnsi="Arial" w:cs="Arial"/>
        </w:rPr>
        <w:t>G.S. 7A-97 states that “there shall be no limit as to the number” of addresses to the jury in capital cases. The statute goes on to provide that, e</w:t>
      </w:r>
      <w:r w:rsidR="00C02C0F" w:rsidRPr="00F42A79">
        <w:rPr>
          <w:rFonts w:ascii="Arial" w:hAnsi="Arial" w:cs="Arial"/>
        </w:rPr>
        <w:t xml:space="preserve">xcept by consent, the time of argument may not be limited in capital cases, though the trial court may limit the number of attorneys who may address the jury to three attorneys on each side. </w:t>
      </w:r>
      <w:r w:rsidR="00C02C0F" w:rsidRPr="00F42A79">
        <w:rPr>
          <w:rFonts w:ascii="Arial" w:hAnsi="Arial" w:cs="Arial"/>
          <w:i/>
          <w:iCs/>
        </w:rPr>
        <w:t>Id</w:t>
      </w:r>
      <w:r w:rsidR="00C02C0F" w:rsidRPr="00F42A79">
        <w:rPr>
          <w:rFonts w:ascii="Arial" w:hAnsi="Arial" w:cs="Arial"/>
        </w:rPr>
        <w:t>.</w:t>
      </w:r>
      <w:r w:rsidR="00693D57" w:rsidRPr="00F42A79">
        <w:rPr>
          <w:rFonts w:ascii="Arial" w:hAnsi="Arial" w:cs="Arial"/>
        </w:rPr>
        <w:t xml:space="preserve"> While the number of attorneys </w:t>
      </w:r>
      <w:r w:rsidRPr="00F42A79">
        <w:rPr>
          <w:rFonts w:ascii="Arial" w:hAnsi="Arial" w:cs="Arial"/>
        </w:rPr>
        <w:t>addressing the jury</w:t>
      </w:r>
      <w:r w:rsidR="00693D57" w:rsidRPr="00F42A79">
        <w:rPr>
          <w:rFonts w:ascii="Arial" w:hAnsi="Arial" w:cs="Arial"/>
        </w:rPr>
        <w:t xml:space="preserve"> in a capital case may be limited to three, th</w:t>
      </w:r>
      <w:r w:rsidRPr="00F42A79">
        <w:rPr>
          <w:rFonts w:ascii="Arial" w:hAnsi="Arial" w:cs="Arial"/>
        </w:rPr>
        <w:t>ose</w:t>
      </w:r>
      <w:r w:rsidR="00693D57" w:rsidRPr="00F42A79">
        <w:rPr>
          <w:rFonts w:ascii="Arial" w:hAnsi="Arial" w:cs="Arial"/>
        </w:rPr>
        <w:t xml:space="preserve"> attorneys are not limited in the number of </w:t>
      </w:r>
      <w:r w:rsidRPr="00F42A79">
        <w:rPr>
          <w:rFonts w:ascii="Arial" w:hAnsi="Arial" w:cs="Arial"/>
        </w:rPr>
        <w:t>addresses</w:t>
      </w:r>
      <w:r w:rsidR="00693D57" w:rsidRPr="00F42A79">
        <w:rPr>
          <w:rFonts w:ascii="Arial" w:hAnsi="Arial" w:cs="Arial"/>
        </w:rPr>
        <w:t xml:space="preserve"> they may make.</w:t>
      </w:r>
      <w:r w:rsidR="00F12FB1" w:rsidRPr="00F42A79">
        <w:rPr>
          <w:rFonts w:ascii="Arial" w:hAnsi="Arial" w:cs="Arial"/>
        </w:rPr>
        <w:t xml:space="preserve"> </w:t>
      </w:r>
      <w:r w:rsidR="00693D57" w:rsidRPr="00F42A79">
        <w:rPr>
          <w:rFonts w:ascii="Arial" w:hAnsi="Arial" w:cs="Arial"/>
        </w:rPr>
        <w:t xml:space="preserve">State v. Mitchell, 321 N.C. 650, 659 (1988). </w:t>
      </w:r>
      <w:r w:rsidR="00F12FB1" w:rsidRPr="00F42A79">
        <w:rPr>
          <w:rFonts w:ascii="Arial" w:hAnsi="Arial" w:cs="Arial"/>
        </w:rPr>
        <w:t xml:space="preserve">It is per se prejudicial error in a capital case to limit the number of defense counsel who may address the jury to fewer than </w:t>
      </w:r>
      <w:r w:rsidR="0010425A" w:rsidRPr="00F42A79">
        <w:rPr>
          <w:rFonts w:ascii="Arial" w:hAnsi="Arial" w:cs="Arial"/>
        </w:rPr>
        <w:t xml:space="preserve">three. </w:t>
      </w:r>
      <w:r w:rsidR="00693D57" w:rsidRPr="00F42A79">
        <w:rPr>
          <w:rFonts w:ascii="Arial" w:hAnsi="Arial" w:cs="Arial"/>
          <w:i/>
          <w:iCs/>
        </w:rPr>
        <w:t>Id</w:t>
      </w:r>
      <w:r w:rsidR="00693D57" w:rsidRPr="00F42A79">
        <w:rPr>
          <w:rFonts w:ascii="Arial" w:hAnsi="Arial" w:cs="Arial"/>
        </w:rPr>
        <w:t>.</w:t>
      </w:r>
      <w:r w:rsidRPr="00F42A79">
        <w:rPr>
          <w:rFonts w:ascii="Arial" w:hAnsi="Arial" w:cs="Arial"/>
        </w:rPr>
        <w:t xml:space="preserve"> </w:t>
      </w:r>
      <w:r w:rsidR="000372A2" w:rsidRPr="00F42A79">
        <w:rPr>
          <w:rFonts w:ascii="Arial" w:hAnsi="Arial" w:cs="Arial"/>
        </w:rPr>
        <w:t xml:space="preserve">The provisions of G.S. 7A-97 apply to both the guilt-innocence and the sentencing phase of a capital trial. </w:t>
      </w:r>
      <w:r w:rsidR="000372A2" w:rsidRPr="00F42A79">
        <w:rPr>
          <w:rFonts w:ascii="Arial" w:hAnsi="Arial" w:cs="Arial"/>
          <w:i/>
          <w:iCs/>
        </w:rPr>
        <w:t>Mitchell</w:t>
      </w:r>
      <w:r w:rsidR="000372A2" w:rsidRPr="00F42A79">
        <w:rPr>
          <w:rFonts w:ascii="Arial" w:hAnsi="Arial" w:cs="Arial"/>
        </w:rPr>
        <w:t>, 321 N.C. at 657-59.</w:t>
      </w:r>
    </w:p>
    <w:p w14:paraId="14F43E6D" w14:textId="15DFB272" w:rsidR="00887679" w:rsidRDefault="00C02C0F" w:rsidP="00BF6169">
      <w:pPr>
        <w:pStyle w:val="ListParagraph"/>
        <w:numPr>
          <w:ilvl w:val="0"/>
          <w:numId w:val="18"/>
        </w:numPr>
        <w:spacing w:after="0" w:line="240" w:lineRule="auto"/>
        <w:ind w:left="2160" w:hanging="720"/>
        <w:rPr>
          <w:rFonts w:ascii="Arial" w:hAnsi="Arial" w:cs="Arial"/>
        </w:rPr>
      </w:pPr>
      <w:r w:rsidRPr="00A63790">
        <w:rPr>
          <w:rFonts w:ascii="Arial" w:hAnsi="Arial" w:cs="Arial"/>
          <w:b/>
          <w:bCs/>
        </w:rPr>
        <w:t>Order of Arguments</w:t>
      </w:r>
      <w:r>
        <w:rPr>
          <w:rFonts w:ascii="Arial" w:hAnsi="Arial" w:cs="Arial"/>
          <w:b/>
          <w:bCs/>
        </w:rPr>
        <w:t>.</w:t>
      </w:r>
      <w:r w:rsidRPr="00C02C0F">
        <w:rPr>
          <w:rFonts w:ascii="Arial" w:hAnsi="Arial" w:cs="Arial"/>
        </w:rPr>
        <w:t xml:space="preserve"> </w:t>
      </w:r>
      <w:r w:rsidR="00653854" w:rsidRPr="00C02C0F">
        <w:rPr>
          <w:rFonts w:ascii="Arial" w:hAnsi="Arial" w:cs="Arial"/>
        </w:rPr>
        <w:t xml:space="preserve">Rule 10 of the General Rules of Practice for the Superior and District Courts governs the order of arguments to the jury. </w:t>
      </w:r>
    </w:p>
    <w:p w14:paraId="710C940E" w14:textId="77777777" w:rsidR="0033590E" w:rsidRDefault="00653854" w:rsidP="00BF6169">
      <w:pPr>
        <w:pStyle w:val="ListParagraph"/>
        <w:spacing w:after="0" w:line="240" w:lineRule="auto"/>
        <w:ind w:left="2160" w:firstLine="720"/>
        <w:rPr>
          <w:rFonts w:ascii="Arial" w:hAnsi="Arial" w:cs="Arial"/>
        </w:rPr>
      </w:pPr>
      <w:r w:rsidRPr="00C02C0F">
        <w:rPr>
          <w:rFonts w:ascii="Arial" w:hAnsi="Arial" w:cs="Arial"/>
        </w:rPr>
        <w:t>If a defendant introduces no evidence, Rule</w:t>
      </w:r>
      <w:r w:rsidR="00027F4D" w:rsidRPr="00C02C0F">
        <w:rPr>
          <w:rFonts w:ascii="Arial" w:hAnsi="Arial" w:cs="Arial"/>
        </w:rPr>
        <w:t xml:space="preserve"> 10</w:t>
      </w:r>
      <w:r w:rsidRPr="00C02C0F">
        <w:rPr>
          <w:rFonts w:ascii="Arial" w:hAnsi="Arial" w:cs="Arial"/>
        </w:rPr>
        <w:t xml:space="preserve"> gives the defendant the right to open and close jury argument.</w:t>
      </w:r>
      <w:r w:rsidR="00386CA1" w:rsidRPr="00C02C0F">
        <w:rPr>
          <w:rFonts w:ascii="Arial" w:hAnsi="Arial" w:cs="Arial"/>
        </w:rPr>
        <w:t xml:space="preserve"> </w:t>
      </w:r>
      <w:r w:rsidR="008805AD" w:rsidRPr="00C02C0F">
        <w:rPr>
          <w:rFonts w:ascii="Arial" w:hAnsi="Arial" w:cs="Arial"/>
        </w:rPr>
        <w:t xml:space="preserve">The “test as to whether [something] has been put in evidence is whether a party has </w:t>
      </w:r>
      <w:r w:rsidR="00451ED4" w:rsidRPr="00C02C0F">
        <w:rPr>
          <w:rFonts w:ascii="Arial" w:hAnsi="Arial" w:cs="Arial"/>
        </w:rPr>
        <w:lastRenderedPageBreak/>
        <w:t>o</w:t>
      </w:r>
      <w:r w:rsidR="008805AD" w:rsidRPr="00C02C0F">
        <w:rPr>
          <w:rFonts w:ascii="Arial" w:hAnsi="Arial" w:cs="Arial"/>
        </w:rPr>
        <w:t xml:space="preserve">ffered it as substantive evidence or so that the jury may examine it and determine whether it illustrates, corroborates, or impeaches the testimony of [a] witness.” State v. Macon, 346 N.C. 109, 113 (1997) (quoting </w:t>
      </w:r>
      <w:r w:rsidR="008805AD" w:rsidRPr="00066FDD">
        <w:rPr>
          <w:rFonts w:ascii="Arial" w:hAnsi="Arial" w:cs="Arial"/>
        </w:rPr>
        <w:t>State v. Hall</w:t>
      </w:r>
      <w:r w:rsidR="008805AD" w:rsidRPr="00C02C0F">
        <w:rPr>
          <w:rFonts w:ascii="Arial" w:hAnsi="Arial" w:cs="Arial"/>
        </w:rPr>
        <w:t>, 57 N.C. App. 561 (1982)</w:t>
      </w:r>
      <w:r w:rsidR="002071D8" w:rsidRPr="00C02C0F">
        <w:rPr>
          <w:rFonts w:ascii="Arial" w:hAnsi="Arial" w:cs="Arial"/>
        </w:rPr>
        <w:t xml:space="preserve">); </w:t>
      </w:r>
      <w:r w:rsidR="002071D8" w:rsidRPr="00C02C0F">
        <w:rPr>
          <w:rFonts w:ascii="Arial" w:hAnsi="Arial" w:cs="Arial"/>
          <w:i/>
          <w:iCs/>
        </w:rPr>
        <w:t xml:space="preserve">see also </w:t>
      </w:r>
      <w:r w:rsidR="002071D8" w:rsidRPr="00C02C0F">
        <w:rPr>
          <w:rFonts w:ascii="Arial" w:hAnsi="Arial" w:cs="Arial"/>
        </w:rPr>
        <w:t xml:space="preserve">State v. Lindsey, 249 N.C. App. 516, 527 (2016) (discussing additional case law on the issue from the Court of Appeals); State v. English, 194 N.C. App. 314, 318-19 (2008) (same). </w:t>
      </w:r>
      <w:r w:rsidR="008805AD" w:rsidRPr="00C02C0F">
        <w:rPr>
          <w:rFonts w:ascii="Arial" w:hAnsi="Arial" w:cs="Arial"/>
        </w:rPr>
        <w:t xml:space="preserve">It is possible for a defendant to introduce evidence within the meaning of the Rule 10 test </w:t>
      </w:r>
      <w:r w:rsidR="00451ED4" w:rsidRPr="00C02C0F">
        <w:rPr>
          <w:rFonts w:ascii="Arial" w:hAnsi="Arial" w:cs="Arial"/>
        </w:rPr>
        <w:t>while conducting</w:t>
      </w:r>
      <w:r w:rsidR="008805AD" w:rsidRPr="00C02C0F">
        <w:rPr>
          <w:rFonts w:ascii="Arial" w:hAnsi="Arial" w:cs="Arial"/>
        </w:rPr>
        <w:t xml:space="preserve"> cross-examination </w:t>
      </w:r>
      <w:r w:rsidR="00ED4A29">
        <w:rPr>
          <w:rFonts w:ascii="Arial" w:hAnsi="Arial" w:cs="Arial"/>
        </w:rPr>
        <w:t>of a state’s witness</w:t>
      </w:r>
      <w:r w:rsidR="008805AD" w:rsidRPr="00C02C0F">
        <w:rPr>
          <w:rFonts w:ascii="Arial" w:hAnsi="Arial" w:cs="Arial"/>
        </w:rPr>
        <w:t xml:space="preserve">. </w:t>
      </w:r>
      <w:r w:rsidR="008805AD" w:rsidRPr="00C02C0F">
        <w:rPr>
          <w:rFonts w:ascii="Arial" w:hAnsi="Arial" w:cs="Arial"/>
          <w:i/>
          <w:iCs/>
        </w:rPr>
        <w:t>Macon</w:t>
      </w:r>
      <w:r w:rsidR="008805AD" w:rsidRPr="00C02C0F">
        <w:rPr>
          <w:rFonts w:ascii="Arial" w:hAnsi="Arial" w:cs="Arial"/>
        </w:rPr>
        <w:t xml:space="preserve">, 346 N.C. at 114 (defendant </w:t>
      </w:r>
      <w:r w:rsidR="00CB5CE9" w:rsidRPr="00C02C0F">
        <w:rPr>
          <w:rFonts w:ascii="Arial" w:hAnsi="Arial" w:cs="Arial"/>
        </w:rPr>
        <w:t xml:space="preserve">inadvertently </w:t>
      </w:r>
      <w:r w:rsidR="008805AD" w:rsidRPr="00C02C0F">
        <w:rPr>
          <w:rFonts w:ascii="Arial" w:hAnsi="Arial" w:cs="Arial"/>
        </w:rPr>
        <w:t xml:space="preserve">did so by asking officer to read </w:t>
      </w:r>
      <w:r w:rsidR="00451ED4" w:rsidRPr="00C02C0F">
        <w:rPr>
          <w:rFonts w:ascii="Arial" w:hAnsi="Arial" w:cs="Arial"/>
        </w:rPr>
        <w:t xml:space="preserve">aloud for the jury </w:t>
      </w:r>
      <w:r w:rsidR="008805AD" w:rsidRPr="00C02C0F">
        <w:rPr>
          <w:rFonts w:ascii="Arial" w:hAnsi="Arial" w:cs="Arial"/>
        </w:rPr>
        <w:t xml:space="preserve">notes taken </w:t>
      </w:r>
      <w:r w:rsidR="001916F3" w:rsidRPr="00C02C0F">
        <w:rPr>
          <w:rFonts w:ascii="Arial" w:hAnsi="Arial" w:cs="Arial"/>
        </w:rPr>
        <w:t xml:space="preserve">by another officer </w:t>
      </w:r>
      <w:r w:rsidR="008805AD" w:rsidRPr="00C02C0F">
        <w:rPr>
          <w:rFonts w:ascii="Arial" w:hAnsi="Arial" w:cs="Arial"/>
        </w:rPr>
        <w:t>during an interview</w:t>
      </w:r>
      <w:r w:rsidR="001916F3" w:rsidRPr="00C02C0F">
        <w:rPr>
          <w:rFonts w:ascii="Arial" w:hAnsi="Arial" w:cs="Arial"/>
        </w:rPr>
        <w:t xml:space="preserve"> with defendant</w:t>
      </w:r>
      <w:r w:rsidR="008805AD" w:rsidRPr="00C02C0F">
        <w:rPr>
          <w:rFonts w:ascii="Arial" w:hAnsi="Arial" w:cs="Arial"/>
        </w:rPr>
        <w:t xml:space="preserve">); </w:t>
      </w:r>
      <w:r w:rsidR="00AA4F0C" w:rsidRPr="00C02C0F">
        <w:rPr>
          <w:rFonts w:ascii="Arial" w:hAnsi="Arial" w:cs="Arial"/>
          <w:i/>
          <w:iCs/>
        </w:rPr>
        <w:t>Lindsey</w:t>
      </w:r>
      <w:r w:rsidR="00AA4F0C" w:rsidRPr="00C02C0F">
        <w:rPr>
          <w:rFonts w:ascii="Arial" w:hAnsi="Arial" w:cs="Arial"/>
        </w:rPr>
        <w:t>, 249 N.C. App. at 528 (defendant did so by playing video recorded by officer’s in-car camera)</w:t>
      </w:r>
      <w:r w:rsidR="008805AD" w:rsidRPr="00C02C0F">
        <w:rPr>
          <w:rFonts w:ascii="Arial" w:hAnsi="Arial" w:cs="Arial"/>
        </w:rPr>
        <w:t>.</w:t>
      </w:r>
      <w:r w:rsidR="00451ED4" w:rsidRPr="00C02C0F">
        <w:rPr>
          <w:rFonts w:ascii="Arial" w:hAnsi="Arial" w:cs="Arial"/>
        </w:rPr>
        <w:t xml:space="preserve"> </w:t>
      </w:r>
    </w:p>
    <w:p w14:paraId="37F3F66E" w14:textId="0FBD9EB9" w:rsidR="00A32A59" w:rsidRDefault="00A32A59" w:rsidP="00BF6169">
      <w:pPr>
        <w:pStyle w:val="ListParagraph"/>
        <w:spacing w:after="0" w:line="240" w:lineRule="auto"/>
        <w:ind w:left="2160" w:firstLine="720"/>
        <w:rPr>
          <w:rFonts w:ascii="Arial" w:hAnsi="Arial" w:cs="Arial"/>
        </w:rPr>
      </w:pPr>
      <w:r>
        <w:rPr>
          <w:rFonts w:ascii="Arial" w:hAnsi="Arial" w:cs="Arial"/>
        </w:rPr>
        <w:t>If the defendant introduces evidence, then the State has the right to open and close jury argument.</w:t>
      </w:r>
    </w:p>
    <w:p w14:paraId="2D971AC4" w14:textId="12C1EDBE" w:rsidR="008B1330" w:rsidRPr="000A3DD5" w:rsidRDefault="0033590E" w:rsidP="00BF6169">
      <w:pPr>
        <w:pStyle w:val="ListParagraph"/>
        <w:spacing w:after="0" w:line="240" w:lineRule="auto"/>
        <w:ind w:left="2160" w:firstLine="720"/>
        <w:rPr>
          <w:rFonts w:ascii="Arial" w:hAnsi="Arial" w:cs="Arial"/>
        </w:rPr>
      </w:pPr>
      <w:r>
        <w:rPr>
          <w:rFonts w:ascii="Arial" w:hAnsi="Arial" w:cs="Arial"/>
        </w:rPr>
        <w:t>In the context of a capital case, t</w:t>
      </w:r>
      <w:r w:rsidR="008B1330">
        <w:rPr>
          <w:rFonts w:ascii="Arial" w:hAnsi="Arial" w:cs="Arial"/>
        </w:rPr>
        <w:t xml:space="preserve">he North Carolina Supreme Court synthesized the application of G.S. 7A-97 and Rule 10 </w:t>
      </w:r>
      <w:r>
        <w:rPr>
          <w:rFonts w:ascii="Arial" w:hAnsi="Arial" w:cs="Arial"/>
        </w:rPr>
        <w:t xml:space="preserve">in situations </w:t>
      </w:r>
      <w:r w:rsidR="008B1330">
        <w:rPr>
          <w:rFonts w:ascii="Arial" w:hAnsi="Arial" w:cs="Arial"/>
        </w:rPr>
        <w:t>where the defendant presents evidence as follows:</w:t>
      </w:r>
    </w:p>
    <w:p w14:paraId="18EAA666" w14:textId="77777777" w:rsidR="008B1330" w:rsidRDefault="008B1330" w:rsidP="00BF6169">
      <w:pPr>
        <w:pStyle w:val="ListParagraph"/>
        <w:spacing w:after="0" w:line="240" w:lineRule="auto"/>
        <w:ind w:left="2880" w:right="720"/>
        <w:rPr>
          <w:rFonts w:ascii="Arial" w:hAnsi="Arial" w:cs="Arial"/>
        </w:rPr>
      </w:pPr>
    </w:p>
    <w:p w14:paraId="7CFE5EAF" w14:textId="77777777" w:rsidR="008B1330" w:rsidRDefault="008B1330" w:rsidP="00BF6169">
      <w:pPr>
        <w:pStyle w:val="ListParagraph"/>
        <w:spacing w:after="0" w:line="240" w:lineRule="auto"/>
        <w:ind w:left="2880" w:right="720"/>
        <w:rPr>
          <w:rFonts w:ascii="Arial" w:hAnsi="Arial" w:cs="Arial"/>
        </w:rPr>
      </w:pPr>
      <w:r w:rsidRPr="000A3DD5">
        <w:rPr>
          <w:rFonts w:ascii="Arial" w:hAnsi="Arial" w:cs="Arial"/>
        </w:rPr>
        <w:t>[A]</w:t>
      </w:r>
      <w:proofErr w:type="spellStart"/>
      <w:r w:rsidRPr="000A3DD5">
        <w:rPr>
          <w:rFonts w:ascii="Arial" w:hAnsi="Arial" w:cs="Arial"/>
        </w:rPr>
        <w:t>lthough</w:t>
      </w:r>
      <w:proofErr w:type="spellEnd"/>
      <w:r w:rsidRPr="000A3DD5">
        <w:rPr>
          <w:rFonts w:ascii="Arial" w:hAnsi="Arial" w:cs="Arial"/>
        </w:rPr>
        <w:t xml:space="preserve"> the trial court in a capital case may limit to three the number of </w:t>
      </w:r>
      <w:proofErr w:type="gramStart"/>
      <w:r w:rsidRPr="000A3DD5">
        <w:rPr>
          <w:rFonts w:ascii="Arial" w:hAnsi="Arial" w:cs="Arial"/>
        </w:rPr>
        <w:t>counsel</w:t>
      </w:r>
      <w:proofErr w:type="gramEnd"/>
      <w:r w:rsidRPr="000A3DD5">
        <w:rPr>
          <w:rFonts w:ascii="Arial" w:hAnsi="Arial" w:cs="Arial"/>
        </w:rPr>
        <w:t xml:space="preserve"> on each side who may address the jury, those three (or however many </w:t>
      </w:r>
      <w:proofErr w:type="gramStart"/>
      <w:r w:rsidRPr="000A3DD5">
        <w:rPr>
          <w:rFonts w:ascii="Arial" w:hAnsi="Arial" w:cs="Arial"/>
        </w:rPr>
        <w:t>actually argue</w:t>
      </w:r>
      <w:proofErr w:type="gramEnd"/>
      <w:r w:rsidRPr="000A3DD5">
        <w:rPr>
          <w:rFonts w:ascii="Arial" w:hAnsi="Arial" w:cs="Arial"/>
        </w:rPr>
        <w:t>) may argue for as long as they wish and each may address the jury as many times as he desires. Thus, for example, if one defense attorney grows weary of arguing, he may allow another defense attorney to address the jury and may, upon being refreshed, rise again to make another address during the defendant's time for argument. However, if the defendant presents evidence, all such addresses</w:t>
      </w:r>
      <w:r>
        <w:rPr>
          <w:rFonts w:ascii="Arial" w:hAnsi="Arial" w:cs="Arial"/>
        </w:rPr>
        <w:t xml:space="preserve"> [in the guilt-innocence phase]</w:t>
      </w:r>
      <w:r w:rsidRPr="000A3DD5">
        <w:rPr>
          <w:rFonts w:ascii="Arial" w:hAnsi="Arial" w:cs="Arial"/>
        </w:rPr>
        <w:t xml:space="preserve"> must be made prior to the prosecution's closing argument.</w:t>
      </w:r>
    </w:p>
    <w:p w14:paraId="4583524A" w14:textId="77777777" w:rsidR="008B1330" w:rsidRDefault="008B1330" w:rsidP="00BF6169">
      <w:pPr>
        <w:pStyle w:val="ListParagraph"/>
        <w:spacing w:after="0" w:line="240" w:lineRule="auto"/>
        <w:ind w:left="3600"/>
        <w:rPr>
          <w:rFonts w:ascii="Arial" w:hAnsi="Arial" w:cs="Arial"/>
        </w:rPr>
      </w:pPr>
    </w:p>
    <w:p w14:paraId="59F8BE51" w14:textId="020BACF2" w:rsidR="008B1330" w:rsidRPr="00174A35" w:rsidRDefault="008B1330" w:rsidP="00BF6169">
      <w:pPr>
        <w:pStyle w:val="ListParagraph"/>
        <w:spacing w:after="0" w:line="240" w:lineRule="auto"/>
        <w:ind w:left="2160"/>
        <w:rPr>
          <w:rFonts w:ascii="Arial" w:hAnsi="Arial" w:cs="Arial"/>
        </w:rPr>
      </w:pPr>
      <w:r w:rsidRPr="00B63E02">
        <w:rPr>
          <w:rFonts w:ascii="Arial" w:hAnsi="Arial" w:cs="Arial"/>
        </w:rPr>
        <w:t>State v. Gladden, 315 N.C. 398, 417 (1986)</w:t>
      </w:r>
      <w:r>
        <w:rPr>
          <w:rFonts w:ascii="Arial" w:hAnsi="Arial" w:cs="Arial"/>
        </w:rPr>
        <w:t xml:space="preserve">; </w:t>
      </w:r>
      <w:r>
        <w:rPr>
          <w:rFonts w:ascii="Arial" w:hAnsi="Arial" w:cs="Arial"/>
          <w:i/>
          <w:iCs/>
        </w:rPr>
        <w:t xml:space="preserve">see also </w:t>
      </w:r>
      <w:r>
        <w:rPr>
          <w:rFonts w:ascii="Arial" w:hAnsi="Arial" w:cs="Arial"/>
        </w:rPr>
        <w:t xml:space="preserve">State v. Barrow, 350 N.C. 640, 644 n.2 (1999) (noting that cases such as </w:t>
      </w:r>
      <w:r>
        <w:rPr>
          <w:rFonts w:ascii="Arial" w:hAnsi="Arial" w:cs="Arial"/>
          <w:i/>
          <w:iCs/>
        </w:rPr>
        <w:t>Gladden</w:t>
      </w:r>
      <w:r>
        <w:rPr>
          <w:rFonts w:ascii="Arial" w:hAnsi="Arial" w:cs="Arial"/>
        </w:rPr>
        <w:t xml:space="preserve"> decided under the predecessor statute to G.S. 7A-97, G.S. 84-14, remain “fully applicable”).</w:t>
      </w:r>
      <w:r w:rsidR="00174A35">
        <w:rPr>
          <w:rFonts w:ascii="Arial" w:hAnsi="Arial" w:cs="Arial"/>
        </w:rPr>
        <w:t xml:space="preserve"> Though no appellate case </w:t>
      </w:r>
      <w:r w:rsidR="00D87080">
        <w:rPr>
          <w:rFonts w:ascii="Arial" w:hAnsi="Arial" w:cs="Arial"/>
        </w:rPr>
        <w:t>has</w:t>
      </w:r>
      <w:r w:rsidR="00174A35">
        <w:rPr>
          <w:rFonts w:ascii="Arial" w:hAnsi="Arial" w:cs="Arial"/>
        </w:rPr>
        <w:t xml:space="preserve"> directly considered the issue, the Supreme Court’s interpretation of the interplay between G.S. 7A-97 and Rule 10 in </w:t>
      </w:r>
      <w:r w:rsidR="00174A35">
        <w:rPr>
          <w:rFonts w:ascii="Arial" w:hAnsi="Arial" w:cs="Arial"/>
          <w:i/>
          <w:iCs/>
        </w:rPr>
        <w:t xml:space="preserve">Gladden </w:t>
      </w:r>
      <w:r w:rsidR="00174A35">
        <w:rPr>
          <w:rFonts w:ascii="Arial" w:hAnsi="Arial" w:cs="Arial"/>
        </w:rPr>
        <w:t>arguably suggests that</w:t>
      </w:r>
      <w:r w:rsidR="00D87080">
        <w:rPr>
          <w:rFonts w:ascii="Arial" w:hAnsi="Arial" w:cs="Arial"/>
        </w:rPr>
        <w:t xml:space="preserve"> in non-capital cases</w:t>
      </w:r>
      <w:r w:rsidR="00174A35">
        <w:rPr>
          <w:rFonts w:ascii="Arial" w:hAnsi="Arial" w:cs="Arial"/>
        </w:rPr>
        <w:t xml:space="preserve"> the party </w:t>
      </w:r>
      <w:r w:rsidR="00D87080">
        <w:rPr>
          <w:rFonts w:ascii="Arial" w:hAnsi="Arial" w:cs="Arial"/>
        </w:rPr>
        <w:t xml:space="preserve">without the right to open and close jury argument </w:t>
      </w:r>
      <w:r w:rsidR="00CF33AC">
        <w:rPr>
          <w:rFonts w:ascii="Arial" w:hAnsi="Arial" w:cs="Arial"/>
        </w:rPr>
        <w:t>is entitled</w:t>
      </w:r>
      <w:r w:rsidR="00AB3CDB">
        <w:rPr>
          <w:rFonts w:ascii="Arial" w:hAnsi="Arial" w:cs="Arial"/>
        </w:rPr>
        <w:t>, if they desire,</w:t>
      </w:r>
      <w:r w:rsidR="00D87080">
        <w:rPr>
          <w:rFonts w:ascii="Arial" w:hAnsi="Arial" w:cs="Arial"/>
        </w:rPr>
        <w:t xml:space="preserve"> to </w:t>
      </w:r>
      <w:r w:rsidR="00AB3CDB">
        <w:rPr>
          <w:rFonts w:ascii="Arial" w:hAnsi="Arial" w:cs="Arial"/>
        </w:rPr>
        <w:t xml:space="preserve">two </w:t>
      </w:r>
      <w:r w:rsidR="00D87080">
        <w:rPr>
          <w:rFonts w:ascii="Arial" w:hAnsi="Arial" w:cs="Arial"/>
        </w:rPr>
        <w:t>address</w:t>
      </w:r>
      <w:r w:rsidR="00AB3CDB">
        <w:rPr>
          <w:rFonts w:ascii="Arial" w:hAnsi="Arial" w:cs="Arial"/>
        </w:rPr>
        <w:t>es to</w:t>
      </w:r>
      <w:r w:rsidR="00D87080">
        <w:rPr>
          <w:rFonts w:ascii="Arial" w:hAnsi="Arial" w:cs="Arial"/>
        </w:rPr>
        <w:t xml:space="preserve"> the jury between the opposing party’s arguments.</w:t>
      </w:r>
      <w:r w:rsidR="00BD1F01">
        <w:rPr>
          <w:rFonts w:ascii="Arial" w:hAnsi="Arial" w:cs="Arial"/>
        </w:rPr>
        <w:t xml:space="preserve"> </w:t>
      </w:r>
      <w:r w:rsidR="00BD1F01">
        <w:rPr>
          <w:rFonts w:ascii="Arial" w:hAnsi="Arial" w:cs="Arial"/>
          <w:i/>
          <w:iCs/>
        </w:rPr>
        <w:t xml:space="preserve">See </w:t>
      </w:r>
      <w:r w:rsidR="00BD1F01" w:rsidRPr="00F251A6">
        <w:rPr>
          <w:rFonts w:ascii="Arial" w:hAnsi="Arial" w:cs="Arial"/>
        </w:rPr>
        <w:t>G.S. 7A-97</w:t>
      </w:r>
      <w:r w:rsidR="00BD1F01">
        <w:rPr>
          <w:rFonts w:ascii="Arial" w:hAnsi="Arial" w:cs="Arial"/>
        </w:rPr>
        <w:t xml:space="preserve"> (“In [non-capital] trials in the superior courts there shall be allowed two addresses to the jury for the State . . . and two for the defendant . . ..”).</w:t>
      </w:r>
      <w:r w:rsidR="00200A99">
        <w:rPr>
          <w:rFonts w:ascii="Arial" w:hAnsi="Arial" w:cs="Arial"/>
        </w:rPr>
        <w:t xml:space="preserve"> For example, a</w:t>
      </w:r>
      <w:r w:rsidR="0033590E">
        <w:rPr>
          <w:rFonts w:ascii="Arial" w:hAnsi="Arial" w:cs="Arial"/>
        </w:rPr>
        <w:t xml:space="preserve"> </w:t>
      </w:r>
      <w:r w:rsidR="00200A99">
        <w:rPr>
          <w:rFonts w:ascii="Arial" w:hAnsi="Arial" w:cs="Arial"/>
        </w:rPr>
        <w:t>defendant</w:t>
      </w:r>
      <w:r w:rsidR="0033590E">
        <w:rPr>
          <w:rFonts w:ascii="Arial" w:hAnsi="Arial" w:cs="Arial"/>
        </w:rPr>
        <w:t xml:space="preserve"> in a non-capital case who</w:t>
      </w:r>
      <w:r w:rsidR="00AC4FA5">
        <w:rPr>
          <w:rFonts w:ascii="Arial" w:hAnsi="Arial" w:cs="Arial"/>
        </w:rPr>
        <w:t xml:space="preserve"> introduces evidence and</w:t>
      </w:r>
      <w:r w:rsidR="0033590E">
        <w:rPr>
          <w:rFonts w:ascii="Arial" w:hAnsi="Arial" w:cs="Arial"/>
        </w:rPr>
        <w:t xml:space="preserve"> is</w:t>
      </w:r>
      <w:r w:rsidR="00200A99">
        <w:rPr>
          <w:rFonts w:ascii="Arial" w:hAnsi="Arial" w:cs="Arial"/>
        </w:rPr>
        <w:t xml:space="preserve"> represented by two attorneys </w:t>
      </w:r>
      <w:r w:rsidR="00AC4FA5">
        <w:rPr>
          <w:rFonts w:ascii="Arial" w:hAnsi="Arial" w:cs="Arial"/>
        </w:rPr>
        <w:t>may wish</w:t>
      </w:r>
      <w:r w:rsidR="00200A99">
        <w:rPr>
          <w:rFonts w:ascii="Arial" w:hAnsi="Arial" w:cs="Arial"/>
        </w:rPr>
        <w:t xml:space="preserve"> to have each attorney </w:t>
      </w:r>
      <w:r w:rsidR="00AC4FA5">
        <w:rPr>
          <w:rFonts w:ascii="Arial" w:hAnsi="Arial" w:cs="Arial"/>
        </w:rPr>
        <w:t>make a closing argument to</w:t>
      </w:r>
      <w:r w:rsidR="0049323C">
        <w:rPr>
          <w:rFonts w:ascii="Arial" w:hAnsi="Arial" w:cs="Arial"/>
        </w:rPr>
        <w:t xml:space="preserve"> the jury</w:t>
      </w:r>
      <w:r w:rsidR="00200A99">
        <w:rPr>
          <w:rFonts w:ascii="Arial" w:hAnsi="Arial" w:cs="Arial"/>
        </w:rPr>
        <w:t xml:space="preserve"> prior to the State’s final argument.</w:t>
      </w:r>
    </w:p>
    <w:p w14:paraId="1D6C7484" w14:textId="27C3A8A4" w:rsidR="00887679" w:rsidRDefault="000B6E5C" w:rsidP="00BF6169">
      <w:pPr>
        <w:pStyle w:val="ListParagraph"/>
        <w:spacing w:after="0" w:line="240" w:lineRule="auto"/>
        <w:ind w:left="2160" w:firstLine="720"/>
        <w:rPr>
          <w:rFonts w:ascii="Arial" w:hAnsi="Arial" w:cs="Arial"/>
        </w:rPr>
      </w:pPr>
      <w:r>
        <w:rPr>
          <w:rFonts w:ascii="Arial" w:hAnsi="Arial" w:cs="Arial"/>
        </w:rPr>
        <w:t xml:space="preserve">The Court of Appeals has suggested that in cases where the defendant </w:t>
      </w:r>
      <w:r w:rsidR="00E63175">
        <w:rPr>
          <w:rFonts w:ascii="Arial" w:hAnsi="Arial" w:cs="Arial"/>
        </w:rPr>
        <w:t xml:space="preserve">has the final argument because he or she has not put on evidence, the better practice is for the prosecutor not to explain the order of arguments to the jury. State v. Miller, 32 N.C. App. 770, 771 (1977) (so suggesting but finding no prejudicial error in case where prosecutor explained to jury that “the defense has the last argument when the </w:t>
      </w:r>
      <w:r w:rsidR="00E63175">
        <w:rPr>
          <w:rFonts w:ascii="Arial" w:hAnsi="Arial" w:cs="Arial"/>
        </w:rPr>
        <w:lastRenderedPageBreak/>
        <w:t>defense does not offer evidence”)</w:t>
      </w:r>
      <w:r w:rsidR="00066FDD">
        <w:rPr>
          <w:rFonts w:ascii="Arial" w:hAnsi="Arial" w:cs="Arial"/>
        </w:rPr>
        <w:t>;</w:t>
      </w:r>
      <w:r w:rsidR="00E63175">
        <w:rPr>
          <w:rFonts w:ascii="Arial" w:hAnsi="Arial" w:cs="Arial"/>
        </w:rPr>
        <w:t xml:space="preserve"> </w:t>
      </w:r>
      <w:r w:rsidR="00E63175">
        <w:rPr>
          <w:rFonts w:ascii="Arial" w:hAnsi="Arial" w:cs="Arial"/>
          <w:i/>
          <w:iCs/>
        </w:rPr>
        <w:t xml:space="preserve">see also </w:t>
      </w:r>
      <w:r w:rsidR="00E63175">
        <w:rPr>
          <w:rFonts w:ascii="Arial" w:hAnsi="Arial" w:cs="Arial"/>
        </w:rPr>
        <w:t xml:space="preserve">State v. Griffin, 308 N.C. 303, 314 (1983) (citing </w:t>
      </w:r>
      <w:r w:rsidR="00E63175">
        <w:rPr>
          <w:rFonts w:ascii="Arial" w:hAnsi="Arial" w:cs="Arial"/>
          <w:i/>
          <w:iCs/>
        </w:rPr>
        <w:t>Miller</w:t>
      </w:r>
      <w:r w:rsidR="00E63175">
        <w:rPr>
          <w:rFonts w:ascii="Arial" w:hAnsi="Arial" w:cs="Arial"/>
        </w:rPr>
        <w:t xml:space="preserve"> favorably).</w:t>
      </w:r>
    </w:p>
    <w:p w14:paraId="70C8CF93" w14:textId="488763FE" w:rsidR="00303B89" w:rsidRDefault="00451ED4" w:rsidP="00BF6169">
      <w:pPr>
        <w:pStyle w:val="ListParagraph"/>
        <w:spacing w:after="0" w:line="240" w:lineRule="auto"/>
        <w:ind w:left="2160" w:firstLine="720"/>
        <w:rPr>
          <w:rFonts w:ascii="Arial" w:hAnsi="Arial" w:cs="Arial"/>
        </w:rPr>
      </w:pPr>
      <w:r w:rsidRPr="00C02C0F">
        <w:rPr>
          <w:rFonts w:ascii="Arial" w:hAnsi="Arial" w:cs="Arial"/>
        </w:rPr>
        <w:t xml:space="preserve">If there is a question as to the proper order of arguments, Rule 10 provides that </w:t>
      </w:r>
      <w:r w:rsidR="00245097" w:rsidRPr="00C02C0F">
        <w:rPr>
          <w:rFonts w:ascii="Arial" w:hAnsi="Arial" w:cs="Arial"/>
        </w:rPr>
        <w:t>the trial court decides the issue</w:t>
      </w:r>
      <w:r w:rsidRPr="00C02C0F">
        <w:rPr>
          <w:rFonts w:ascii="Arial" w:hAnsi="Arial" w:cs="Arial"/>
        </w:rPr>
        <w:t>.</w:t>
      </w:r>
      <w:r w:rsidR="00AA4F0C" w:rsidRPr="00C02C0F">
        <w:rPr>
          <w:rFonts w:ascii="Arial" w:hAnsi="Arial" w:cs="Arial"/>
        </w:rPr>
        <w:t xml:space="preserve"> Note, however, that it is reversible error to deny a defendant the final argument to the jury </w:t>
      </w:r>
      <w:proofErr w:type="gramStart"/>
      <w:r w:rsidR="00AA4F0C" w:rsidRPr="00C02C0F">
        <w:rPr>
          <w:rFonts w:ascii="Arial" w:hAnsi="Arial" w:cs="Arial"/>
        </w:rPr>
        <w:t>on the basis of</w:t>
      </w:r>
      <w:proofErr w:type="gramEnd"/>
      <w:r w:rsidR="00AA4F0C" w:rsidRPr="00C02C0F">
        <w:rPr>
          <w:rFonts w:ascii="Arial" w:hAnsi="Arial" w:cs="Arial"/>
        </w:rPr>
        <w:t xml:space="preserve"> an incorrect determination that he or she </w:t>
      </w:r>
      <w:r w:rsidR="00172595" w:rsidRPr="00C02C0F">
        <w:rPr>
          <w:rFonts w:ascii="Arial" w:hAnsi="Arial" w:cs="Arial"/>
        </w:rPr>
        <w:t xml:space="preserve">has </w:t>
      </w:r>
      <w:r w:rsidR="00AA4F0C" w:rsidRPr="00C02C0F">
        <w:rPr>
          <w:rFonts w:ascii="Arial" w:hAnsi="Arial" w:cs="Arial"/>
        </w:rPr>
        <w:t>introduced evidence.</w:t>
      </w:r>
      <w:r w:rsidR="00172595" w:rsidRPr="00C02C0F">
        <w:rPr>
          <w:rFonts w:ascii="Arial" w:hAnsi="Arial" w:cs="Arial"/>
        </w:rPr>
        <w:t xml:space="preserve"> </w:t>
      </w:r>
      <w:r w:rsidR="002071D8" w:rsidRPr="00066FDD">
        <w:rPr>
          <w:rFonts w:ascii="Arial" w:hAnsi="Arial" w:cs="Arial"/>
          <w:i/>
          <w:iCs/>
        </w:rPr>
        <w:t>English</w:t>
      </w:r>
      <w:r w:rsidR="002071D8" w:rsidRPr="00C02C0F">
        <w:rPr>
          <w:rFonts w:ascii="Arial" w:hAnsi="Arial" w:cs="Arial"/>
        </w:rPr>
        <w:t xml:space="preserve">, 194 N.C. App. </w:t>
      </w:r>
      <w:r w:rsidR="00245097" w:rsidRPr="00C02C0F">
        <w:rPr>
          <w:rFonts w:ascii="Arial" w:hAnsi="Arial" w:cs="Arial"/>
        </w:rPr>
        <w:t>at</w:t>
      </w:r>
      <w:r w:rsidR="002071D8" w:rsidRPr="00C02C0F">
        <w:rPr>
          <w:rFonts w:ascii="Arial" w:hAnsi="Arial" w:cs="Arial"/>
        </w:rPr>
        <w:t xml:space="preserve"> 317 (</w:t>
      </w:r>
      <w:r w:rsidR="00245097" w:rsidRPr="00C02C0F">
        <w:rPr>
          <w:rFonts w:ascii="Arial" w:hAnsi="Arial" w:cs="Arial"/>
        </w:rPr>
        <w:t xml:space="preserve">defendant’s right to open and close </w:t>
      </w:r>
      <w:r w:rsidR="009C44A9">
        <w:rPr>
          <w:rFonts w:ascii="Arial" w:hAnsi="Arial" w:cs="Arial"/>
        </w:rPr>
        <w:t xml:space="preserve">final </w:t>
      </w:r>
      <w:r w:rsidR="00245097" w:rsidRPr="00C02C0F">
        <w:rPr>
          <w:rFonts w:ascii="Arial" w:hAnsi="Arial" w:cs="Arial"/>
        </w:rPr>
        <w:t>argument is “critically important” and improper deprivation</w:t>
      </w:r>
      <w:r w:rsidR="00DA0688" w:rsidRPr="00C02C0F">
        <w:rPr>
          <w:rFonts w:ascii="Arial" w:hAnsi="Arial" w:cs="Arial"/>
        </w:rPr>
        <w:t xml:space="preserve"> of right</w:t>
      </w:r>
      <w:r w:rsidR="00245097" w:rsidRPr="00C02C0F">
        <w:rPr>
          <w:rFonts w:ascii="Arial" w:hAnsi="Arial" w:cs="Arial"/>
        </w:rPr>
        <w:t xml:space="preserve"> entitles defendant to new trial</w:t>
      </w:r>
      <w:r w:rsidR="002071D8" w:rsidRPr="00C02C0F">
        <w:rPr>
          <w:rFonts w:ascii="Arial" w:hAnsi="Arial" w:cs="Arial"/>
        </w:rPr>
        <w:t>)</w:t>
      </w:r>
      <w:r w:rsidR="009C44A9">
        <w:rPr>
          <w:rFonts w:ascii="Arial" w:hAnsi="Arial" w:cs="Arial"/>
        </w:rPr>
        <w:t xml:space="preserve">; </w:t>
      </w:r>
      <w:r w:rsidR="009C44A9">
        <w:rPr>
          <w:rFonts w:ascii="Arial" w:hAnsi="Arial" w:cs="Arial"/>
          <w:i/>
          <w:iCs/>
        </w:rPr>
        <w:t xml:space="preserve">see also </w:t>
      </w:r>
      <w:r w:rsidR="009C44A9">
        <w:rPr>
          <w:rFonts w:ascii="Arial" w:hAnsi="Arial" w:cs="Arial"/>
        </w:rPr>
        <w:t xml:space="preserve">State v. Pressley, </w:t>
      </w:r>
      <w:r w:rsidR="00A322ED">
        <w:rPr>
          <w:rFonts w:ascii="Arial" w:hAnsi="Arial" w:cs="Arial"/>
        </w:rPr>
        <w:t>297</w:t>
      </w:r>
      <w:r w:rsidR="009C44A9">
        <w:rPr>
          <w:rFonts w:ascii="Arial" w:hAnsi="Arial" w:cs="Arial"/>
        </w:rPr>
        <w:t xml:space="preserve"> N.C. App. </w:t>
      </w:r>
      <w:r w:rsidR="00A322ED">
        <w:rPr>
          <w:rFonts w:ascii="Arial" w:hAnsi="Arial" w:cs="Arial"/>
        </w:rPr>
        <w:t>495, 498</w:t>
      </w:r>
      <w:r w:rsidR="009C44A9">
        <w:rPr>
          <w:rFonts w:ascii="Arial" w:hAnsi="Arial" w:cs="Arial"/>
        </w:rPr>
        <w:t xml:space="preserve"> (2024) (characterizing the statement in </w:t>
      </w:r>
      <w:r w:rsidR="009C44A9">
        <w:rPr>
          <w:rFonts w:ascii="Arial" w:hAnsi="Arial" w:cs="Arial"/>
          <w:i/>
          <w:iCs/>
        </w:rPr>
        <w:t xml:space="preserve">English </w:t>
      </w:r>
      <w:r w:rsidR="009C44A9">
        <w:rPr>
          <w:rFonts w:ascii="Arial" w:hAnsi="Arial" w:cs="Arial"/>
        </w:rPr>
        <w:t xml:space="preserve">of the “critical importance” of the right as applying to closing the final argument but not necessarily to opening it; finding that </w:t>
      </w:r>
      <w:r w:rsidR="001E046F">
        <w:rPr>
          <w:rFonts w:ascii="Arial" w:hAnsi="Arial" w:cs="Arial"/>
          <w:i/>
          <w:iCs/>
        </w:rPr>
        <w:t xml:space="preserve">pro se </w:t>
      </w:r>
      <w:r w:rsidR="009C44A9">
        <w:rPr>
          <w:rFonts w:ascii="Arial" w:hAnsi="Arial" w:cs="Arial"/>
        </w:rPr>
        <w:t>defendant had failed to preserve argument that trial court erred by not affirmatively informing him of his right to open final argument</w:t>
      </w:r>
      <w:r w:rsidR="001E046F">
        <w:rPr>
          <w:rFonts w:ascii="Arial" w:hAnsi="Arial" w:cs="Arial"/>
        </w:rPr>
        <w:t>, and declining to invoke Rule 2 to consider the unpreserved issue</w:t>
      </w:r>
      <w:r w:rsidR="009C44A9">
        <w:rPr>
          <w:rFonts w:ascii="Arial" w:hAnsi="Arial" w:cs="Arial"/>
        </w:rPr>
        <w:t>)</w:t>
      </w:r>
      <w:r w:rsidR="0024388E">
        <w:rPr>
          <w:rFonts w:ascii="Arial" w:hAnsi="Arial" w:cs="Arial"/>
        </w:rPr>
        <w:t>;</w:t>
      </w:r>
      <w:r w:rsidR="0069640B">
        <w:rPr>
          <w:rFonts w:ascii="Arial" w:hAnsi="Arial" w:cs="Arial"/>
        </w:rPr>
        <w:t xml:space="preserve"> </w:t>
      </w:r>
      <w:r w:rsidR="0024388E">
        <w:rPr>
          <w:rFonts w:ascii="Arial" w:hAnsi="Arial" w:cs="Arial"/>
        </w:rPr>
        <w:t xml:space="preserve">Jonathan Holbrook, </w:t>
      </w:r>
      <w:hyperlink r:id="rId9" w:history="1">
        <w:r w:rsidR="0024388E" w:rsidRPr="0024388E">
          <w:rPr>
            <w:rStyle w:val="Hyperlink"/>
            <w:rFonts w:ascii="Arial" w:hAnsi="Arial" w:cs="Arial"/>
            <w:i/>
            <w:iCs/>
          </w:rPr>
          <w:t>Who Goes Last?</w:t>
        </w:r>
      </w:hyperlink>
      <w:r w:rsidR="0024388E">
        <w:rPr>
          <w:rFonts w:ascii="Arial" w:hAnsi="Arial" w:cs="Arial"/>
        </w:rPr>
        <w:t xml:space="preserve">, </w:t>
      </w:r>
      <w:r w:rsidR="0024388E">
        <w:rPr>
          <w:rFonts w:ascii="Arial" w:hAnsi="Arial" w:cs="Arial"/>
          <w:smallCaps/>
        </w:rPr>
        <w:t>N.C. Crim. L., UNC Sch. of Gov’t Blog</w:t>
      </w:r>
      <w:r w:rsidR="0024388E">
        <w:rPr>
          <w:rFonts w:ascii="Arial" w:hAnsi="Arial" w:cs="Arial"/>
        </w:rPr>
        <w:t xml:space="preserve"> (July 10, 2018)</w:t>
      </w:r>
      <w:r w:rsidR="0004055F">
        <w:rPr>
          <w:rFonts w:ascii="Arial" w:hAnsi="Arial" w:cs="Arial"/>
        </w:rPr>
        <w:t xml:space="preserve"> (collecting and analyzing caselaw on whether evidence has been offered within the meaning of Rule 10</w:t>
      </w:r>
      <w:r w:rsidR="00831426">
        <w:rPr>
          <w:rFonts w:ascii="Arial" w:hAnsi="Arial" w:cs="Arial"/>
        </w:rPr>
        <w:t xml:space="preserve"> under various facts</w:t>
      </w:r>
      <w:r w:rsidR="0004055F">
        <w:rPr>
          <w:rFonts w:ascii="Arial" w:hAnsi="Arial" w:cs="Arial"/>
        </w:rPr>
        <w:t>)</w:t>
      </w:r>
      <w:r w:rsidR="00172595" w:rsidRPr="00C02C0F">
        <w:rPr>
          <w:rFonts w:ascii="Arial" w:hAnsi="Arial" w:cs="Arial"/>
        </w:rPr>
        <w:t>.</w:t>
      </w:r>
      <w:r w:rsidR="001E6ABC">
        <w:rPr>
          <w:rFonts w:ascii="Arial" w:hAnsi="Arial" w:cs="Arial"/>
        </w:rPr>
        <w:t xml:space="preserve"> </w:t>
      </w:r>
    </w:p>
    <w:p w14:paraId="25E524C6" w14:textId="02C85F01" w:rsidR="007B6333" w:rsidRDefault="000A3DD5" w:rsidP="00BF6169">
      <w:pPr>
        <w:pStyle w:val="ListParagraph"/>
        <w:spacing w:after="0" w:line="240" w:lineRule="auto"/>
        <w:ind w:left="2160" w:firstLine="720"/>
        <w:rPr>
          <w:rFonts w:ascii="Arial" w:hAnsi="Arial" w:cs="Arial"/>
        </w:rPr>
      </w:pPr>
      <w:r>
        <w:rPr>
          <w:rFonts w:ascii="Arial" w:hAnsi="Arial" w:cs="Arial"/>
        </w:rPr>
        <w:t>While Rule 10 applies to the guilt</w:t>
      </w:r>
      <w:r w:rsidR="000372A2">
        <w:rPr>
          <w:rFonts w:ascii="Arial" w:hAnsi="Arial" w:cs="Arial"/>
        </w:rPr>
        <w:t>-</w:t>
      </w:r>
      <w:r>
        <w:rPr>
          <w:rFonts w:ascii="Arial" w:hAnsi="Arial" w:cs="Arial"/>
        </w:rPr>
        <w:t xml:space="preserve">innocence phase of a capital trial, </w:t>
      </w:r>
      <w:r w:rsidRPr="00887679">
        <w:rPr>
          <w:rFonts w:ascii="Arial" w:hAnsi="Arial" w:cs="Arial"/>
        </w:rPr>
        <w:t>see</w:t>
      </w:r>
      <w:r>
        <w:rPr>
          <w:rFonts w:ascii="Arial" w:hAnsi="Arial" w:cs="Arial"/>
          <w:i/>
          <w:iCs/>
        </w:rPr>
        <w:t xml:space="preserve"> </w:t>
      </w:r>
      <w:r w:rsidRPr="008B1330">
        <w:rPr>
          <w:rFonts w:ascii="Arial" w:hAnsi="Arial" w:cs="Arial"/>
          <w:i/>
          <w:iCs/>
        </w:rPr>
        <w:t>Gladden</w:t>
      </w:r>
      <w:r>
        <w:rPr>
          <w:rFonts w:ascii="Arial" w:hAnsi="Arial" w:cs="Arial"/>
        </w:rPr>
        <w:t xml:space="preserve">, 315 N.C. </w:t>
      </w:r>
      <w:r w:rsidR="008B1330">
        <w:rPr>
          <w:rFonts w:ascii="Arial" w:hAnsi="Arial" w:cs="Arial"/>
        </w:rPr>
        <w:t>at</w:t>
      </w:r>
      <w:r>
        <w:rPr>
          <w:rFonts w:ascii="Arial" w:hAnsi="Arial" w:cs="Arial"/>
        </w:rPr>
        <w:t xml:space="preserve"> 421, </w:t>
      </w:r>
      <w:r w:rsidR="001E6ABC">
        <w:rPr>
          <w:rFonts w:ascii="Arial" w:hAnsi="Arial" w:cs="Arial"/>
        </w:rPr>
        <w:t>G.S. 15A-2000(a)(4) guarantees the defendant the right to the last argument in a capital sentencing proceeding</w:t>
      </w:r>
      <w:r w:rsidR="00AB58BB">
        <w:rPr>
          <w:rFonts w:ascii="Arial" w:hAnsi="Arial" w:cs="Arial"/>
        </w:rPr>
        <w:t xml:space="preserve"> regardless of whether the defendant has presented evidence during the sentencing phase</w:t>
      </w:r>
      <w:r w:rsidR="001E6ABC">
        <w:rPr>
          <w:rFonts w:ascii="Arial" w:hAnsi="Arial" w:cs="Arial"/>
        </w:rPr>
        <w:t>.</w:t>
      </w:r>
      <w:r w:rsidR="00AB58BB">
        <w:rPr>
          <w:rFonts w:ascii="Arial" w:hAnsi="Arial" w:cs="Arial"/>
        </w:rPr>
        <w:t xml:space="preserve"> </w:t>
      </w:r>
      <w:r w:rsidR="00AB58BB" w:rsidRPr="008B1330">
        <w:rPr>
          <w:rFonts w:ascii="Arial" w:hAnsi="Arial" w:cs="Arial"/>
          <w:i/>
          <w:iCs/>
        </w:rPr>
        <w:t>Barrow</w:t>
      </w:r>
      <w:r w:rsidR="00AB58BB">
        <w:rPr>
          <w:rFonts w:ascii="Arial" w:hAnsi="Arial" w:cs="Arial"/>
        </w:rPr>
        <w:t xml:space="preserve">, 350 N.C. </w:t>
      </w:r>
      <w:r w:rsidR="008B1330">
        <w:rPr>
          <w:rFonts w:ascii="Arial" w:hAnsi="Arial" w:cs="Arial"/>
        </w:rPr>
        <w:t>at</w:t>
      </w:r>
      <w:r w:rsidR="00AB58BB">
        <w:rPr>
          <w:rFonts w:ascii="Arial" w:hAnsi="Arial" w:cs="Arial"/>
        </w:rPr>
        <w:t xml:space="preserve"> 644</w:t>
      </w:r>
      <w:r w:rsidR="00303B89">
        <w:rPr>
          <w:rFonts w:ascii="Arial" w:hAnsi="Arial" w:cs="Arial"/>
        </w:rPr>
        <w:t>; G.S. 15A-1230, official commentary (so noting)</w:t>
      </w:r>
      <w:r w:rsidR="00AB58BB">
        <w:rPr>
          <w:rFonts w:ascii="Arial" w:hAnsi="Arial" w:cs="Arial"/>
        </w:rPr>
        <w:t>.</w:t>
      </w:r>
    </w:p>
    <w:p w14:paraId="62C090C7" w14:textId="77777777" w:rsidR="001F3316" w:rsidRDefault="001F3316" w:rsidP="00DB30BF">
      <w:pPr>
        <w:pStyle w:val="ListParagraph"/>
        <w:spacing w:after="0" w:line="240" w:lineRule="auto"/>
        <w:rPr>
          <w:rFonts w:ascii="Arial" w:hAnsi="Arial" w:cs="Arial"/>
        </w:rPr>
      </w:pPr>
    </w:p>
    <w:p w14:paraId="4E0A9402" w14:textId="1AFBCCF7" w:rsidR="001E4DE1" w:rsidRPr="001E4DE1" w:rsidRDefault="001E4DE1" w:rsidP="001E4DE1">
      <w:pPr>
        <w:pStyle w:val="ListParagraph"/>
        <w:numPr>
          <w:ilvl w:val="0"/>
          <w:numId w:val="19"/>
        </w:numPr>
        <w:spacing w:after="0" w:line="240" w:lineRule="auto"/>
        <w:ind w:left="1440" w:hanging="720"/>
        <w:rPr>
          <w:rFonts w:ascii="Arial" w:hAnsi="Arial" w:cs="Arial"/>
          <w:b/>
          <w:bCs/>
        </w:rPr>
      </w:pPr>
      <w:bookmarkStart w:id="6" w:name="_Toc209539185"/>
      <w:r w:rsidRPr="0050667B">
        <w:rPr>
          <w:rStyle w:val="Heading2Char"/>
        </w:rPr>
        <w:t xml:space="preserve">Habitual </w:t>
      </w:r>
      <w:r w:rsidR="0050667B" w:rsidRPr="0050667B">
        <w:rPr>
          <w:rStyle w:val="Heading2Char"/>
        </w:rPr>
        <w:t>Status</w:t>
      </w:r>
      <w:r w:rsidR="00930494">
        <w:rPr>
          <w:rStyle w:val="Heading2Char"/>
        </w:rPr>
        <w:t xml:space="preserve"> Proceedings</w:t>
      </w:r>
      <w:bookmarkEnd w:id="6"/>
      <w:r w:rsidR="0050667B">
        <w:rPr>
          <w:rFonts w:ascii="Arial" w:hAnsi="Arial" w:cs="Arial"/>
          <w:b/>
          <w:bCs/>
        </w:rPr>
        <w:t>.</w:t>
      </w:r>
      <w:r w:rsidR="0050667B">
        <w:rPr>
          <w:rFonts w:ascii="Arial" w:hAnsi="Arial" w:cs="Arial"/>
        </w:rPr>
        <w:t xml:space="preserve"> The statutes describing the bifurcated proceedings used to determine habitual felon, violent habitual felon, armed habitual felon, or habitual breaking and entering status </w:t>
      </w:r>
      <w:r w:rsidR="009A4FAA">
        <w:rPr>
          <w:rFonts w:ascii="Arial" w:hAnsi="Arial" w:cs="Arial"/>
        </w:rPr>
        <w:t xml:space="preserve">each </w:t>
      </w:r>
      <w:r w:rsidR="0050667B">
        <w:rPr>
          <w:rFonts w:ascii="Arial" w:hAnsi="Arial" w:cs="Arial"/>
        </w:rPr>
        <w:t xml:space="preserve">state that “the proceedings shall be as if the issue of [the status] were a principal charge.” G.S. 14-7.5 (habitual felon); G.S. 14-7.11 (violent habitual felon); G.S. 14-7.40(b) (armed habitual felon); G.S. </w:t>
      </w:r>
      <w:r w:rsidR="009A4FAA">
        <w:rPr>
          <w:rFonts w:ascii="Arial" w:hAnsi="Arial" w:cs="Arial"/>
        </w:rPr>
        <w:t>14-7.30(b) (habitual breaking and entering).</w:t>
      </w:r>
      <w:r w:rsidR="0003011B">
        <w:rPr>
          <w:rFonts w:ascii="Arial" w:hAnsi="Arial" w:cs="Arial"/>
        </w:rPr>
        <w:t xml:space="preserve"> The Court of Appeals has </w:t>
      </w:r>
      <w:r w:rsidR="00E0013A">
        <w:rPr>
          <w:rFonts w:ascii="Arial" w:hAnsi="Arial" w:cs="Arial"/>
        </w:rPr>
        <w:t>s</w:t>
      </w:r>
      <w:r w:rsidR="00322A18">
        <w:rPr>
          <w:rFonts w:ascii="Arial" w:hAnsi="Arial" w:cs="Arial"/>
        </w:rPr>
        <w:t>aid</w:t>
      </w:r>
      <w:r w:rsidR="00E0013A">
        <w:rPr>
          <w:rFonts w:ascii="Arial" w:hAnsi="Arial" w:cs="Arial"/>
        </w:rPr>
        <w:t xml:space="preserve"> in a habitual breaking and entering case that a defendant has a statutory right to make an opening statement and closing argument</w:t>
      </w:r>
      <w:r w:rsidR="00322A18">
        <w:rPr>
          <w:rFonts w:ascii="Arial" w:hAnsi="Arial" w:cs="Arial"/>
        </w:rPr>
        <w:t xml:space="preserve"> during the status-determination phase</w:t>
      </w:r>
      <w:r w:rsidR="00E0013A">
        <w:rPr>
          <w:rFonts w:ascii="Arial" w:hAnsi="Arial" w:cs="Arial"/>
        </w:rPr>
        <w:t>, though it found that the defendant waived the right by not objecting to the trial court’s failure to provide an opportunity to make the addresses or requesting the opportunity to do so. State v. Graham, 287 N.C. App. 477, 486 (2023).</w:t>
      </w:r>
    </w:p>
    <w:p w14:paraId="41412196" w14:textId="77777777" w:rsidR="001E4DE1" w:rsidRPr="005C36DE" w:rsidRDefault="001E4DE1" w:rsidP="00DB30BF">
      <w:pPr>
        <w:pStyle w:val="ListParagraph"/>
        <w:spacing w:after="0" w:line="240" w:lineRule="auto"/>
        <w:rPr>
          <w:rFonts w:ascii="Arial" w:hAnsi="Arial" w:cs="Arial"/>
        </w:rPr>
      </w:pPr>
    </w:p>
    <w:p w14:paraId="79B8C07A" w14:textId="61F21B34" w:rsidR="00F03CD1" w:rsidRPr="00803F7C" w:rsidRDefault="00803F7C" w:rsidP="002103C1">
      <w:pPr>
        <w:pStyle w:val="Heading1"/>
        <w:spacing w:after="0" w:line="240" w:lineRule="auto"/>
        <w:rPr>
          <w:vanish/>
          <w:specVanish/>
        </w:rPr>
      </w:pPr>
      <w:bookmarkStart w:id="7" w:name="_Toc209539186"/>
      <w:r w:rsidRPr="00803F7C">
        <w:t xml:space="preserve">Permissible Opening </w:t>
      </w:r>
      <w:r w:rsidR="00854AB3">
        <w:t>Statement.</w:t>
      </w:r>
      <w:bookmarkEnd w:id="7"/>
    </w:p>
    <w:p w14:paraId="5DDB6F7B" w14:textId="0FBA2B0E" w:rsidR="000313BE" w:rsidRDefault="00F03CD1" w:rsidP="00F03CD1">
      <w:pPr>
        <w:spacing w:after="0" w:line="240" w:lineRule="auto"/>
        <w:ind w:left="720" w:hanging="720"/>
        <w:rPr>
          <w:rFonts w:ascii="Arial" w:hAnsi="Arial" w:cs="Arial"/>
        </w:rPr>
      </w:pPr>
      <w:r>
        <w:t xml:space="preserve"> </w:t>
      </w:r>
      <w:r w:rsidR="005F7A21">
        <w:rPr>
          <w:rFonts w:ascii="Arial" w:hAnsi="Arial" w:cs="Arial"/>
        </w:rPr>
        <w:t xml:space="preserve">Though </w:t>
      </w:r>
      <w:r w:rsidR="00684FA0">
        <w:rPr>
          <w:rFonts w:ascii="Arial" w:hAnsi="Arial" w:cs="Arial"/>
        </w:rPr>
        <w:t>n</w:t>
      </w:r>
      <w:r w:rsidR="00CA7E6C">
        <w:rPr>
          <w:rFonts w:ascii="Arial" w:hAnsi="Arial" w:cs="Arial"/>
        </w:rPr>
        <w:t xml:space="preserve">o statute provides </w:t>
      </w:r>
      <w:r w:rsidR="000313BE">
        <w:rPr>
          <w:rFonts w:ascii="Arial" w:hAnsi="Arial" w:cs="Arial"/>
        </w:rPr>
        <w:t xml:space="preserve">specific </w:t>
      </w:r>
      <w:r w:rsidR="00CA7E6C">
        <w:rPr>
          <w:rFonts w:ascii="Arial" w:hAnsi="Arial" w:cs="Arial"/>
        </w:rPr>
        <w:t>guidance or limitation on the p</w:t>
      </w:r>
      <w:r w:rsidR="00786D80">
        <w:rPr>
          <w:rFonts w:ascii="Arial" w:hAnsi="Arial" w:cs="Arial"/>
        </w:rPr>
        <w:t>roper</w:t>
      </w:r>
      <w:r w:rsidR="00CA7E6C">
        <w:rPr>
          <w:rFonts w:ascii="Arial" w:hAnsi="Arial" w:cs="Arial"/>
        </w:rPr>
        <w:t xml:space="preserve"> scope of opening statements</w:t>
      </w:r>
      <w:r w:rsidR="00684FA0">
        <w:rPr>
          <w:rFonts w:ascii="Arial" w:hAnsi="Arial" w:cs="Arial"/>
        </w:rPr>
        <w:t>,</w:t>
      </w:r>
      <w:r w:rsidR="00DA77CF">
        <w:rPr>
          <w:rFonts w:ascii="Arial" w:hAnsi="Arial" w:cs="Arial"/>
        </w:rPr>
        <w:t xml:space="preserve"> the North Carolina Supreme Court has </w:t>
      </w:r>
      <w:r w:rsidR="00591A0F">
        <w:rPr>
          <w:rFonts w:ascii="Arial" w:hAnsi="Arial" w:cs="Arial"/>
        </w:rPr>
        <w:t>said</w:t>
      </w:r>
      <w:r w:rsidR="000313BE">
        <w:rPr>
          <w:rFonts w:ascii="Arial" w:hAnsi="Arial" w:cs="Arial"/>
        </w:rPr>
        <w:t>:</w:t>
      </w:r>
    </w:p>
    <w:p w14:paraId="30AC92DA" w14:textId="77777777" w:rsidR="000313BE" w:rsidRDefault="000313BE" w:rsidP="00F03CD1">
      <w:pPr>
        <w:spacing w:after="0" w:line="240" w:lineRule="auto"/>
        <w:ind w:left="720" w:hanging="720"/>
        <w:rPr>
          <w:rFonts w:ascii="Arial" w:hAnsi="Arial" w:cs="Arial"/>
        </w:rPr>
      </w:pPr>
    </w:p>
    <w:p w14:paraId="3F0F27B3" w14:textId="4537E1DA" w:rsidR="000313BE" w:rsidRDefault="000313BE" w:rsidP="000313BE">
      <w:pPr>
        <w:spacing w:after="0" w:line="240" w:lineRule="auto"/>
        <w:ind w:left="1440" w:right="720"/>
        <w:rPr>
          <w:rFonts w:ascii="Arial" w:hAnsi="Arial" w:cs="Arial"/>
        </w:rPr>
      </w:pPr>
      <w:r w:rsidRPr="000313BE">
        <w:rPr>
          <w:rFonts w:ascii="Arial" w:hAnsi="Arial" w:cs="Arial"/>
        </w:rPr>
        <w:t>While the exact scope and extent of an opening statement rest largely in the discretion of the trial judge, we believe the proper function of an opening statement is to allow the party to inform the court and jury of the nature of his case and the evidence he plans to offer in support of it. It should not be permitted to become an argument on the case or an instruction as to the law of the case.</w:t>
      </w:r>
    </w:p>
    <w:p w14:paraId="7A56C555" w14:textId="77777777" w:rsidR="000313BE" w:rsidRDefault="000313BE" w:rsidP="00F03CD1">
      <w:pPr>
        <w:spacing w:after="0" w:line="240" w:lineRule="auto"/>
        <w:ind w:left="720" w:hanging="720"/>
        <w:rPr>
          <w:rFonts w:ascii="Arial" w:hAnsi="Arial" w:cs="Arial"/>
        </w:rPr>
      </w:pPr>
    </w:p>
    <w:p w14:paraId="27A841EE" w14:textId="24EE62EF" w:rsidR="00AA7B44" w:rsidRPr="00806F46" w:rsidRDefault="000313BE" w:rsidP="00F067DD">
      <w:pPr>
        <w:spacing w:after="0" w:line="240" w:lineRule="auto"/>
        <w:ind w:left="720"/>
        <w:rPr>
          <w:rFonts w:ascii="Arial" w:hAnsi="Arial" w:cs="Arial"/>
        </w:rPr>
      </w:pPr>
      <w:r w:rsidRPr="000313BE">
        <w:rPr>
          <w:rFonts w:ascii="Arial" w:hAnsi="Arial" w:cs="Arial"/>
        </w:rPr>
        <w:t>State v. Paige, 316 N.C. 630, 646</w:t>
      </w:r>
      <w:r>
        <w:rPr>
          <w:rFonts w:ascii="Arial" w:hAnsi="Arial" w:cs="Arial"/>
        </w:rPr>
        <w:t xml:space="preserve"> (1986) (finding this description consistent with </w:t>
      </w:r>
      <w:r w:rsidR="00264E57">
        <w:rPr>
          <w:rFonts w:ascii="Arial" w:hAnsi="Arial" w:cs="Arial"/>
        </w:rPr>
        <w:t xml:space="preserve">both </w:t>
      </w:r>
      <w:r w:rsidR="00DA77CF">
        <w:rPr>
          <w:rFonts w:ascii="Arial" w:hAnsi="Arial" w:cs="Arial"/>
        </w:rPr>
        <w:t xml:space="preserve">Rule 9 </w:t>
      </w:r>
      <w:r w:rsidR="00DA77CF" w:rsidRPr="00175EE1">
        <w:rPr>
          <w:rFonts w:ascii="Arial" w:hAnsi="Arial" w:cs="Arial"/>
        </w:rPr>
        <w:t xml:space="preserve">of the General Rules of Practice for the Superior and District Courts </w:t>
      </w:r>
      <w:r>
        <w:rPr>
          <w:rFonts w:ascii="Arial" w:hAnsi="Arial" w:cs="Arial"/>
        </w:rPr>
        <w:t xml:space="preserve">and G.S. </w:t>
      </w:r>
      <w:r>
        <w:rPr>
          <w:rFonts w:ascii="Arial" w:hAnsi="Arial" w:cs="Arial"/>
        </w:rPr>
        <w:lastRenderedPageBreak/>
        <w:t>15A-1221(a)(4))</w:t>
      </w:r>
      <w:r w:rsidR="00264E57">
        <w:rPr>
          <w:rFonts w:ascii="Arial" w:hAnsi="Arial" w:cs="Arial"/>
        </w:rPr>
        <w:t xml:space="preserve">; </w:t>
      </w:r>
      <w:r w:rsidR="00264E57">
        <w:rPr>
          <w:rFonts w:ascii="Arial" w:hAnsi="Arial" w:cs="Arial"/>
          <w:i/>
          <w:iCs/>
        </w:rPr>
        <w:t xml:space="preserve">see also </w:t>
      </w:r>
      <w:r w:rsidR="00264E57" w:rsidRPr="008B1330">
        <w:rPr>
          <w:rFonts w:ascii="Arial" w:hAnsi="Arial" w:cs="Arial"/>
          <w:i/>
          <w:iCs/>
        </w:rPr>
        <w:t>Gladden</w:t>
      </w:r>
      <w:r w:rsidR="00264E57">
        <w:rPr>
          <w:rFonts w:ascii="Arial" w:hAnsi="Arial" w:cs="Arial"/>
        </w:rPr>
        <w:t>, 315 N.C. at 417 (“</w:t>
      </w:r>
      <w:r w:rsidR="00264E57" w:rsidRPr="00684FA0">
        <w:rPr>
          <w:rFonts w:ascii="Arial" w:hAnsi="Arial" w:cs="Arial"/>
        </w:rPr>
        <w:t>The purpose of an opening statement is to permit the parties to present to the judge and jury the issues involved in the case and to allow them to give a general forecast of what the evidence will be.</w:t>
      </w:r>
      <w:r w:rsidR="00264E57">
        <w:rPr>
          <w:rFonts w:ascii="Arial" w:hAnsi="Arial" w:cs="Arial"/>
        </w:rPr>
        <w:t>”)</w:t>
      </w:r>
      <w:r w:rsidR="00AA7B44">
        <w:rPr>
          <w:rFonts w:ascii="Arial" w:hAnsi="Arial" w:cs="Arial"/>
        </w:rPr>
        <w:t>; State v. Freeman, 93 N.C. App. 380, 389 (1989) (“[C]</w:t>
      </w:r>
      <w:proofErr w:type="spellStart"/>
      <w:r w:rsidR="00AA7B44" w:rsidRPr="00AA7B44">
        <w:rPr>
          <w:rFonts w:ascii="Arial" w:hAnsi="Arial" w:cs="Arial"/>
        </w:rPr>
        <w:t>ounsel</w:t>
      </w:r>
      <w:proofErr w:type="spellEnd"/>
      <w:r w:rsidR="00AA7B44" w:rsidRPr="00AA7B44">
        <w:rPr>
          <w:rFonts w:ascii="Arial" w:hAnsi="Arial" w:cs="Arial"/>
        </w:rPr>
        <w:t xml:space="preserve"> is permitted in his opening remarks something more than just a limited preview of his evidence and should be allowed to state his legal claim or defense in basic terms.”</w:t>
      </w:r>
      <w:r w:rsidR="00AA7B44">
        <w:rPr>
          <w:rFonts w:ascii="Arial" w:hAnsi="Arial" w:cs="Arial"/>
        </w:rPr>
        <w:t xml:space="preserve"> (internal quotation omitted))</w:t>
      </w:r>
      <w:r>
        <w:rPr>
          <w:rFonts w:ascii="Arial" w:hAnsi="Arial" w:cs="Arial"/>
        </w:rPr>
        <w:t>.</w:t>
      </w:r>
      <w:r w:rsidR="00F067DD">
        <w:rPr>
          <w:rFonts w:ascii="Arial" w:hAnsi="Arial" w:cs="Arial"/>
        </w:rPr>
        <w:t xml:space="preserve"> </w:t>
      </w:r>
      <w:r w:rsidR="002A5F04">
        <w:rPr>
          <w:rFonts w:ascii="Arial" w:hAnsi="Arial" w:cs="Arial"/>
        </w:rPr>
        <w:t xml:space="preserve">Even if a defendant does not </w:t>
      </w:r>
      <w:r w:rsidR="00806F46">
        <w:rPr>
          <w:rFonts w:ascii="Arial" w:hAnsi="Arial" w:cs="Arial"/>
        </w:rPr>
        <w:t>intend</w:t>
      </w:r>
      <w:r w:rsidR="002A5F04">
        <w:rPr>
          <w:rFonts w:ascii="Arial" w:hAnsi="Arial" w:cs="Arial"/>
        </w:rPr>
        <w:t xml:space="preserve"> to offer evidence, the defendant’s opening statement may point out facts reasonably expected to be brought out in cross-examination during the State’s case. </w:t>
      </w:r>
      <w:r w:rsidR="00806F46">
        <w:rPr>
          <w:rFonts w:ascii="Arial" w:hAnsi="Arial" w:cs="Arial"/>
          <w:i/>
          <w:iCs/>
        </w:rPr>
        <w:t>Paige</w:t>
      </w:r>
      <w:r w:rsidR="00806F46">
        <w:rPr>
          <w:rFonts w:ascii="Arial" w:hAnsi="Arial" w:cs="Arial"/>
        </w:rPr>
        <w:t>, 316 N.C. at 648.</w:t>
      </w:r>
    </w:p>
    <w:p w14:paraId="620F314D" w14:textId="45619AFF" w:rsidR="00264E57" w:rsidRDefault="00AA7B44" w:rsidP="00AA7B44">
      <w:pPr>
        <w:spacing w:after="0" w:line="240" w:lineRule="auto"/>
        <w:ind w:left="720" w:firstLine="720"/>
        <w:rPr>
          <w:rFonts w:ascii="Arial" w:hAnsi="Arial" w:cs="Arial"/>
        </w:rPr>
      </w:pPr>
      <w:r>
        <w:rPr>
          <w:rFonts w:ascii="Arial" w:hAnsi="Arial" w:cs="Arial"/>
        </w:rPr>
        <w:t>Several cases hold that it is error to prohibit statements concerning basic aspects of trial or criminal procedure</w:t>
      </w:r>
      <w:r w:rsidR="002A5F04">
        <w:rPr>
          <w:rFonts w:ascii="Arial" w:hAnsi="Arial" w:cs="Arial"/>
        </w:rPr>
        <w:t xml:space="preserve">, </w:t>
      </w:r>
      <w:r>
        <w:rPr>
          <w:rFonts w:ascii="Arial" w:hAnsi="Arial" w:cs="Arial"/>
        </w:rPr>
        <w:t>such as</w:t>
      </w:r>
      <w:r w:rsidR="002A5F04">
        <w:rPr>
          <w:rFonts w:ascii="Arial" w:hAnsi="Arial" w:cs="Arial"/>
        </w:rPr>
        <w:t xml:space="preserve"> the presumption of innocence and the State’s burden to prove guilt beyond a reasonable doubt.</w:t>
      </w:r>
      <w:r>
        <w:rPr>
          <w:rFonts w:ascii="Arial" w:hAnsi="Arial" w:cs="Arial"/>
        </w:rPr>
        <w:t xml:space="preserve"> </w:t>
      </w:r>
      <w:r>
        <w:rPr>
          <w:rFonts w:ascii="Arial" w:hAnsi="Arial" w:cs="Arial"/>
          <w:i/>
          <w:iCs/>
        </w:rPr>
        <w:t>See, e.g.</w:t>
      </w:r>
      <w:r>
        <w:rPr>
          <w:rFonts w:ascii="Arial" w:hAnsi="Arial" w:cs="Arial"/>
        </w:rPr>
        <w:t>,</w:t>
      </w:r>
      <w:r w:rsidR="002A5F04">
        <w:rPr>
          <w:rFonts w:ascii="Arial" w:hAnsi="Arial" w:cs="Arial"/>
        </w:rPr>
        <w:t xml:space="preserve"> </w:t>
      </w:r>
      <w:r w:rsidR="002A5F04">
        <w:rPr>
          <w:rFonts w:ascii="Arial" w:hAnsi="Arial" w:cs="Arial"/>
          <w:i/>
          <w:iCs/>
        </w:rPr>
        <w:t>Paige</w:t>
      </w:r>
      <w:r w:rsidR="002A5F04">
        <w:rPr>
          <w:rFonts w:ascii="Arial" w:hAnsi="Arial" w:cs="Arial"/>
        </w:rPr>
        <w:t>, 316 N.C. at 648</w:t>
      </w:r>
      <w:r>
        <w:rPr>
          <w:rFonts w:ascii="Arial" w:hAnsi="Arial" w:cs="Arial"/>
        </w:rPr>
        <w:t xml:space="preserve"> (trial court so erred as “these basic aspects of criminal prosecution” did not amount to an argument on the law and may have been necessary to apprise the jury of the defendant’s defense)</w:t>
      </w:r>
      <w:r w:rsidR="00BD0D0F">
        <w:rPr>
          <w:rFonts w:ascii="Arial" w:hAnsi="Arial" w:cs="Arial"/>
        </w:rPr>
        <w:t>;</w:t>
      </w:r>
      <w:r w:rsidR="00BD0D0F">
        <w:rPr>
          <w:rFonts w:ascii="Arial" w:hAnsi="Arial" w:cs="Arial"/>
          <w:i/>
          <w:iCs/>
        </w:rPr>
        <w:t xml:space="preserve"> </w:t>
      </w:r>
      <w:r w:rsidR="00BD0D0F">
        <w:rPr>
          <w:rFonts w:ascii="Arial" w:hAnsi="Arial" w:cs="Arial"/>
        </w:rPr>
        <w:t xml:space="preserve">State v. Mash, 328 N.C. 61, 65 (1991) (trial court erred by </w:t>
      </w:r>
      <w:r>
        <w:rPr>
          <w:rFonts w:ascii="Arial" w:hAnsi="Arial" w:cs="Arial"/>
        </w:rPr>
        <w:t>preventing</w:t>
      </w:r>
      <w:r w:rsidR="00BD0D0F">
        <w:rPr>
          <w:rFonts w:ascii="Arial" w:hAnsi="Arial" w:cs="Arial"/>
        </w:rPr>
        <w:t xml:space="preserve"> defense counsel </w:t>
      </w:r>
      <w:r>
        <w:rPr>
          <w:rFonts w:ascii="Arial" w:hAnsi="Arial" w:cs="Arial"/>
        </w:rPr>
        <w:t xml:space="preserve">from </w:t>
      </w:r>
      <w:r w:rsidR="00BD0D0F">
        <w:rPr>
          <w:rFonts w:ascii="Arial" w:hAnsi="Arial" w:cs="Arial"/>
        </w:rPr>
        <w:t xml:space="preserve">asking the jury to “give attention to all of the witnesses”); </w:t>
      </w:r>
      <w:r w:rsidR="00BD0D0F" w:rsidRPr="00AA7B44">
        <w:rPr>
          <w:rFonts w:ascii="Arial" w:hAnsi="Arial" w:cs="Arial"/>
          <w:i/>
          <w:iCs/>
        </w:rPr>
        <w:t>Freeman</w:t>
      </w:r>
      <w:r w:rsidR="00BD0D0F">
        <w:rPr>
          <w:rFonts w:ascii="Arial" w:hAnsi="Arial" w:cs="Arial"/>
        </w:rPr>
        <w:t xml:space="preserve">, 93 N.C. App. </w:t>
      </w:r>
      <w:r>
        <w:rPr>
          <w:rFonts w:ascii="Arial" w:hAnsi="Arial" w:cs="Arial"/>
        </w:rPr>
        <w:t>at 390-91</w:t>
      </w:r>
      <w:r w:rsidR="00BD0D0F">
        <w:rPr>
          <w:rFonts w:ascii="Arial" w:hAnsi="Arial" w:cs="Arial"/>
        </w:rPr>
        <w:t xml:space="preserve"> (</w:t>
      </w:r>
      <w:r>
        <w:rPr>
          <w:rFonts w:ascii="Arial" w:hAnsi="Arial" w:cs="Arial"/>
        </w:rPr>
        <w:t>trial court erred by preventing defense counsel from asking jury to “consider each piece of . . . evidence carefully”</w:t>
      </w:r>
      <w:r w:rsidR="00BD0D0F">
        <w:rPr>
          <w:rFonts w:ascii="Arial" w:hAnsi="Arial" w:cs="Arial"/>
        </w:rPr>
        <w:t>)</w:t>
      </w:r>
      <w:r w:rsidR="002A5F04">
        <w:rPr>
          <w:rFonts w:ascii="Arial" w:hAnsi="Arial" w:cs="Arial"/>
        </w:rPr>
        <w:t>.</w:t>
      </w:r>
    </w:p>
    <w:p w14:paraId="7C7EFBAD" w14:textId="34CAF9F2" w:rsidR="00264E57" w:rsidRDefault="00CA0EDA" w:rsidP="00264E57">
      <w:pPr>
        <w:spacing w:after="0" w:line="240" w:lineRule="auto"/>
        <w:ind w:left="720" w:firstLine="720"/>
        <w:rPr>
          <w:rFonts w:ascii="Arial" w:hAnsi="Arial" w:cs="Arial"/>
        </w:rPr>
      </w:pPr>
      <w:r>
        <w:rPr>
          <w:rFonts w:ascii="Arial" w:hAnsi="Arial" w:cs="Arial"/>
        </w:rPr>
        <w:t>While</w:t>
      </w:r>
      <w:r w:rsidR="002A5F04">
        <w:rPr>
          <w:rFonts w:ascii="Arial" w:hAnsi="Arial" w:cs="Arial"/>
        </w:rPr>
        <w:t xml:space="preserve"> the scope of opening statements is narrower than closing arguments, </w:t>
      </w:r>
      <w:r w:rsidR="00264E57">
        <w:rPr>
          <w:rFonts w:ascii="Arial" w:hAnsi="Arial" w:cs="Arial"/>
        </w:rPr>
        <w:t xml:space="preserve">the Supreme Court </w:t>
      </w:r>
      <w:r w:rsidR="00F067DD">
        <w:rPr>
          <w:rFonts w:ascii="Arial" w:hAnsi="Arial" w:cs="Arial"/>
        </w:rPr>
        <w:t xml:space="preserve">nevertheless </w:t>
      </w:r>
      <w:r w:rsidR="00264E57">
        <w:rPr>
          <w:rFonts w:ascii="Arial" w:hAnsi="Arial" w:cs="Arial"/>
        </w:rPr>
        <w:t>has</w:t>
      </w:r>
      <w:r w:rsidR="002A5F04">
        <w:rPr>
          <w:rFonts w:ascii="Arial" w:hAnsi="Arial" w:cs="Arial"/>
        </w:rPr>
        <w:t xml:space="preserve"> observe</w:t>
      </w:r>
      <w:r w:rsidR="00264E57">
        <w:rPr>
          <w:rFonts w:ascii="Arial" w:hAnsi="Arial" w:cs="Arial"/>
        </w:rPr>
        <w:t>d</w:t>
      </w:r>
      <w:r w:rsidR="002A5F04">
        <w:rPr>
          <w:rFonts w:ascii="Arial" w:hAnsi="Arial" w:cs="Arial"/>
        </w:rPr>
        <w:t xml:space="preserve"> that </w:t>
      </w:r>
      <w:r w:rsidR="00264E57">
        <w:rPr>
          <w:rFonts w:ascii="Arial" w:hAnsi="Arial" w:cs="Arial"/>
        </w:rPr>
        <w:t>“[t]</w:t>
      </w:r>
      <w:r w:rsidR="00264E57" w:rsidRPr="00684FA0">
        <w:rPr>
          <w:rFonts w:ascii="Arial" w:hAnsi="Arial" w:cs="Arial"/>
        </w:rPr>
        <w:t xml:space="preserve">rial counsel is generally afforded wide latitude in the scope of the opening </w:t>
      </w:r>
      <w:proofErr w:type="gramStart"/>
      <w:r w:rsidR="00264E57" w:rsidRPr="00684FA0">
        <w:rPr>
          <w:rFonts w:ascii="Arial" w:hAnsi="Arial" w:cs="Arial"/>
        </w:rPr>
        <w:t>statement, and</w:t>
      </w:r>
      <w:proofErr w:type="gramEnd"/>
      <w:r w:rsidR="00264E57" w:rsidRPr="00684FA0">
        <w:rPr>
          <w:rFonts w:ascii="Arial" w:hAnsi="Arial" w:cs="Arial"/>
        </w:rPr>
        <w:t xml:space="preserve"> is generally allowed to state what he intends to show so long as the matter may be proved by admissible evidence.</w:t>
      </w:r>
      <w:r w:rsidR="00264E57">
        <w:rPr>
          <w:rFonts w:ascii="Arial" w:hAnsi="Arial" w:cs="Arial"/>
        </w:rPr>
        <w:t xml:space="preserve">” </w:t>
      </w:r>
      <w:r w:rsidR="00264E57" w:rsidRPr="008B1330">
        <w:rPr>
          <w:rFonts w:ascii="Arial" w:hAnsi="Arial" w:cs="Arial"/>
          <w:i/>
          <w:iCs/>
        </w:rPr>
        <w:t>Gladden</w:t>
      </w:r>
      <w:r w:rsidR="00264E57">
        <w:rPr>
          <w:rFonts w:ascii="Arial" w:hAnsi="Arial" w:cs="Arial"/>
        </w:rPr>
        <w:t>, 315 N.C. at 417; State v. Owens, 287 N.C. App. 513, 517 (2023) (same)</w:t>
      </w:r>
      <w:r w:rsidR="00854AB3">
        <w:rPr>
          <w:rFonts w:ascii="Arial" w:hAnsi="Arial" w:cs="Arial"/>
        </w:rPr>
        <w:t>; State v.</w:t>
      </w:r>
      <w:r w:rsidR="00E81D3D">
        <w:rPr>
          <w:rFonts w:ascii="Arial" w:hAnsi="Arial" w:cs="Arial"/>
        </w:rPr>
        <w:t xml:space="preserve"> </w:t>
      </w:r>
      <w:r w:rsidR="00854AB3">
        <w:rPr>
          <w:rFonts w:ascii="Arial" w:hAnsi="Arial" w:cs="Arial"/>
        </w:rPr>
        <w:t xml:space="preserve">Combs, 182 N.C. App. 365 (same), </w:t>
      </w:r>
      <w:r w:rsidR="00854AB3">
        <w:rPr>
          <w:rFonts w:ascii="Arial" w:hAnsi="Arial" w:cs="Arial"/>
          <w:i/>
          <w:iCs/>
        </w:rPr>
        <w:t>aff’d</w:t>
      </w:r>
      <w:r w:rsidR="00854AB3">
        <w:rPr>
          <w:rFonts w:ascii="Arial" w:hAnsi="Arial" w:cs="Arial"/>
        </w:rPr>
        <w:t>,</w:t>
      </w:r>
      <w:r w:rsidR="00854AB3">
        <w:rPr>
          <w:rFonts w:ascii="Arial" w:hAnsi="Arial" w:cs="Arial"/>
          <w:i/>
          <w:iCs/>
        </w:rPr>
        <w:t xml:space="preserve"> </w:t>
      </w:r>
      <w:r w:rsidR="00854AB3">
        <w:rPr>
          <w:rFonts w:ascii="Arial" w:hAnsi="Arial" w:cs="Arial"/>
        </w:rPr>
        <w:t xml:space="preserve">361 N.C. 585 (per </w:t>
      </w:r>
      <w:proofErr w:type="spellStart"/>
      <w:r w:rsidR="00854AB3">
        <w:rPr>
          <w:rFonts w:ascii="Arial" w:hAnsi="Arial" w:cs="Arial"/>
        </w:rPr>
        <w:t>curiam</w:t>
      </w:r>
      <w:proofErr w:type="spellEnd"/>
      <w:r w:rsidR="00854AB3">
        <w:rPr>
          <w:rFonts w:ascii="Arial" w:hAnsi="Arial" w:cs="Arial"/>
        </w:rPr>
        <w:t>) (2007)</w:t>
      </w:r>
      <w:r w:rsidR="00264E57">
        <w:rPr>
          <w:rFonts w:ascii="Arial" w:hAnsi="Arial" w:cs="Arial"/>
        </w:rPr>
        <w:t>.</w:t>
      </w:r>
      <w:r w:rsidR="00021604">
        <w:rPr>
          <w:rFonts w:ascii="Arial" w:hAnsi="Arial" w:cs="Arial"/>
        </w:rPr>
        <w:t xml:space="preserve"> The Court has cautioned that “i</w:t>
      </w:r>
      <w:r w:rsidR="00021604" w:rsidRPr="00021604">
        <w:rPr>
          <w:rFonts w:ascii="Arial" w:hAnsi="Arial" w:cs="Arial"/>
        </w:rPr>
        <w:t>n previewing the evidence, counsel generally should not (1) refer to inadmissible evidence, (2) exaggerate or overstate the evidence, or (3) discuss evidence he expects the other party to introduce</w:t>
      </w:r>
      <w:r w:rsidR="00021604">
        <w:rPr>
          <w:rFonts w:ascii="Arial" w:hAnsi="Arial" w:cs="Arial"/>
        </w:rPr>
        <w:t xml:space="preserve">.” </w:t>
      </w:r>
      <w:r w:rsidR="00021604" w:rsidRPr="00021604">
        <w:rPr>
          <w:rFonts w:ascii="Arial" w:hAnsi="Arial" w:cs="Arial"/>
        </w:rPr>
        <w:t>State v. Jaynes, 342 N.C. 249, 282 (1995)</w:t>
      </w:r>
      <w:r w:rsidR="00021604">
        <w:rPr>
          <w:rFonts w:ascii="Arial" w:hAnsi="Arial" w:cs="Arial"/>
        </w:rPr>
        <w:t xml:space="preserve"> (citation and quotation omitted)</w:t>
      </w:r>
      <w:r w:rsidR="00535367">
        <w:rPr>
          <w:rFonts w:ascii="Arial" w:hAnsi="Arial" w:cs="Arial"/>
        </w:rPr>
        <w:t>; State v. Speller, 345 N.C. 600, 607 (1997) (same)</w:t>
      </w:r>
      <w:r w:rsidR="00021604">
        <w:rPr>
          <w:rFonts w:ascii="Arial" w:hAnsi="Arial" w:cs="Arial"/>
        </w:rPr>
        <w:t>.</w:t>
      </w:r>
    </w:p>
    <w:p w14:paraId="6EDB33A3" w14:textId="35B9D16D" w:rsidR="00803F7C" w:rsidRDefault="00A779D8" w:rsidP="00264E57">
      <w:pPr>
        <w:spacing w:after="0" w:line="240" w:lineRule="auto"/>
        <w:ind w:left="720" w:firstLine="720"/>
        <w:rPr>
          <w:rFonts w:ascii="Arial" w:hAnsi="Arial" w:cs="Arial"/>
        </w:rPr>
      </w:pPr>
      <w:r>
        <w:rPr>
          <w:rFonts w:ascii="Arial" w:hAnsi="Arial" w:cs="Arial"/>
        </w:rPr>
        <w:t>M</w:t>
      </w:r>
      <w:r w:rsidR="00364C49">
        <w:rPr>
          <w:rFonts w:ascii="Arial" w:hAnsi="Arial" w:cs="Arial"/>
        </w:rPr>
        <w:t xml:space="preserve">any of </w:t>
      </w:r>
      <w:r w:rsidR="00684FA0">
        <w:rPr>
          <w:rFonts w:ascii="Arial" w:hAnsi="Arial" w:cs="Arial"/>
        </w:rPr>
        <w:t xml:space="preserve">the principles </w:t>
      </w:r>
      <w:r w:rsidR="00740E3F">
        <w:rPr>
          <w:rFonts w:ascii="Arial" w:hAnsi="Arial" w:cs="Arial"/>
        </w:rPr>
        <w:t xml:space="preserve">discussed below in Section V </w:t>
      </w:r>
      <w:r w:rsidR="00AA7B44">
        <w:rPr>
          <w:rFonts w:ascii="Arial" w:hAnsi="Arial" w:cs="Arial"/>
        </w:rPr>
        <w:t>regarding</w:t>
      </w:r>
      <w:r w:rsidR="00364C49">
        <w:rPr>
          <w:rFonts w:ascii="Arial" w:hAnsi="Arial" w:cs="Arial"/>
        </w:rPr>
        <w:t xml:space="preserve"> imp</w:t>
      </w:r>
      <w:r w:rsidR="00B979FE">
        <w:rPr>
          <w:rFonts w:ascii="Arial" w:hAnsi="Arial" w:cs="Arial"/>
        </w:rPr>
        <w:t>ermissible</w:t>
      </w:r>
      <w:r w:rsidR="00364C49">
        <w:rPr>
          <w:rFonts w:ascii="Arial" w:hAnsi="Arial" w:cs="Arial"/>
        </w:rPr>
        <w:t xml:space="preserve"> closing arguments also apply to opening statements. </w:t>
      </w:r>
      <w:r w:rsidR="00364C49">
        <w:rPr>
          <w:rFonts w:ascii="Arial" w:hAnsi="Arial" w:cs="Arial"/>
          <w:i/>
          <w:iCs/>
        </w:rPr>
        <w:t>See</w:t>
      </w:r>
      <w:r w:rsidR="00364C49">
        <w:rPr>
          <w:rFonts w:ascii="Arial" w:hAnsi="Arial" w:cs="Arial"/>
        </w:rPr>
        <w:t>, e.g. State v. Waring, 364 N.C. 443, 505 (2010) (considering whether the prosecutor’s opening statement improper</w:t>
      </w:r>
      <w:r w:rsidR="00740E3F">
        <w:rPr>
          <w:rFonts w:ascii="Arial" w:hAnsi="Arial" w:cs="Arial"/>
        </w:rPr>
        <w:t>ly</w:t>
      </w:r>
      <w:r w:rsidR="00823556">
        <w:rPr>
          <w:rFonts w:ascii="Arial" w:hAnsi="Arial" w:cs="Arial"/>
        </w:rPr>
        <w:t xml:space="preserve"> inten</w:t>
      </w:r>
      <w:r w:rsidR="00740E3F">
        <w:rPr>
          <w:rFonts w:ascii="Arial" w:hAnsi="Arial" w:cs="Arial"/>
        </w:rPr>
        <w:t>ded</w:t>
      </w:r>
      <w:r w:rsidR="00823556">
        <w:rPr>
          <w:rFonts w:ascii="Arial" w:hAnsi="Arial" w:cs="Arial"/>
        </w:rPr>
        <w:t xml:space="preserve"> solely to inflame the passions of the jury</w:t>
      </w:r>
      <w:r w:rsidR="00364C49">
        <w:rPr>
          <w:rFonts w:ascii="Arial" w:hAnsi="Arial" w:cs="Arial"/>
        </w:rPr>
        <w:t>)</w:t>
      </w:r>
      <w:r w:rsidR="005D151E">
        <w:rPr>
          <w:rFonts w:ascii="Arial" w:hAnsi="Arial" w:cs="Arial"/>
        </w:rPr>
        <w:t xml:space="preserve">; </w:t>
      </w:r>
      <w:r w:rsidR="005D151E" w:rsidRPr="00535367">
        <w:rPr>
          <w:rFonts w:ascii="Arial" w:hAnsi="Arial" w:cs="Arial"/>
          <w:i/>
          <w:iCs/>
        </w:rPr>
        <w:t>Speller</w:t>
      </w:r>
      <w:r w:rsidR="005D151E">
        <w:rPr>
          <w:rFonts w:ascii="Arial" w:hAnsi="Arial" w:cs="Arial"/>
        </w:rPr>
        <w:t xml:space="preserve">, 345 N.C. </w:t>
      </w:r>
      <w:r w:rsidR="00535367">
        <w:rPr>
          <w:rFonts w:ascii="Arial" w:hAnsi="Arial" w:cs="Arial"/>
        </w:rPr>
        <w:t>at</w:t>
      </w:r>
      <w:r w:rsidR="005D151E">
        <w:rPr>
          <w:rFonts w:ascii="Arial" w:hAnsi="Arial" w:cs="Arial"/>
        </w:rPr>
        <w:t xml:space="preserve"> 606 (improper in opening statement for prosecutor to quote from the </w:t>
      </w:r>
      <w:r w:rsidR="00C10027">
        <w:rPr>
          <w:rFonts w:ascii="Arial" w:hAnsi="Arial" w:cs="Arial"/>
        </w:rPr>
        <w:t>B</w:t>
      </w:r>
      <w:r w:rsidR="005D151E">
        <w:rPr>
          <w:rFonts w:ascii="Arial" w:hAnsi="Arial" w:cs="Arial"/>
        </w:rPr>
        <w:t xml:space="preserve">ible, ask jury to put themselves in the victim’s place, and make other pleas to the jury’s emotions); </w:t>
      </w:r>
      <w:r w:rsidR="005D151E" w:rsidRPr="008B1330">
        <w:rPr>
          <w:rFonts w:ascii="Arial" w:hAnsi="Arial" w:cs="Arial"/>
          <w:i/>
          <w:iCs/>
        </w:rPr>
        <w:t>Gladden</w:t>
      </w:r>
      <w:r w:rsidR="005D151E">
        <w:rPr>
          <w:rFonts w:ascii="Arial" w:hAnsi="Arial" w:cs="Arial"/>
        </w:rPr>
        <w:t xml:space="preserve">, 315 N.C. at 417 (considering whether the prosecutor’s opening statement was improper for asserting matters outside </w:t>
      </w:r>
      <w:r>
        <w:rPr>
          <w:rFonts w:ascii="Arial" w:hAnsi="Arial" w:cs="Arial"/>
        </w:rPr>
        <w:t>t</w:t>
      </w:r>
      <w:r w:rsidR="005D151E">
        <w:rPr>
          <w:rFonts w:ascii="Arial" w:hAnsi="Arial" w:cs="Arial"/>
        </w:rPr>
        <w:t xml:space="preserve">he record); </w:t>
      </w:r>
      <w:r w:rsidR="005D151E" w:rsidRPr="005D151E">
        <w:rPr>
          <w:rFonts w:ascii="Arial" w:hAnsi="Arial" w:cs="Arial"/>
          <w:i/>
          <w:iCs/>
        </w:rPr>
        <w:t>Owens</w:t>
      </w:r>
      <w:r w:rsidR="005D151E">
        <w:rPr>
          <w:rFonts w:ascii="Arial" w:hAnsi="Arial" w:cs="Arial"/>
        </w:rPr>
        <w:t>, 287 N.C. App. at 517 (same)</w:t>
      </w:r>
      <w:r w:rsidR="00B979FE">
        <w:rPr>
          <w:rFonts w:ascii="Arial" w:hAnsi="Arial" w:cs="Arial"/>
        </w:rPr>
        <w:t>; State v. Ackerman, 144 N.C. App. 452, 463 (2001) (considering whether the prosecutor’s opening statement was improper for allegedly commenting on the defendant’s expected failure to testify and attempting to shift the burden of proof to the defendant)</w:t>
      </w:r>
      <w:r w:rsidR="00364C49">
        <w:rPr>
          <w:rFonts w:ascii="Arial" w:hAnsi="Arial" w:cs="Arial"/>
        </w:rPr>
        <w:t>.</w:t>
      </w:r>
    </w:p>
    <w:p w14:paraId="3ED911B1" w14:textId="61131250" w:rsidR="00A779D8" w:rsidRPr="00A779D8" w:rsidRDefault="00A779D8" w:rsidP="00A779D8">
      <w:pPr>
        <w:spacing w:after="0" w:line="240" w:lineRule="auto"/>
        <w:ind w:left="720" w:firstLine="720"/>
        <w:rPr>
          <w:rFonts w:ascii="Arial" w:hAnsi="Arial" w:cs="Arial"/>
        </w:rPr>
      </w:pPr>
    </w:p>
    <w:p w14:paraId="6A97FCFE" w14:textId="7875BCB9" w:rsidR="00803F7C" w:rsidRPr="00F03CD1" w:rsidRDefault="00803F7C" w:rsidP="00803F7C">
      <w:pPr>
        <w:pStyle w:val="Heading1"/>
        <w:spacing w:after="0" w:line="240" w:lineRule="auto"/>
        <w:rPr>
          <w:b w:val="0"/>
          <w:bCs w:val="0"/>
          <w:vanish/>
          <w:specVanish/>
        </w:rPr>
      </w:pPr>
      <w:bookmarkStart w:id="8" w:name="_Toc209539187"/>
      <w:r>
        <w:rPr>
          <w:rStyle w:val="Heading1Char"/>
          <w:b/>
          <w:bCs/>
        </w:rPr>
        <w:t xml:space="preserve">Permissible </w:t>
      </w:r>
      <w:r>
        <w:rPr>
          <w:rStyle w:val="Heading1Char"/>
          <w:b/>
          <w:bCs/>
        </w:rPr>
        <w:t xml:space="preserve">Closing </w:t>
      </w:r>
      <w:r>
        <w:rPr>
          <w:rStyle w:val="Heading1Char"/>
          <w:b/>
          <w:bCs/>
        </w:rPr>
        <w:t>Argument.</w:t>
      </w:r>
      <w:bookmarkEnd w:id="8"/>
    </w:p>
    <w:p w14:paraId="019A1324" w14:textId="4A4976F5" w:rsidR="002F411A" w:rsidRPr="007F0F83" w:rsidRDefault="00803F7C" w:rsidP="007F0F83">
      <w:pPr>
        <w:spacing w:after="0" w:line="240" w:lineRule="auto"/>
        <w:ind w:left="720"/>
        <w:rPr>
          <w:rFonts w:ascii="Arial" w:hAnsi="Arial" w:cs="Arial"/>
        </w:rPr>
      </w:pPr>
      <w:r>
        <w:t xml:space="preserve"> </w:t>
      </w:r>
      <w:r w:rsidR="00804B7C" w:rsidRPr="00804B7C">
        <w:rPr>
          <w:rFonts w:ascii="Arial" w:hAnsi="Arial" w:cs="Arial"/>
        </w:rPr>
        <w:t>G.S. 7A-97</w:t>
      </w:r>
      <w:r w:rsidR="00804B7C">
        <w:t xml:space="preserve"> </w:t>
      </w:r>
      <w:r w:rsidR="00804B7C">
        <w:rPr>
          <w:rFonts w:ascii="Arial" w:hAnsi="Arial" w:cs="Arial"/>
        </w:rPr>
        <w:t xml:space="preserve">provides that in </w:t>
      </w:r>
      <w:r w:rsidR="00F067DD">
        <w:rPr>
          <w:rFonts w:ascii="Arial" w:hAnsi="Arial" w:cs="Arial"/>
        </w:rPr>
        <w:t xml:space="preserve">a </w:t>
      </w:r>
      <w:r w:rsidR="00804B7C">
        <w:rPr>
          <w:rFonts w:ascii="Arial" w:hAnsi="Arial" w:cs="Arial"/>
        </w:rPr>
        <w:t xml:space="preserve">closing argument “the whole case as well of law as of fact may be argued to the jury.” </w:t>
      </w:r>
      <w:r w:rsidR="002F411A" w:rsidRPr="00F03CD1">
        <w:rPr>
          <w:rFonts w:ascii="Arial" w:hAnsi="Arial" w:cs="Arial"/>
        </w:rPr>
        <w:t xml:space="preserve">G.S. 15A-1230 </w:t>
      </w:r>
      <w:r w:rsidR="00804B7C">
        <w:rPr>
          <w:rFonts w:ascii="Arial" w:hAnsi="Arial" w:cs="Arial"/>
        </w:rPr>
        <w:t>states</w:t>
      </w:r>
      <w:r w:rsidR="002F411A" w:rsidRPr="00F03CD1">
        <w:rPr>
          <w:rFonts w:ascii="Arial" w:hAnsi="Arial" w:cs="Arial"/>
        </w:rPr>
        <w:t xml:space="preserve"> the following limitations on closing argument: </w:t>
      </w:r>
    </w:p>
    <w:p w14:paraId="447FB3E8" w14:textId="77777777" w:rsidR="002F411A" w:rsidRPr="007F0F83" w:rsidRDefault="002F411A" w:rsidP="007F0F83">
      <w:pPr>
        <w:spacing w:after="0" w:line="240" w:lineRule="auto"/>
        <w:rPr>
          <w:rFonts w:ascii="Arial" w:hAnsi="Arial" w:cs="Arial"/>
        </w:rPr>
      </w:pPr>
    </w:p>
    <w:p w14:paraId="7225B3F4" w14:textId="77777777" w:rsidR="002F411A" w:rsidRPr="007F0F83" w:rsidRDefault="002F411A" w:rsidP="007F0F83">
      <w:pPr>
        <w:spacing w:after="0" w:line="240" w:lineRule="auto"/>
        <w:ind w:left="1440" w:right="720"/>
        <w:rPr>
          <w:rFonts w:ascii="Arial" w:hAnsi="Arial" w:cs="Arial"/>
        </w:rPr>
      </w:pPr>
      <w:r w:rsidRPr="007F0F83">
        <w:rPr>
          <w:rFonts w:ascii="Arial" w:hAnsi="Arial" w:cs="Arial"/>
        </w:rPr>
        <w:t xml:space="preserve">During a closing argument to the jury an attorney may not become abusive, inject his personal experiences, express his personal belief as to the truth or falsity of the evidence or as to the guilt or innocence of the defendant, or make arguments </w:t>
      </w:r>
      <w:proofErr w:type="gramStart"/>
      <w:r w:rsidRPr="007F0F83">
        <w:rPr>
          <w:rFonts w:ascii="Arial" w:hAnsi="Arial" w:cs="Arial"/>
        </w:rPr>
        <w:t>on the basis of</w:t>
      </w:r>
      <w:proofErr w:type="gramEnd"/>
      <w:r w:rsidRPr="007F0F83">
        <w:rPr>
          <w:rFonts w:ascii="Arial" w:hAnsi="Arial" w:cs="Arial"/>
        </w:rPr>
        <w:t xml:space="preserve"> matters outside the record except for matters concerning which the court may take judicial notice. An attorney may, however, </w:t>
      </w:r>
      <w:proofErr w:type="gramStart"/>
      <w:r w:rsidRPr="007F0F83">
        <w:rPr>
          <w:rFonts w:ascii="Arial" w:hAnsi="Arial" w:cs="Arial"/>
        </w:rPr>
        <w:t>on the basis of</w:t>
      </w:r>
      <w:proofErr w:type="gramEnd"/>
      <w:r w:rsidRPr="007F0F83">
        <w:rPr>
          <w:rFonts w:ascii="Arial" w:hAnsi="Arial" w:cs="Arial"/>
        </w:rPr>
        <w:t xml:space="preserve"> his analysis of the evidence, argue any position or conclusion with respect to a matter in issue.</w:t>
      </w:r>
    </w:p>
    <w:p w14:paraId="2B758E54" w14:textId="77777777" w:rsidR="002F411A" w:rsidRPr="007F0F83" w:rsidRDefault="002F411A" w:rsidP="007F0F83">
      <w:pPr>
        <w:spacing w:after="0" w:line="240" w:lineRule="auto"/>
        <w:ind w:left="720"/>
        <w:rPr>
          <w:rFonts w:ascii="Arial" w:hAnsi="Arial" w:cs="Arial"/>
        </w:rPr>
      </w:pPr>
    </w:p>
    <w:p w14:paraId="107EFBC3" w14:textId="6E8EF7FB" w:rsidR="007B6333" w:rsidRDefault="002F411A" w:rsidP="007F0F83">
      <w:pPr>
        <w:spacing w:after="0" w:line="240" w:lineRule="auto"/>
        <w:ind w:left="720"/>
        <w:rPr>
          <w:rFonts w:ascii="Arial" w:hAnsi="Arial" w:cs="Arial"/>
          <w:bCs/>
        </w:rPr>
      </w:pPr>
      <w:r w:rsidRPr="007F0F83">
        <w:rPr>
          <w:rFonts w:ascii="Arial" w:hAnsi="Arial" w:cs="Arial"/>
        </w:rPr>
        <w:t>G.S. 15A-1230(a)</w:t>
      </w:r>
      <w:r w:rsidR="001001B0" w:rsidRPr="007F0F83">
        <w:rPr>
          <w:rFonts w:ascii="Arial" w:hAnsi="Arial" w:cs="Arial"/>
        </w:rPr>
        <w:t xml:space="preserve">; </w:t>
      </w:r>
      <w:r w:rsidR="001001B0" w:rsidRPr="007F0F83">
        <w:rPr>
          <w:rFonts w:ascii="Arial" w:hAnsi="Arial" w:cs="Arial"/>
          <w:i/>
          <w:iCs/>
        </w:rPr>
        <w:t>see also</w:t>
      </w:r>
      <w:r w:rsidR="001001B0" w:rsidRPr="007F0F83">
        <w:rPr>
          <w:rFonts w:ascii="Arial" w:hAnsi="Arial" w:cs="Arial"/>
        </w:rPr>
        <w:t xml:space="preserve"> State v. Lynch, 300 N.C. 534, 551 (1980) ("Argument of counsel is largely within the control and discretion </w:t>
      </w:r>
      <w:r w:rsidR="001001B0" w:rsidRPr="001001B0">
        <w:rPr>
          <w:rFonts w:ascii="Arial" w:hAnsi="Arial" w:cs="Arial"/>
        </w:rPr>
        <w:t>of the trial judge. Counsel must be allowed wide latitude in the argument of hotly contested cases. Counsel for both sides are entitled to argue to the jury the law and the facts in evidence and all reasonable inferences to be drawn therefrom.")</w:t>
      </w:r>
      <w:r w:rsidRPr="001001B0">
        <w:rPr>
          <w:rFonts w:ascii="Arial" w:hAnsi="Arial" w:cs="Arial"/>
        </w:rPr>
        <w:t>.</w:t>
      </w:r>
      <w:r w:rsidRPr="00F03CD1">
        <w:rPr>
          <w:rFonts w:ascii="Arial" w:hAnsi="Arial" w:cs="Arial"/>
        </w:rPr>
        <w:t xml:space="preserve"> </w:t>
      </w:r>
      <w:r w:rsidR="00CA7E6C">
        <w:rPr>
          <w:rFonts w:ascii="Arial" w:hAnsi="Arial" w:cs="Arial"/>
        </w:rPr>
        <w:t>The appellate courts frequently</w:t>
      </w:r>
      <w:r w:rsidR="00530D10">
        <w:rPr>
          <w:rFonts w:ascii="Arial" w:hAnsi="Arial" w:cs="Arial"/>
        </w:rPr>
        <w:t xml:space="preserve"> have</w:t>
      </w:r>
      <w:r w:rsidR="00CA7E6C">
        <w:rPr>
          <w:rFonts w:ascii="Arial" w:hAnsi="Arial" w:cs="Arial"/>
        </w:rPr>
        <w:t xml:space="preserve"> interpreted and applied these </w:t>
      </w:r>
      <w:proofErr w:type="gramStart"/>
      <w:r w:rsidR="00CA7E6C">
        <w:rPr>
          <w:rFonts w:ascii="Arial" w:hAnsi="Arial" w:cs="Arial"/>
        </w:rPr>
        <w:t>statutes, and</w:t>
      </w:r>
      <w:proofErr w:type="gramEnd"/>
      <w:r w:rsidR="00CA7E6C">
        <w:rPr>
          <w:rFonts w:ascii="Arial" w:hAnsi="Arial" w:cs="Arial"/>
        </w:rPr>
        <w:t xml:space="preserve"> also have considered constitutional limitations </w:t>
      </w:r>
      <w:r w:rsidR="001001B0">
        <w:rPr>
          <w:rFonts w:ascii="Arial" w:hAnsi="Arial" w:cs="Arial"/>
        </w:rPr>
        <w:t>on the content of</w:t>
      </w:r>
      <w:r w:rsidR="00CA7E6C">
        <w:rPr>
          <w:rFonts w:ascii="Arial" w:hAnsi="Arial" w:cs="Arial"/>
        </w:rPr>
        <w:t xml:space="preserve"> closing arguments. </w:t>
      </w:r>
      <w:r w:rsidR="00ED614B" w:rsidRPr="00F03CD1">
        <w:rPr>
          <w:rFonts w:ascii="Arial" w:hAnsi="Arial" w:cs="Arial"/>
          <w:bCs/>
        </w:rPr>
        <w:t xml:space="preserve">The subsections below explore the scope of </w:t>
      </w:r>
      <w:r w:rsidR="00140698">
        <w:rPr>
          <w:rFonts w:ascii="Arial" w:hAnsi="Arial" w:cs="Arial"/>
          <w:bCs/>
        </w:rPr>
        <w:t>permissible</w:t>
      </w:r>
      <w:r w:rsidR="00ED614B" w:rsidRPr="00F03CD1">
        <w:rPr>
          <w:rFonts w:ascii="Arial" w:hAnsi="Arial" w:cs="Arial"/>
          <w:bCs/>
        </w:rPr>
        <w:t xml:space="preserve"> </w:t>
      </w:r>
      <w:r w:rsidR="00FE3085" w:rsidRPr="00F03CD1">
        <w:rPr>
          <w:rFonts w:ascii="Arial" w:hAnsi="Arial" w:cs="Arial"/>
          <w:bCs/>
        </w:rPr>
        <w:t>closing</w:t>
      </w:r>
      <w:r w:rsidR="00ED614B" w:rsidRPr="00F03CD1">
        <w:rPr>
          <w:rFonts w:ascii="Arial" w:hAnsi="Arial" w:cs="Arial"/>
          <w:bCs/>
        </w:rPr>
        <w:t xml:space="preserve"> argument</w:t>
      </w:r>
      <w:r w:rsidR="00CD5484">
        <w:rPr>
          <w:rFonts w:ascii="Arial" w:hAnsi="Arial" w:cs="Arial"/>
          <w:bCs/>
        </w:rPr>
        <w:t>; imp</w:t>
      </w:r>
      <w:r w:rsidR="00140698">
        <w:rPr>
          <w:rFonts w:ascii="Arial" w:hAnsi="Arial" w:cs="Arial"/>
          <w:bCs/>
        </w:rPr>
        <w:t>ermissible</w:t>
      </w:r>
      <w:r w:rsidR="00CD5484">
        <w:rPr>
          <w:rFonts w:ascii="Arial" w:hAnsi="Arial" w:cs="Arial"/>
          <w:bCs/>
        </w:rPr>
        <w:t xml:space="preserve"> closing argument is discussed below in Section V</w:t>
      </w:r>
      <w:r w:rsidR="00ED614B" w:rsidRPr="00F03CD1">
        <w:rPr>
          <w:rFonts w:ascii="Arial" w:hAnsi="Arial" w:cs="Arial"/>
          <w:bCs/>
        </w:rPr>
        <w:t>.</w:t>
      </w:r>
    </w:p>
    <w:p w14:paraId="1A3667B6" w14:textId="77777777" w:rsidR="001001B0" w:rsidRPr="00F03CD1" w:rsidRDefault="001001B0" w:rsidP="001001B0">
      <w:pPr>
        <w:pStyle w:val="ListParagraph"/>
        <w:spacing w:after="0" w:line="240" w:lineRule="auto"/>
        <w:rPr>
          <w:rFonts w:ascii="Arial" w:hAnsi="Arial" w:cs="Arial"/>
          <w:b/>
          <w:bCs/>
        </w:rPr>
      </w:pPr>
    </w:p>
    <w:p w14:paraId="728D16AB" w14:textId="15AFEB2A" w:rsidR="007B6333" w:rsidRPr="005C36DE" w:rsidRDefault="007B6333" w:rsidP="00DB30BF">
      <w:pPr>
        <w:pStyle w:val="ListParagraph"/>
        <w:numPr>
          <w:ilvl w:val="0"/>
          <w:numId w:val="4"/>
        </w:numPr>
        <w:spacing w:after="0" w:line="240" w:lineRule="auto"/>
        <w:rPr>
          <w:rFonts w:ascii="Arial" w:hAnsi="Arial" w:cs="Arial"/>
        </w:rPr>
      </w:pPr>
      <w:bookmarkStart w:id="9" w:name="_Toc402880154"/>
      <w:bookmarkStart w:id="10" w:name="_Toc402880712"/>
      <w:bookmarkStart w:id="11" w:name="_Toc209539188"/>
      <w:r w:rsidRPr="00A002E8">
        <w:rPr>
          <w:rStyle w:val="Heading2Char"/>
        </w:rPr>
        <w:t>Facts in Evidence and All Reasonable Inferences</w:t>
      </w:r>
      <w:bookmarkEnd w:id="9"/>
      <w:bookmarkEnd w:id="10"/>
      <w:bookmarkEnd w:id="11"/>
      <w:r w:rsidRPr="005C36DE">
        <w:rPr>
          <w:rFonts w:ascii="Arial" w:hAnsi="Arial" w:cs="Arial"/>
          <w:b/>
          <w:bCs/>
        </w:rPr>
        <w:t xml:space="preserve">. </w:t>
      </w:r>
      <w:r w:rsidRPr="005C36DE">
        <w:rPr>
          <w:rFonts w:ascii="Arial" w:hAnsi="Arial" w:cs="Arial"/>
        </w:rPr>
        <w:t xml:space="preserve">A lawyer may argue to the jury the facts in evidence and all reasonable inferences from those facts. </w:t>
      </w:r>
      <w:r w:rsidR="003C1B6D">
        <w:rPr>
          <w:rFonts w:ascii="Arial" w:hAnsi="Arial" w:cs="Arial"/>
          <w:i/>
          <w:iCs/>
        </w:rPr>
        <w:t>Compare</w:t>
      </w:r>
      <w:r w:rsidR="003C1B6D">
        <w:rPr>
          <w:rFonts w:ascii="Arial" w:hAnsi="Arial" w:cs="Arial"/>
        </w:rPr>
        <w:t xml:space="preserve"> </w:t>
      </w:r>
      <w:r w:rsidR="00F25571">
        <w:rPr>
          <w:rFonts w:ascii="Arial" w:hAnsi="Arial" w:cs="Arial"/>
        </w:rPr>
        <w:t>State v. McNeill, 371 N.C. 198, 251 (2018) (in a murder case where the defendant permitted defense counsel to reveal the location of the victim’s body to law enforcement without revealing the defendant as the source of that information, it was proper for the prosecutor argue to the jury the reasonable inference that the defendant was the source of the information)</w:t>
      </w:r>
      <w:r w:rsidR="00653BB1">
        <w:rPr>
          <w:rFonts w:ascii="Arial" w:hAnsi="Arial" w:cs="Arial"/>
        </w:rPr>
        <w:t>,</w:t>
      </w:r>
      <w:r w:rsidR="00F25571">
        <w:rPr>
          <w:rFonts w:ascii="Arial" w:hAnsi="Arial" w:cs="Arial"/>
        </w:rPr>
        <w:t xml:space="preserve"> </w:t>
      </w:r>
      <w:r w:rsidR="00F25571">
        <w:rPr>
          <w:rFonts w:ascii="Arial" w:hAnsi="Arial" w:cs="Arial"/>
          <w:i/>
          <w:iCs/>
        </w:rPr>
        <w:t>and</w:t>
      </w:r>
      <w:r w:rsidRPr="005C36DE">
        <w:rPr>
          <w:rFonts w:ascii="Arial" w:hAnsi="Arial" w:cs="Arial"/>
        </w:rPr>
        <w:t xml:space="preserve"> State v. Wilkerson, 363 N.C. 382, 423-24 (2009) (prosecutor’s argument </w:t>
      </w:r>
      <w:r w:rsidR="003C1B6D">
        <w:rPr>
          <w:rFonts w:ascii="Arial" w:hAnsi="Arial" w:cs="Arial"/>
        </w:rPr>
        <w:t xml:space="preserve">that defendant told an associate about murders in a phone call, the substance of which was not testified to at trial, properly </w:t>
      </w:r>
      <w:r w:rsidRPr="005C36DE">
        <w:rPr>
          <w:rFonts w:ascii="Arial" w:hAnsi="Arial" w:cs="Arial"/>
        </w:rPr>
        <w:t>drew reasonable inferences from evidence</w:t>
      </w:r>
      <w:r w:rsidR="003C1B6D">
        <w:rPr>
          <w:rFonts w:ascii="Arial" w:hAnsi="Arial" w:cs="Arial"/>
        </w:rPr>
        <w:t xml:space="preserve"> of cell phone records and </w:t>
      </w:r>
      <w:r w:rsidR="00F25571">
        <w:rPr>
          <w:rFonts w:ascii="Arial" w:hAnsi="Arial" w:cs="Arial"/>
        </w:rPr>
        <w:t xml:space="preserve">the </w:t>
      </w:r>
      <w:r w:rsidR="003C1B6D">
        <w:rPr>
          <w:rFonts w:ascii="Arial" w:hAnsi="Arial" w:cs="Arial"/>
        </w:rPr>
        <w:t>associate’s behavior following the call</w:t>
      </w:r>
      <w:r w:rsidRPr="005C36DE">
        <w:rPr>
          <w:rFonts w:ascii="Arial" w:hAnsi="Arial" w:cs="Arial"/>
        </w:rPr>
        <w:t>)</w:t>
      </w:r>
      <w:r w:rsidR="00653BB1">
        <w:rPr>
          <w:rFonts w:ascii="Arial" w:hAnsi="Arial" w:cs="Arial"/>
        </w:rPr>
        <w:t xml:space="preserve">, </w:t>
      </w:r>
      <w:r w:rsidR="00653BB1">
        <w:rPr>
          <w:rFonts w:ascii="Arial" w:hAnsi="Arial" w:cs="Arial"/>
          <w:i/>
          <w:iCs/>
        </w:rPr>
        <w:t xml:space="preserve">with </w:t>
      </w:r>
      <w:r w:rsidR="00653BB1">
        <w:rPr>
          <w:rFonts w:ascii="Arial" w:hAnsi="Arial" w:cs="Arial"/>
        </w:rPr>
        <w:t>State v. Dalton, 369 N.C. 311, 318-19 (2016) (prosecutor’s argument that it was “very possible” that defendant in murder case would be released from civil commitment in fifty days if found not guilty by reason of insanity was improper where only reasonable inference from unrebutted evidence was that release within such time frame was highly unlikely)</w:t>
      </w:r>
      <w:r w:rsidRPr="005C36DE">
        <w:rPr>
          <w:rFonts w:ascii="Arial" w:hAnsi="Arial" w:cs="Arial"/>
        </w:rPr>
        <w:t>.</w:t>
      </w:r>
      <w:r w:rsidR="005A1159">
        <w:rPr>
          <w:rFonts w:ascii="Arial" w:hAnsi="Arial" w:cs="Arial"/>
        </w:rPr>
        <w:t xml:space="preserve"> Note the important distinction between properly drawing a reasonable inference from the facts in evidence and improperly </w:t>
      </w:r>
      <w:r w:rsidR="0012154B">
        <w:rPr>
          <w:rFonts w:ascii="Arial" w:hAnsi="Arial" w:cs="Arial"/>
        </w:rPr>
        <w:t>drawing inferences from</w:t>
      </w:r>
      <w:r w:rsidR="007D58F2">
        <w:rPr>
          <w:rFonts w:ascii="Arial" w:hAnsi="Arial" w:cs="Arial"/>
        </w:rPr>
        <w:t xml:space="preserve"> or</w:t>
      </w:r>
      <w:r w:rsidR="007D58F2" w:rsidRPr="007D58F2">
        <w:rPr>
          <w:rFonts w:ascii="Arial" w:hAnsi="Arial" w:cs="Arial"/>
        </w:rPr>
        <w:t xml:space="preserve"> </w:t>
      </w:r>
      <w:r w:rsidR="007D58F2">
        <w:rPr>
          <w:rFonts w:ascii="Arial" w:hAnsi="Arial" w:cs="Arial"/>
        </w:rPr>
        <w:t>asserting</w:t>
      </w:r>
      <w:r w:rsidR="005A1159">
        <w:rPr>
          <w:rFonts w:ascii="Arial" w:hAnsi="Arial" w:cs="Arial"/>
        </w:rPr>
        <w:t xml:space="preserve"> facts not in evidence, as discussed below in </w:t>
      </w:r>
      <w:r w:rsidR="00BF4ED7">
        <w:rPr>
          <w:rFonts w:ascii="Arial" w:hAnsi="Arial" w:cs="Arial"/>
        </w:rPr>
        <w:t>S</w:t>
      </w:r>
      <w:r w:rsidR="005A1159">
        <w:rPr>
          <w:rFonts w:ascii="Arial" w:hAnsi="Arial" w:cs="Arial"/>
        </w:rPr>
        <w:t xml:space="preserve">ection V.B.1.a. </w:t>
      </w:r>
      <w:r w:rsidR="005A1159">
        <w:rPr>
          <w:rFonts w:ascii="Arial" w:hAnsi="Arial" w:cs="Arial"/>
          <w:i/>
          <w:iCs/>
        </w:rPr>
        <w:t>Compare</w:t>
      </w:r>
      <w:r w:rsidR="005A1159">
        <w:rPr>
          <w:rFonts w:ascii="Arial" w:hAnsi="Arial" w:cs="Arial"/>
        </w:rPr>
        <w:t xml:space="preserve"> </w:t>
      </w:r>
      <w:r w:rsidR="00D01DFF">
        <w:rPr>
          <w:rFonts w:ascii="Arial" w:hAnsi="Arial" w:cs="Arial"/>
        </w:rPr>
        <w:t xml:space="preserve">State v. Hensley, 277 N.C. App. 308, 312-13 (2021) (proper in an indecent liberties case for prosecutor to argue that defendant wanted to access victim’s cellphone to look at sexual photos of victim where there was evidence of defendant’s sexual attraction towards victim), </w:t>
      </w:r>
      <w:r w:rsidR="00D01DFF">
        <w:rPr>
          <w:rFonts w:ascii="Arial" w:hAnsi="Arial" w:cs="Arial"/>
          <w:i/>
          <w:iCs/>
        </w:rPr>
        <w:t>and</w:t>
      </w:r>
      <w:r w:rsidR="00D01DFF">
        <w:rPr>
          <w:rFonts w:ascii="Arial" w:hAnsi="Arial" w:cs="Arial"/>
        </w:rPr>
        <w:t xml:space="preserve"> </w:t>
      </w:r>
      <w:r w:rsidR="005A1159">
        <w:rPr>
          <w:rFonts w:ascii="Arial" w:hAnsi="Arial" w:cs="Arial"/>
        </w:rPr>
        <w:t>State v. Collins, 283 N.C. App. 458, 466-67 (2022) (proper for prosecutor to argue that the</w:t>
      </w:r>
      <w:r w:rsidR="000F079C">
        <w:rPr>
          <w:rFonts w:ascii="Arial" w:hAnsi="Arial" w:cs="Arial"/>
        </w:rPr>
        <w:t>re was a risk</w:t>
      </w:r>
      <w:r w:rsidR="005A1159">
        <w:rPr>
          <w:rFonts w:ascii="Arial" w:hAnsi="Arial" w:cs="Arial"/>
        </w:rPr>
        <w:t xml:space="preserve"> defendant </w:t>
      </w:r>
      <w:r w:rsidR="00A60693">
        <w:rPr>
          <w:rFonts w:ascii="Arial" w:hAnsi="Arial" w:cs="Arial"/>
        </w:rPr>
        <w:t>could have killed</w:t>
      </w:r>
      <w:r w:rsidR="005A1159">
        <w:rPr>
          <w:rFonts w:ascii="Arial" w:hAnsi="Arial" w:cs="Arial"/>
        </w:rPr>
        <w:t xml:space="preserve"> someone </w:t>
      </w:r>
      <w:r w:rsidR="00A60693">
        <w:rPr>
          <w:rFonts w:ascii="Arial" w:hAnsi="Arial" w:cs="Arial"/>
        </w:rPr>
        <w:t xml:space="preserve">on the road </w:t>
      </w:r>
      <w:r w:rsidR="005A1159">
        <w:rPr>
          <w:rFonts w:ascii="Arial" w:hAnsi="Arial" w:cs="Arial"/>
        </w:rPr>
        <w:t>while fleeing law enforcement at high rate of speed</w:t>
      </w:r>
      <w:r w:rsidR="00A60693" w:rsidRPr="00A60693">
        <w:rPr>
          <w:rFonts w:ascii="Arial" w:hAnsi="Arial" w:cs="Arial"/>
        </w:rPr>
        <w:t xml:space="preserve"> </w:t>
      </w:r>
      <w:r w:rsidR="00A60693">
        <w:rPr>
          <w:rFonts w:ascii="Arial" w:hAnsi="Arial" w:cs="Arial"/>
        </w:rPr>
        <w:t>in a truck</w:t>
      </w:r>
      <w:r w:rsidR="005A1159">
        <w:rPr>
          <w:rFonts w:ascii="Arial" w:hAnsi="Arial" w:cs="Arial"/>
        </w:rPr>
        <w:t xml:space="preserve">), </w:t>
      </w:r>
      <w:r w:rsidR="005A1159">
        <w:rPr>
          <w:rFonts w:ascii="Arial" w:hAnsi="Arial" w:cs="Arial"/>
          <w:i/>
          <w:iCs/>
        </w:rPr>
        <w:t>with</w:t>
      </w:r>
      <w:r w:rsidR="005A1159">
        <w:rPr>
          <w:rFonts w:ascii="Arial" w:hAnsi="Arial" w:cs="Arial"/>
        </w:rPr>
        <w:t xml:space="preserve"> State v. Reber, </w:t>
      </w:r>
      <w:r w:rsidR="006F76D2">
        <w:rPr>
          <w:rFonts w:ascii="Arial" w:hAnsi="Arial" w:cs="Arial"/>
        </w:rPr>
        <w:t>386</w:t>
      </w:r>
      <w:r w:rsidR="00673BB0">
        <w:rPr>
          <w:rFonts w:ascii="Arial" w:hAnsi="Arial" w:cs="Arial"/>
        </w:rPr>
        <w:t xml:space="preserve"> N.C. </w:t>
      </w:r>
      <w:r w:rsidR="006F76D2">
        <w:rPr>
          <w:rFonts w:ascii="Arial" w:hAnsi="Arial" w:cs="Arial"/>
        </w:rPr>
        <w:t>153, 164</w:t>
      </w:r>
      <w:r w:rsidR="008F3763">
        <w:rPr>
          <w:rFonts w:ascii="Arial" w:hAnsi="Arial" w:cs="Arial"/>
        </w:rPr>
        <w:t xml:space="preserve"> </w:t>
      </w:r>
      <w:r w:rsidR="005A1159">
        <w:rPr>
          <w:rFonts w:ascii="Arial" w:hAnsi="Arial" w:cs="Arial"/>
        </w:rPr>
        <w:t>(202</w:t>
      </w:r>
      <w:r w:rsidR="00673BB0">
        <w:rPr>
          <w:rFonts w:ascii="Arial" w:hAnsi="Arial" w:cs="Arial"/>
        </w:rPr>
        <w:t>4</w:t>
      </w:r>
      <w:r w:rsidR="005A1159">
        <w:rPr>
          <w:rFonts w:ascii="Arial" w:hAnsi="Arial" w:cs="Arial"/>
        </w:rPr>
        <w:t xml:space="preserve">) (improper for prosecutor to infer that defendant spread sexually transmitted diseases to or impregnated alleged child victim where there was </w:t>
      </w:r>
      <w:r w:rsidR="000F079C">
        <w:rPr>
          <w:rFonts w:ascii="Arial" w:hAnsi="Arial" w:cs="Arial"/>
        </w:rPr>
        <w:t xml:space="preserve">evidence in the record of sexual intercourse but </w:t>
      </w:r>
      <w:r w:rsidR="005A1159">
        <w:rPr>
          <w:rFonts w:ascii="Arial" w:hAnsi="Arial" w:cs="Arial"/>
        </w:rPr>
        <w:t xml:space="preserve">no evidence </w:t>
      </w:r>
      <w:r w:rsidR="000F079C">
        <w:rPr>
          <w:rFonts w:ascii="Arial" w:hAnsi="Arial" w:cs="Arial"/>
        </w:rPr>
        <w:t>concerning STDs or pregnancy</w:t>
      </w:r>
      <w:r w:rsidR="005A1159">
        <w:rPr>
          <w:rFonts w:ascii="Arial" w:hAnsi="Arial" w:cs="Arial"/>
        </w:rPr>
        <w:t xml:space="preserve">). </w:t>
      </w:r>
    </w:p>
    <w:p w14:paraId="29AB8C1E" w14:textId="77777777" w:rsidR="005C36DE" w:rsidRPr="00641284" w:rsidRDefault="005C36DE" w:rsidP="00DB30BF">
      <w:pPr>
        <w:pStyle w:val="ListParagraph"/>
        <w:spacing w:after="0" w:line="240" w:lineRule="auto"/>
        <w:rPr>
          <w:rFonts w:ascii="Arial" w:hAnsi="Arial" w:cs="Arial"/>
        </w:rPr>
      </w:pPr>
    </w:p>
    <w:p w14:paraId="4F7C8978" w14:textId="7DA9BD4F" w:rsidR="008C35BC" w:rsidRDefault="007B6333" w:rsidP="00DB30BF">
      <w:pPr>
        <w:pStyle w:val="ListParagraph"/>
        <w:numPr>
          <w:ilvl w:val="0"/>
          <w:numId w:val="4"/>
        </w:numPr>
        <w:spacing w:after="0" w:line="240" w:lineRule="auto"/>
        <w:rPr>
          <w:rFonts w:ascii="Arial" w:hAnsi="Arial" w:cs="Arial"/>
        </w:rPr>
      </w:pPr>
      <w:bookmarkStart w:id="12" w:name="_Toc402880155"/>
      <w:bookmarkStart w:id="13" w:name="_Toc402880713"/>
      <w:bookmarkStart w:id="14" w:name="_Toc209539189"/>
      <w:r w:rsidRPr="00A002E8">
        <w:rPr>
          <w:rStyle w:val="Heading2Char"/>
        </w:rPr>
        <w:t>Relevant Law</w:t>
      </w:r>
      <w:bookmarkEnd w:id="12"/>
      <w:bookmarkEnd w:id="13"/>
      <w:bookmarkEnd w:id="14"/>
      <w:r w:rsidRPr="00641284">
        <w:rPr>
          <w:rFonts w:ascii="Arial" w:hAnsi="Arial" w:cs="Arial"/>
          <w:b/>
          <w:bCs/>
        </w:rPr>
        <w:t>.</w:t>
      </w:r>
      <w:r w:rsidRPr="00641284">
        <w:rPr>
          <w:rFonts w:ascii="Arial" w:hAnsi="Arial" w:cs="Arial"/>
        </w:rPr>
        <w:t xml:space="preserve"> Counsel may argue to the jury all relevant law. G.S. 7A-97 (“In jury trials the whole case as well of law as of fact may be argued to the jury”); State v. Thomas, 350 N.C. 315, 353-55 (1999) (not improper for prosecutor to read to the jury an excerpt from a prior published decision where the principles stated in that case were relevant to the evidence and the issues in the case being tried). This includes reading from a published decision. </w:t>
      </w:r>
      <w:r w:rsidRPr="00641284">
        <w:rPr>
          <w:rFonts w:ascii="Arial" w:hAnsi="Arial" w:cs="Arial"/>
          <w:i/>
          <w:iCs/>
        </w:rPr>
        <w:t>Thomas</w:t>
      </w:r>
      <w:r w:rsidRPr="00641284">
        <w:rPr>
          <w:rFonts w:ascii="Arial" w:hAnsi="Arial" w:cs="Arial"/>
        </w:rPr>
        <w:t>, 350 N.C. at 353-55</w:t>
      </w:r>
      <w:r w:rsidR="00390D43">
        <w:rPr>
          <w:rFonts w:ascii="Arial" w:hAnsi="Arial" w:cs="Arial"/>
        </w:rPr>
        <w:t xml:space="preserve"> (noting that only portions of the decision relevant to the matter at hand may be read and that an attorney may not read a dissenting opinion in a published decision)</w:t>
      </w:r>
      <w:r w:rsidR="00DC33EC">
        <w:rPr>
          <w:rFonts w:ascii="Arial" w:hAnsi="Arial" w:cs="Arial"/>
        </w:rPr>
        <w:t>. A</w:t>
      </w:r>
      <w:r w:rsidR="008C35BC">
        <w:rPr>
          <w:rFonts w:ascii="Arial" w:hAnsi="Arial" w:cs="Arial"/>
        </w:rPr>
        <w:t>s discussed below,</w:t>
      </w:r>
      <w:r w:rsidR="00DC33EC" w:rsidRPr="00641284">
        <w:rPr>
          <w:rFonts w:ascii="Arial" w:hAnsi="Arial" w:cs="Arial"/>
        </w:rPr>
        <w:t xml:space="preserve"> </w:t>
      </w:r>
      <w:r w:rsidR="0088630A">
        <w:rPr>
          <w:rFonts w:ascii="Arial" w:hAnsi="Arial" w:cs="Arial"/>
        </w:rPr>
        <w:t xml:space="preserve">however, a </w:t>
      </w:r>
      <w:r w:rsidR="00DC33EC" w:rsidRPr="00641284">
        <w:rPr>
          <w:rFonts w:ascii="Arial" w:hAnsi="Arial" w:cs="Arial"/>
        </w:rPr>
        <w:t>lawyer should not recite the facts and holding of another case and suggest that the matter before the jury should be resolved similarly</w:t>
      </w:r>
      <w:r w:rsidR="0088630A">
        <w:rPr>
          <w:rFonts w:ascii="Arial" w:hAnsi="Arial" w:cs="Arial"/>
        </w:rPr>
        <w:t>;</w:t>
      </w:r>
      <w:r w:rsidR="008C35BC">
        <w:rPr>
          <w:rFonts w:ascii="Arial" w:hAnsi="Arial" w:cs="Arial"/>
        </w:rPr>
        <w:t xml:space="preserve"> nor should</w:t>
      </w:r>
      <w:r w:rsidR="00DC33EC" w:rsidRPr="00641284">
        <w:rPr>
          <w:rFonts w:ascii="Arial" w:hAnsi="Arial" w:cs="Arial"/>
        </w:rPr>
        <w:t xml:space="preserve"> a lawyer discuss irrelevant law</w:t>
      </w:r>
      <w:r w:rsidR="008C35BC">
        <w:rPr>
          <w:rFonts w:ascii="Arial" w:hAnsi="Arial" w:cs="Arial"/>
        </w:rPr>
        <w:t>.</w:t>
      </w:r>
    </w:p>
    <w:p w14:paraId="21D3272E" w14:textId="7205F7B7" w:rsidR="004A6347" w:rsidRPr="00E844F3" w:rsidRDefault="00E844F3" w:rsidP="00DB30BF">
      <w:pPr>
        <w:pStyle w:val="ListParagraph"/>
        <w:numPr>
          <w:ilvl w:val="3"/>
          <w:numId w:val="4"/>
        </w:numPr>
        <w:spacing w:after="0" w:line="240" w:lineRule="auto"/>
        <w:ind w:left="2160" w:hanging="720"/>
      </w:pPr>
      <w:r w:rsidRPr="00A63790">
        <w:rPr>
          <w:rFonts w:ascii="Arial" w:hAnsi="Arial" w:cs="Arial"/>
          <w:b/>
          <w:bCs/>
        </w:rPr>
        <w:lastRenderedPageBreak/>
        <w:t xml:space="preserve">Potential </w:t>
      </w:r>
      <w:r w:rsidR="00B43A34" w:rsidRPr="00A63790">
        <w:rPr>
          <w:rFonts w:ascii="Arial" w:hAnsi="Arial" w:cs="Arial"/>
          <w:b/>
          <w:bCs/>
        </w:rPr>
        <w:t>Punishment</w:t>
      </w:r>
      <w:r w:rsidRPr="00A63790">
        <w:rPr>
          <w:rFonts w:ascii="Arial" w:hAnsi="Arial" w:cs="Arial"/>
          <w:b/>
          <w:bCs/>
        </w:rPr>
        <w:t xml:space="preserve"> </w:t>
      </w:r>
      <w:r w:rsidR="00843E03" w:rsidRPr="00A63790">
        <w:rPr>
          <w:rFonts w:ascii="Arial" w:hAnsi="Arial" w:cs="Arial"/>
          <w:b/>
          <w:bCs/>
        </w:rPr>
        <w:t>or</w:t>
      </w:r>
      <w:r w:rsidRPr="00A63790">
        <w:rPr>
          <w:rFonts w:ascii="Arial" w:hAnsi="Arial" w:cs="Arial"/>
          <w:b/>
          <w:bCs/>
        </w:rPr>
        <w:t xml:space="preserve"> Penalty</w:t>
      </w:r>
      <w:r w:rsidR="004A6347">
        <w:rPr>
          <w:b/>
          <w:bCs/>
        </w:rPr>
        <w:t>.</w:t>
      </w:r>
      <w:r>
        <w:t xml:space="preserve"> </w:t>
      </w:r>
      <w:r w:rsidR="0088630A" w:rsidRPr="00E844F3">
        <w:rPr>
          <w:rFonts w:ascii="Arial" w:hAnsi="Arial" w:cs="Arial"/>
        </w:rPr>
        <w:t>Since</w:t>
      </w:r>
      <w:r w:rsidR="008C35BC" w:rsidRPr="00E844F3">
        <w:rPr>
          <w:rFonts w:ascii="Arial" w:hAnsi="Arial" w:cs="Arial"/>
        </w:rPr>
        <w:t xml:space="preserve"> </w:t>
      </w:r>
      <w:r w:rsidR="004A6347" w:rsidRPr="004A6347">
        <w:rPr>
          <w:rFonts w:ascii="Arial" w:hAnsi="Arial" w:cs="Arial"/>
        </w:rPr>
        <w:t xml:space="preserve">“the sanction prescribed for criminal behavior is part of the law of the case,” it is permissible to inform the jury of the punishment for the offense for which a defendant is being tried. State v. McMorris, 290 N.C. 286, 287-89 (1976) (so stating); State v. Walters, 294 N.C. 311, 313 (1978); </w:t>
      </w:r>
      <w:r w:rsidR="00F84E31">
        <w:rPr>
          <w:rFonts w:ascii="Arial" w:hAnsi="Arial" w:cs="Arial"/>
        </w:rPr>
        <w:t xml:space="preserve">State v. Cox, </w:t>
      </w:r>
      <w:r w:rsidR="007B1CDB">
        <w:rPr>
          <w:rFonts w:ascii="Arial" w:hAnsi="Arial" w:cs="Arial"/>
        </w:rPr>
        <w:t>292</w:t>
      </w:r>
      <w:r w:rsidR="00F84E31">
        <w:rPr>
          <w:rFonts w:ascii="Arial" w:hAnsi="Arial" w:cs="Arial"/>
        </w:rPr>
        <w:t xml:space="preserve"> N.C. </w:t>
      </w:r>
      <w:r w:rsidR="00037965">
        <w:rPr>
          <w:rFonts w:ascii="Arial" w:hAnsi="Arial" w:cs="Arial"/>
        </w:rPr>
        <w:t xml:space="preserve">App. </w:t>
      </w:r>
      <w:r w:rsidR="007B1CDB">
        <w:rPr>
          <w:rFonts w:ascii="Arial" w:hAnsi="Arial" w:cs="Arial"/>
        </w:rPr>
        <w:t>473</w:t>
      </w:r>
      <w:r w:rsidR="00F84E31">
        <w:rPr>
          <w:rFonts w:ascii="Arial" w:hAnsi="Arial" w:cs="Arial"/>
        </w:rPr>
        <w:t>,</w:t>
      </w:r>
      <w:r w:rsidR="007B1CDB">
        <w:rPr>
          <w:rFonts w:ascii="Arial" w:hAnsi="Arial" w:cs="Arial"/>
        </w:rPr>
        <w:t xml:space="preserve"> 482-83</w:t>
      </w:r>
      <w:r w:rsidR="00F84E31">
        <w:rPr>
          <w:rFonts w:ascii="Arial" w:hAnsi="Arial" w:cs="Arial"/>
        </w:rPr>
        <w:t xml:space="preserve"> (2024); </w:t>
      </w:r>
      <w:r w:rsidR="004A6347" w:rsidRPr="004A6347">
        <w:rPr>
          <w:rFonts w:ascii="Arial" w:hAnsi="Arial" w:cs="Arial"/>
        </w:rPr>
        <w:t xml:space="preserve">State v. Parker, </w:t>
      </w:r>
      <w:r w:rsidR="0070382B">
        <w:rPr>
          <w:rFonts w:ascii="Arial" w:hAnsi="Arial" w:cs="Arial"/>
        </w:rPr>
        <w:t>290</w:t>
      </w:r>
      <w:r w:rsidR="004A6347" w:rsidRPr="004A6347">
        <w:rPr>
          <w:rFonts w:ascii="Arial" w:hAnsi="Arial" w:cs="Arial"/>
        </w:rPr>
        <w:t xml:space="preserve"> N.C. App. </w:t>
      </w:r>
      <w:r w:rsidR="0070382B">
        <w:rPr>
          <w:rFonts w:ascii="Arial" w:hAnsi="Arial" w:cs="Arial"/>
        </w:rPr>
        <w:t>650, 659</w:t>
      </w:r>
      <w:r w:rsidR="004A6347" w:rsidRPr="004A6347">
        <w:rPr>
          <w:rFonts w:ascii="Arial" w:hAnsi="Arial" w:cs="Arial"/>
        </w:rPr>
        <w:t xml:space="preserve"> (2023). Relatedly, it is permissible to encourage the jury to deliberate seriously and carefully where the possible consequences of conviction include incarceration. </w:t>
      </w:r>
      <w:r w:rsidR="004A6347" w:rsidRPr="004A6347">
        <w:rPr>
          <w:rFonts w:ascii="Arial" w:hAnsi="Arial" w:cs="Arial"/>
          <w:i/>
          <w:iCs/>
        </w:rPr>
        <w:t>McMorris</w:t>
      </w:r>
      <w:r w:rsidR="004A6347" w:rsidRPr="004A6347">
        <w:rPr>
          <w:rFonts w:ascii="Arial" w:hAnsi="Arial" w:cs="Arial"/>
        </w:rPr>
        <w:t>, 290 N.C. at 288. However, as discussed below</w:t>
      </w:r>
      <w:r w:rsidR="00037965">
        <w:rPr>
          <w:rFonts w:ascii="Arial" w:hAnsi="Arial" w:cs="Arial"/>
        </w:rPr>
        <w:t xml:space="preserve"> in Section V.A.23</w:t>
      </w:r>
      <w:r w:rsidR="004A6347" w:rsidRPr="004A6347">
        <w:rPr>
          <w:rFonts w:ascii="Arial" w:hAnsi="Arial" w:cs="Arial"/>
        </w:rPr>
        <w:t xml:space="preserve">, it is impermissible to argue that the jury should reach a decision </w:t>
      </w:r>
      <w:proofErr w:type="gramStart"/>
      <w:r w:rsidR="004A6347" w:rsidRPr="004A6347">
        <w:rPr>
          <w:rFonts w:ascii="Arial" w:hAnsi="Arial" w:cs="Arial"/>
        </w:rPr>
        <w:t>on the basis of</w:t>
      </w:r>
      <w:proofErr w:type="gramEnd"/>
      <w:r w:rsidR="004A6347" w:rsidRPr="004A6347">
        <w:rPr>
          <w:rFonts w:ascii="Arial" w:hAnsi="Arial" w:cs="Arial"/>
        </w:rPr>
        <w:t xml:space="preserve"> a punishment’s severity, to question the “wisdom or appropriateness” of the punishment, or to inaccurately forecast the punishment. </w:t>
      </w:r>
      <w:r w:rsidR="004A6347" w:rsidRPr="004A6347">
        <w:rPr>
          <w:rFonts w:ascii="Arial" w:hAnsi="Arial" w:cs="Arial"/>
          <w:i/>
          <w:iCs/>
        </w:rPr>
        <w:t>Id</w:t>
      </w:r>
      <w:r w:rsidR="004A6347" w:rsidRPr="004A6347">
        <w:rPr>
          <w:rFonts w:ascii="Arial" w:hAnsi="Arial" w:cs="Arial"/>
        </w:rPr>
        <w:t xml:space="preserve">. </w:t>
      </w:r>
    </w:p>
    <w:p w14:paraId="3C92DF96" w14:textId="3E676652" w:rsidR="004A6347" w:rsidRPr="00E844F3" w:rsidRDefault="004A6347" w:rsidP="00DB30BF">
      <w:pPr>
        <w:pStyle w:val="ListParagraph"/>
        <w:spacing w:after="0" w:line="240" w:lineRule="auto"/>
        <w:ind w:left="2160" w:firstLine="720"/>
      </w:pPr>
      <w:r>
        <w:rPr>
          <w:rFonts w:ascii="Arial" w:hAnsi="Arial" w:cs="Arial"/>
        </w:rPr>
        <w:t>I</w:t>
      </w:r>
      <w:r w:rsidRPr="00E844F3">
        <w:rPr>
          <w:rFonts w:ascii="Arial" w:hAnsi="Arial" w:cs="Arial"/>
        </w:rPr>
        <w:t xml:space="preserve">n State v. Lopez, 363 N.C. 535, 540-42 (2009) the North Carolina Supreme Court observed that </w:t>
      </w:r>
      <w:r w:rsidR="009252C6">
        <w:rPr>
          <w:rFonts w:ascii="Arial" w:hAnsi="Arial" w:cs="Arial"/>
        </w:rPr>
        <w:t>the enactment of Structured Sentencing</w:t>
      </w:r>
      <w:r w:rsidRPr="00E844F3">
        <w:rPr>
          <w:rFonts w:ascii="Arial" w:hAnsi="Arial" w:cs="Arial"/>
        </w:rPr>
        <w:t xml:space="preserve"> </w:t>
      </w:r>
      <w:r w:rsidR="009252C6">
        <w:rPr>
          <w:rFonts w:ascii="Arial" w:hAnsi="Arial" w:cs="Arial"/>
        </w:rPr>
        <w:t>after</w:t>
      </w:r>
      <w:r w:rsidRPr="00E844F3">
        <w:rPr>
          <w:rFonts w:ascii="Arial" w:hAnsi="Arial" w:cs="Arial"/>
        </w:rPr>
        <w:t xml:space="preserve"> </w:t>
      </w:r>
      <w:r w:rsidRPr="00E844F3">
        <w:rPr>
          <w:rFonts w:ascii="Arial" w:hAnsi="Arial" w:cs="Arial"/>
          <w:i/>
          <w:iCs/>
        </w:rPr>
        <w:t>McMorris</w:t>
      </w:r>
      <w:r w:rsidRPr="00E844F3">
        <w:rPr>
          <w:rFonts w:ascii="Arial" w:hAnsi="Arial" w:cs="Arial"/>
        </w:rPr>
        <w:t xml:space="preserve"> made it </w:t>
      </w:r>
      <w:r w:rsidR="009252C6">
        <w:rPr>
          <w:rFonts w:ascii="Arial" w:hAnsi="Arial" w:cs="Arial"/>
        </w:rPr>
        <w:t>much more</w:t>
      </w:r>
      <w:r w:rsidRPr="00E844F3">
        <w:rPr>
          <w:rFonts w:ascii="Arial" w:hAnsi="Arial" w:cs="Arial"/>
        </w:rPr>
        <w:t xml:space="preserve"> difficult to accurately forecast the sentence that a particular defendant will receive if convicted and consequently cautioned attorneys against attempting to make such a forecast. The </w:t>
      </w:r>
      <w:r w:rsidRPr="00E844F3">
        <w:rPr>
          <w:rFonts w:ascii="Arial" w:hAnsi="Arial" w:cs="Arial"/>
          <w:i/>
          <w:iCs/>
        </w:rPr>
        <w:t>Lopez</w:t>
      </w:r>
      <w:r w:rsidRPr="00E844F3">
        <w:rPr>
          <w:rFonts w:ascii="Arial" w:hAnsi="Arial" w:cs="Arial"/>
        </w:rPr>
        <w:t xml:space="preserve"> court held that it was error for a trial judge to overrule defense counsel’s objection to the prosecutor’s inaccurate and misleading forecast of the defendant’s sentence under Structured Sentencing. </w:t>
      </w:r>
      <w:r w:rsidR="00037965">
        <w:rPr>
          <w:rFonts w:ascii="Arial" w:hAnsi="Arial" w:cs="Arial"/>
        </w:rPr>
        <w:t>Because</w:t>
      </w:r>
      <w:r w:rsidRPr="00E844F3">
        <w:rPr>
          <w:rFonts w:ascii="Arial" w:hAnsi="Arial" w:cs="Arial"/>
        </w:rPr>
        <w:t xml:space="preserve"> </w:t>
      </w:r>
      <w:r w:rsidRPr="00E844F3">
        <w:rPr>
          <w:rFonts w:ascii="Arial" w:hAnsi="Arial" w:cs="Arial"/>
          <w:i/>
          <w:iCs/>
        </w:rPr>
        <w:t>Lopez</w:t>
      </w:r>
      <w:r w:rsidRPr="00E844F3">
        <w:rPr>
          <w:rFonts w:ascii="Arial" w:hAnsi="Arial" w:cs="Arial"/>
        </w:rPr>
        <w:t xml:space="preserve"> involved an inaccurate and misleading </w:t>
      </w:r>
      <w:proofErr w:type="gramStart"/>
      <w:r w:rsidRPr="00E844F3">
        <w:rPr>
          <w:rFonts w:ascii="Arial" w:hAnsi="Arial" w:cs="Arial"/>
        </w:rPr>
        <w:t xml:space="preserve">forecast, </w:t>
      </w:r>
      <w:r w:rsidR="0096172E">
        <w:rPr>
          <w:rFonts w:ascii="Arial" w:hAnsi="Arial" w:cs="Arial"/>
        </w:rPr>
        <w:t xml:space="preserve"> in</w:t>
      </w:r>
      <w:proofErr w:type="gramEnd"/>
      <w:r w:rsidR="0096172E">
        <w:rPr>
          <w:rFonts w:ascii="Arial" w:hAnsi="Arial" w:cs="Arial"/>
        </w:rPr>
        <w:t xml:space="preserve"> was initially unclear whether</w:t>
      </w:r>
      <w:r w:rsidRPr="00E844F3">
        <w:rPr>
          <w:rFonts w:ascii="Arial" w:hAnsi="Arial" w:cs="Arial"/>
        </w:rPr>
        <w:t xml:space="preserve"> </w:t>
      </w:r>
      <w:r w:rsidRPr="00E844F3">
        <w:rPr>
          <w:rFonts w:ascii="Arial" w:hAnsi="Arial" w:cs="Arial"/>
          <w:i/>
          <w:iCs/>
        </w:rPr>
        <w:t xml:space="preserve">Lopez </w:t>
      </w:r>
      <w:r w:rsidRPr="00E844F3">
        <w:rPr>
          <w:rFonts w:ascii="Arial" w:hAnsi="Arial" w:cs="Arial"/>
        </w:rPr>
        <w:t>abrogate</w:t>
      </w:r>
      <w:r w:rsidR="0096172E">
        <w:rPr>
          <w:rFonts w:ascii="Arial" w:hAnsi="Arial" w:cs="Arial"/>
        </w:rPr>
        <w:t>d</w:t>
      </w:r>
      <w:r w:rsidRPr="00E844F3">
        <w:rPr>
          <w:rFonts w:ascii="Arial" w:hAnsi="Arial" w:cs="Arial"/>
        </w:rPr>
        <w:t xml:space="preserve"> the general rule stated in </w:t>
      </w:r>
      <w:r w:rsidRPr="00E844F3">
        <w:rPr>
          <w:rFonts w:ascii="Arial" w:hAnsi="Arial" w:cs="Arial"/>
          <w:i/>
          <w:iCs/>
        </w:rPr>
        <w:t xml:space="preserve">McMorris </w:t>
      </w:r>
      <w:r w:rsidRPr="00E844F3">
        <w:rPr>
          <w:rFonts w:ascii="Arial" w:hAnsi="Arial" w:cs="Arial"/>
        </w:rPr>
        <w:t>and other earlier cases that it is permissible</w:t>
      </w:r>
      <w:r>
        <w:rPr>
          <w:rFonts w:ascii="Arial" w:hAnsi="Arial" w:cs="Arial"/>
        </w:rPr>
        <w:t>, when done accurately or in a manner that is not misleading,</w:t>
      </w:r>
      <w:r w:rsidRPr="00E844F3">
        <w:rPr>
          <w:rFonts w:ascii="Arial" w:hAnsi="Arial" w:cs="Arial"/>
        </w:rPr>
        <w:t xml:space="preserve"> to inform the jury of the punishment for an offense.</w:t>
      </w:r>
      <w:r w:rsidR="002D3143">
        <w:rPr>
          <w:rFonts w:ascii="Arial" w:hAnsi="Arial" w:cs="Arial"/>
        </w:rPr>
        <w:t xml:space="preserve"> </w:t>
      </w:r>
      <w:r w:rsidR="002D3143">
        <w:rPr>
          <w:rFonts w:ascii="Arial" w:hAnsi="Arial" w:cs="Arial"/>
          <w:i/>
          <w:iCs/>
        </w:rPr>
        <w:t>Cf. McMorris,</w:t>
      </w:r>
      <w:r w:rsidR="00037965">
        <w:rPr>
          <w:rFonts w:ascii="Arial" w:hAnsi="Arial" w:cs="Arial"/>
        </w:rPr>
        <w:t xml:space="preserve"> </w:t>
      </w:r>
      <w:r w:rsidR="002D3143">
        <w:rPr>
          <w:rFonts w:ascii="Arial" w:hAnsi="Arial" w:cs="Arial"/>
        </w:rPr>
        <w:t xml:space="preserve">290 N.C. at 288 (stating that the general rule permitting argument describing statutory punishment “applies with even greater force” in cases where consequence of conviction is mandatory life sentence). </w:t>
      </w:r>
      <w:r w:rsidR="00037965">
        <w:rPr>
          <w:rFonts w:ascii="Arial" w:hAnsi="Arial" w:cs="Arial"/>
        </w:rPr>
        <w:t xml:space="preserve">Cases decided after </w:t>
      </w:r>
      <w:r w:rsidR="00037965">
        <w:rPr>
          <w:rFonts w:ascii="Arial" w:hAnsi="Arial" w:cs="Arial"/>
          <w:i/>
          <w:iCs/>
        </w:rPr>
        <w:t>Lopez</w:t>
      </w:r>
      <w:r w:rsidR="00037965">
        <w:rPr>
          <w:rFonts w:ascii="Arial" w:hAnsi="Arial" w:cs="Arial"/>
        </w:rPr>
        <w:t xml:space="preserve"> continue to state the </w:t>
      </w:r>
      <w:r w:rsidR="002D3143">
        <w:rPr>
          <w:rFonts w:ascii="Arial" w:hAnsi="Arial" w:cs="Arial"/>
        </w:rPr>
        <w:t xml:space="preserve">general </w:t>
      </w:r>
      <w:r w:rsidR="00037965">
        <w:rPr>
          <w:rFonts w:ascii="Arial" w:hAnsi="Arial" w:cs="Arial"/>
        </w:rPr>
        <w:t>rule</w:t>
      </w:r>
      <w:r w:rsidR="002D3143">
        <w:rPr>
          <w:rFonts w:ascii="Arial" w:hAnsi="Arial" w:cs="Arial"/>
        </w:rPr>
        <w:t xml:space="preserve"> described in </w:t>
      </w:r>
      <w:r w:rsidR="002D3143">
        <w:rPr>
          <w:rFonts w:ascii="Arial" w:hAnsi="Arial" w:cs="Arial"/>
          <w:i/>
          <w:iCs/>
        </w:rPr>
        <w:t>McMorris</w:t>
      </w:r>
      <w:r w:rsidR="00037965">
        <w:rPr>
          <w:rFonts w:ascii="Arial" w:hAnsi="Arial" w:cs="Arial"/>
        </w:rPr>
        <w:t xml:space="preserve">. </w:t>
      </w:r>
      <w:r w:rsidR="00037965">
        <w:rPr>
          <w:rFonts w:ascii="Arial" w:hAnsi="Arial" w:cs="Arial"/>
          <w:i/>
          <w:iCs/>
        </w:rPr>
        <w:t>See</w:t>
      </w:r>
      <w:r w:rsidR="00037965">
        <w:rPr>
          <w:rFonts w:ascii="Arial" w:hAnsi="Arial" w:cs="Arial"/>
        </w:rPr>
        <w:t>,</w:t>
      </w:r>
      <w:r w:rsidR="00037965">
        <w:rPr>
          <w:rFonts w:ascii="Arial" w:hAnsi="Arial" w:cs="Arial"/>
          <w:i/>
          <w:iCs/>
        </w:rPr>
        <w:t xml:space="preserve"> e.g.</w:t>
      </w:r>
      <w:r w:rsidR="00037965">
        <w:rPr>
          <w:rFonts w:ascii="Arial" w:hAnsi="Arial" w:cs="Arial"/>
        </w:rPr>
        <w:t xml:space="preserve">, </w:t>
      </w:r>
      <w:r w:rsidR="00037965">
        <w:rPr>
          <w:rFonts w:ascii="Arial" w:hAnsi="Arial" w:cs="Arial"/>
          <w:i/>
          <w:iCs/>
        </w:rPr>
        <w:t xml:space="preserve">Cox </w:t>
      </w:r>
      <w:r w:rsidR="007B1CDB">
        <w:rPr>
          <w:rFonts w:ascii="Arial" w:hAnsi="Arial" w:cs="Arial"/>
        </w:rPr>
        <w:t>292</w:t>
      </w:r>
      <w:r w:rsidR="00037965">
        <w:rPr>
          <w:rFonts w:ascii="Arial" w:hAnsi="Arial" w:cs="Arial"/>
        </w:rPr>
        <w:t xml:space="preserve"> N.C. App. at </w:t>
      </w:r>
      <w:r w:rsidR="007B1CDB">
        <w:rPr>
          <w:rFonts w:ascii="Arial" w:hAnsi="Arial" w:cs="Arial"/>
        </w:rPr>
        <w:t>482-83</w:t>
      </w:r>
      <w:r w:rsidR="00037965">
        <w:rPr>
          <w:rFonts w:ascii="Arial" w:hAnsi="Arial" w:cs="Arial"/>
        </w:rPr>
        <w:t xml:space="preserve">; </w:t>
      </w:r>
      <w:r w:rsidR="00037965" w:rsidRPr="0093262F">
        <w:rPr>
          <w:rFonts w:ascii="Arial" w:hAnsi="Arial" w:cs="Arial"/>
          <w:i/>
          <w:iCs/>
        </w:rPr>
        <w:t>Parker</w:t>
      </w:r>
      <w:r w:rsidR="00037965" w:rsidRPr="004A6347">
        <w:rPr>
          <w:rFonts w:ascii="Arial" w:hAnsi="Arial" w:cs="Arial"/>
        </w:rPr>
        <w:t xml:space="preserve">, </w:t>
      </w:r>
      <w:r w:rsidR="00940DBA">
        <w:rPr>
          <w:rFonts w:ascii="Arial" w:hAnsi="Arial" w:cs="Arial"/>
        </w:rPr>
        <w:t>290</w:t>
      </w:r>
      <w:r w:rsidR="00037965" w:rsidRPr="004A6347">
        <w:rPr>
          <w:rFonts w:ascii="Arial" w:hAnsi="Arial" w:cs="Arial"/>
        </w:rPr>
        <w:t xml:space="preserve"> N.C. App. </w:t>
      </w:r>
      <w:r w:rsidR="00037965">
        <w:rPr>
          <w:rFonts w:ascii="Arial" w:hAnsi="Arial" w:cs="Arial"/>
        </w:rPr>
        <w:t xml:space="preserve">at </w:t>
      </w:r>
      <w:r w:rsidR="0070382B">
        <w:rPr>
          <w:rFonts w:ascii="Arial" w:hAnsi="Arial" w:cs="Arial"/>
        </w:rPr>
        <w:t>659</w:t>
      </w:r>
      <w:r w:rsidR="00037965">
        <w:rPr>
          <w:rFonts w:ascii="Arial" w:hAnsi="Arial" w:cs="Arial"/>
        </w:rPr>
        <w:t>.</w:t>
      </w:r>
    </w:p>
    <w:p w14:paraId="69969F6A" w14:textId="7EE2550A" w:rsidR="004A6347" w:rsidRDefault="004A6347" w:rsidP="00DB30BF">
      <w:pPr>
        <w:pStyle w:val="ListParagraph"/>
        <w:spacing w:after="0" w:line="240" w:lineRule="auto"/>
        <w:ind w:left="2160" w:firstLine="720"/>
        <w:rPr>
          <w:rFonts w:ascii="Arial" w:hAnsi="Arial" w:cs="Arial"/>
          <w:b/>
          <w:bCs/>
        </w:rPr>
      </w:pPr>
      <w:r w:rsidRPr="00E844F3">
        <w:rPr>
          <w:rFonts w:ascii="Arial" w:hAnsi="Arial" w:cs="Arial"/>
        </w:rPr>
        <w:t>In capital cases</w:t>
      </w:r>
      <w:r w:rsidR="00037965">
        <w:rPr>
          <w:rFonts w:ascii="Arial" w:hAnsi="Arial" w:cs="Arial"/>
        </w:rPr>
        <w:t>,</w:t>
      </w:r>
      <w:r w:rsidRPr="00E844F3">
        <w:rPr>
          <w:rFonts w:ascii="Arial" w:hAnsi="Arial" w:cs="Arial"/>
        </w:rPr>
        <w:t xml:space="preserve"> G.S. 15-176.5 specifically </w:t>
      </w:r>
      <w:r w:rsidR="0062281A">
        <w:rPr>
          <w:rFonts w:ascii="Arial" w:hAnsi="Arial" w:cs="Arial"/>
        </w:rPr>
        <w:t>states</w:t>
      </w:r>
      <w:r w:rsidRPr="00E844F3">
        <w:rPr>
          <w:rFonts w:ascii="Arial" w:hAnsi="Arial" w:cs="Arial"/>
        </w:rPr>
        <w:t>, with respect to the capital offense, that “either party in its argument to the jury may indicate the consequences of a verdict of guilty of that charge,” and G.S. 15-176.1 specifically permits a prosecutor to “argue to the jury that a sentence of death should be imposed and that the jury should not recommend life imprisonment.”</w:t>
      </w:r>
    </w:p>
    <w:p w14:paraId="4D1BCC70" w14:textId="06D49A1B" w:rsidR="004A6347" w:rsidRPr="00E844F3" w:rsidRDefault="004A6347" w:rsidP="00DB30BF">
      <w:pPr>
        <w:pStyle w:val="ListParagraph"/>
        <w:numPr>
          <w:ilvl w:val="3"/>
          <w:numId w:val="4"/>
        </w:numPr>
        <w:spacing w:after="0" w:line="240" w:lineRule="auto"/>
        <w:ind w:left="2160" w:hanging="720"/>
      </w:pPr>
      <w:r w:rsidRPr="00A63790">
        <w:rPr>
          <w:rFonts w:ascii="Arial" w:hAnsi="Arial" w:cs="Arial"/>
          <w:b/>
          <w:bCs/>
        </w:rPr>
        <w:t>Collateral Consequences</w:t>
      </w:r>
      <w:r>
        <w:rPr>
          <w:rFonts w:ascii="Arial" w:hAnsi="Arial" w:cs="Arial"/>
          <w:b/>
          <w:bCs/>
        </w:rPr>
        <w:t>.</w:t>
      </w:r>
      <w:r>
        <w:rPr>
          <w:rFonts w:ascii="Arial" w:hAnsi="Arial" w:cs="Arial"/>
        </w:rPr>
        <w:t xml:space="preserve"> </w:t>
      </w:r>
      <w:r w:rsidR="00C379EB">
        <w:rPr>
          <w:rFonts w:ascii="Arial" w:hAnsi="Arial" w:cs="Arial"/>
        </w:rPr>
        <w:t>A</w:t>
      </w:r>
      <w:r w:rsidR="0062281A">
        <w:rPr>
          <w:rFonts w:ascii="Arial" w:hAnsi="Arial" w:cs="Arial"/>
        </w:rPr>
        <w:t xml:space="preserve"> </w:t>
      </w:r>
      <w:r w:rsidR="00456259">
        <w:rPr>
          <w:rFonts w:ascii="Arial" w:hAnsi="Arial" w:cs="Arial"/>
        </w:rPr>
        <w:t xml:space="preserve">variety of </w:t>
      </w:r>
      <w:r w:rsidR="0062281A">
        <w:rPr>
          <w:rFonts w:ascii="Arial" w:hAnsi="Arial" w:cs="Arial"/>
        </w:rPr>
        <w:t>collateral consequences may result from a criminal conviction, such as sex offender registration</w:t>
      </w:r>
      <w:r w:rsidR="00B548D5">
        <w:rPr>
          <w:rFonts w:ascii="Arial" w:hAnsi="Arial" w:cs="Arial"/>
        </w:rPr>
        <w:t>, professional licensure revocation, or</w:t>
      </w:r>
      <w:r w:rsidR="00DF76A4">
        <w:rPr>
          <w:rFonts w:ascii="Arial" w:hAnsi="Arial" w:cs="Arial"/>
        </w:rPr>
        <w:t xml:space="preserve"> </w:t>
      </w:r>
      <w:r w:rsidR="00B548D5">
        <w:rPr>
          <w:rFonts w:ascii="Arial" w:hAnsi="Arial" w:cs="Arial"/>
        </w:rPr>
        <w:t>limitation of civic rights.</w:t>
      </w:r>
      <w:r w:rsidR="0062281A">
        <w:rPr>
          <w:rFonts w:ascii="Arial" w:hAnsi="Arial" w:cs="Arial"/>
        </w:rPr>
        <w:t xml:space="preserve"> </w:t>
      </w:r>
      <w:r w:rsidR="00B548D5">
        <w:rPr>
          <w:rFonts w:ascii="Arial" w:hAnsi="Arial" w:cs="Arial"/>
          <w:i/>
          <w:iCs/>
        </w:rPr>
        <w:t>See generally</w:t>
      </w:r>
      <w:r w:rsidR="00B548D5">
        <w:rPr>
          <w:rFonts w:ascii="Arial" w:hAnsi="Arial" w:cs="Arial"/>
        </w:rPr>
        <w:t xml:space="preserve"> </w:t>
      </w:r>
      <w:hyperlink r:id="rId10" w:history="1">
        <w:r w:rsidR="00B548D5" w:rsidRPr="00B548D5">
          <w:rPr>
            <w:rStyle w:val="Hyperlink"/>
            <w:rFonts w:ascii="Arial" w:hAnsi="Arial" w:cs="Arial"/>
          </w:rPr>
          <w:t>Collateral Consequences Assessment Tool</w:t>
        </w:r>
      </w:hyperlink>
      <w:r w:rsidR="00B548D5">
        <w:rPr>
          <w:rFonts w:ascii="Arial" w:hAnsi="Arial" w:cs="Arial"/>
        </w:rPr>
        <w:t xml:space="preserve"> (a searchable database of collateral consequences prepared by the UNC School of Government).</w:t>
      </w:r>
      <w:r w:rsidR="00456259">
        <w:rPr>
          <w:rFonts w:ascii="Arial" w:hAnsi="Arial" w:cs="Arial"/>
        </w:rPr>
        <w:t xml:space="preserve"> There is limited case law </w:t>
      </w:r>
      <w:r w:rsidR="00843E03">
        <w:rPr>
          <w:rFonts w:ascii="Arial" w:hAnsi="Arial" w:cs="Arial"/>
        </w:rPr>
        <w:t>on</w:t>
      </w:r>
      <w:r w:rsidR="00456259">
        <w:rPr>
          <w:rFonts w:ascii="Arial" w:hAnsi="Arial" w:cs="Arial"/>
        </w:rPr>
        <w:t xml:space="preserve"> </w:t>
      </w:r>
      <w:r w:rsidR="00843E03">
        <w:rPr>
          <w:rFonts w:ascii="Arial" w:hAnsi="Arial" w:cs="Arial"/>
        </w:rPr>
        <w:t>the propriety of discussing the collateral consequences of conviction during jury argument</w:t>
      </w:r>
      <w:r w:rsidR="00DB2697">
        <w:rPr>
          <w:rFonts w:ascii="Arial" w:hAnsi="Arial" w:cs="Arial"/>
        </w:rPr>
        <w:t>, though one unpublished case held that the trial judge erred by refusing to allow defense counsel to inform the jury that the defendant would be required to register as a sex offender if convicted of the sexual battery offenses for which he was being tried</w:t>
      </w:r>
      <w:r w:rsidR="00843E03">
        <w:rPr>
          <w:rFonts w:ascii="Arial" w:hAnsi="Arial" w:cs="Arial"/>
        </w:rPr>
        <w:t>.</w:t>
      </w:r>
      <w:r w:rsidR="00DB2697">
        <w:rPr>
          <w:rFonts w:ascii="Arial" w:hAnsi="Arial" w:cs="Arial"/>
        </w:rPr>
        <w:t xml:space="preserve"> State v. Prestwood, 211 N.C. App. 198, *3 (2011) (unpublished) (relying on </w:t>
      </w:r>
      <w:r w:rsidR="00DB2697">
        <w:rPr>
          <w:rFonts w:ascii="Arial" w:hAnsi="Arial" w:cs="Arial"/>
          <w:i/>
          <w:iCs/>
        </w:rPr>
        <w:t>Mc</w:t>
      </w:r>
      <w:r w:rsidR="00940DBA">
        <w:rPr>
          <w:rFonts w:ascii="Arial" w:hAnsi="Arial" w:cs="Arial"/>
          <w:i/>
          <w:iCs/>
        </w:rPr>
        <w:t>Morris</w:t>
      </w:r>
      <w:r w:rsidR="00DB2697">
        <w:rPr>
          <w:rFonts w:ascii="Arial" w:hAnsi="Arial" w:cs="Arial"/>
        </w:rPr>
        <w:t xml:space="preserve"> and related precedent; noting that registration was a mandatory consequence of conviction).</w:t>
      </w:r>
      <w:r w:rsidR="00843E03">
        <w:rPr>
          <w:rFonts w:ascii="Arial" w:hAnsi="Arial" w:cs="Arial"/>
        </w:rPr>
        <w:t xml:space="preserve"> For a fuller analysis of the issue, see John Rubin, </w:t>
      </w:r>
      <w:hyperlink r:id="rId11" w:history="1">
        <w:r w:rsidR="00843E03" w:rsidRPr="00DB2697">
          <w:rPr>
            <w:rStyle w:val="Hyperlink"/>
            <w:rFonts w:ascii="Arial" w:hAnsi="Arial" w:cs="Arial"/>
            <w:i/>
            <w:iCs/>
          </w:rPr>
          <w:t xml:space="preserve">Letting the Jury Know about </w:t>
        </w:r>
        <w:r w:rsidR="00843E03" w:rsidRPr="00DB2697">
          <w:rPr>
            <w:rStyle w:val="Hyperlink"/>
            <w:rFonts w:ascii="Arial" w:hAnsi="Arial" w:cs="Arial"/>
            <w:i/>
            <w:iCs/>
          </w:rPr>
          <w:lastRenderedPageBreak/>
          <w:t>“Collateral” Consequences of a Conviction</w:t>
        </w:r>
      </w:hyperlink>
      <w:r w:rsidR="00843E03">
        <w:rPr>
          <w:rFonts w:ascii="Arial" w:hAnsi="Arial" w:cs="Arial"/>
        </w:rPr>
        <w:t xml:space="preserve">, </w:t>
      </w:r>
      <w:r w:rsidR="00843E03">
        <w:rPr>
          <w:rFonts w:ascii="Arial" w:hAnsi="Arial" w:cs="Arial"/>
          <w:smallCaps/>
        </w:rPr>
        <w:t>N.C. Crim. L., UNC Sch. of Gov’t Blog</w:t>
      </w:r>
      <w:r w:rsidR="00DB2697">
        <w:rPr>
          <w:rFonts w:ascii="Arial" w:hAnsi="Arial" w:cs="Arial"/>
        </w:rPr>
        <w:t xml:space="preserve"> (Mar. 5, 2019).</w:t>
      </w:r>
    </w:p>
    <w:p w14:paraId="538D9F9C" w14:textId="77777777" w:rsidR="005C36DE" w:rsidRPr="005C36DE" w:rsidRDefault="005C36DE" w:rsidP="00DB30BF">
      <w:pPr>
        <w:spacing w:after="0" w:line="240" w:lineRule="auto"/>
        <w:rPr>
          <w:rFonts w:ascii="Arial" w:hAnsi="Arial" w:cs="Arial"/>
        </w:rPr>
      </w:pPr>
    </w:p>
    <w:p w14:paraId="7B3109F2" w14:textId="675E357E" w:rsidR="007B6333" w:rsidRDefault="007B6333" w:rsidP="00DB30BF">
      <w:pPr>
        <w:pStyle w:val="ListParagraph"/>
        <w:numPr>
          <w:ilvl w:val="0"/>
          <w:numId w:val="4"/>
        </w:numPr>
        <w:spacing w:after="0" w:line="240" w:lineRule="auto"/>
        <w:rPr>
          <w:rFonts w:ascii="Arial" w:hAnsi="Arial" w:cs="Arial"/>
        </w:rPr>
      </w:pPr>
      <w:bookmarkStart w:id="15" w:name="_Toc402880156"/>
      <w:bookmarkStart w:id="16" w:name="_Toc402880714"/>
      <w:bookmarkStart w:id="17" w:name="_Toc209539190"/>
      <w:r w:rsidRPr="00A002E8">
        <w:rPr>
          <w:rStyle w:val="Heading2Char"/>
        </w:rPr>
        <w:t>Positions or Conclusions</w:t>
      </w:r>
      <w:bookmarkEnd w:id="15"/>
      <w:bookmarkEnd w:id="16"/>
      <w:bookmarkEnd w:id="17"/>
      <w:r w:rsidRPr="00641284">
        <w:rPr>
          <w:rFonts w:ascii="Arial" w:hAnsi="Arial" w:cs="Arial"/>
          <w:b/>
          <w:bCs/>
        </w:rPr>
        <w:t>.</w:t>
      </w:r>
      <w:r w:rsidR="00F74D0F">
        <w:rPr>
          <w:rFonts w:ascii="Arial" w:hAnsi="Arial" w:cs="Arial"/>
        </w:rPr>
        <w:t xml:space="preserve"> During </w:t>
      </w:r>
      <w:r w:rsidRPr="00641284">
        <w:rPr>
          <w:rFonts w:ascii="Arial" w:hAnsi="Arial" w:cs="Arial"/>
        </w:rPr>
        <w:t xml:space="preserve">argument a lawyer may “on the basis of his analysis of the evidence, argue any position or conclusion with respect to a matter in issue.” G.S. 15A-1230(a). Thus, for example, as discussed in Section </w:t>
      </w:r>
      <w:r w:rsidR="00390D43">
        <w:rPr>
          <w:rFonts w:ascii="Arial" w:hAnsi="Arial" w:cs="Arial"/>
        </w:rPr>
        <w:t>IV</w:t>
      </w:r>
      <w:r w:rsidRPr="00641284">
        <w:rPr>
          <w:rFonts w:ascii="Arial" w:hAnsi="Arial" w:cs="Arial"/>
        </w:rPr>
        <w:t xml:space="preserve">.D. below, it is proper to argue that the jury should not believe a witness’s testimony. State v. Phillips, 365 N.C. 103, 139-40 (2011). </w:t>
      </w:r>
      <w:r w:rsidR="003712F7">
        <w:rPr>
          <w:rFonts w:ascii="Arial" w:hAnsi="Arial" w:cs="Arial"/>
        </w:rPr>
        <w:t xml:space="preserve">So long as </w:t>
      </w:r>
      <w:r w:rsidR="00A54150">
        <w:rPr>
          <w:rFonts w:ascii="Arial" w:hAnsi="Arial" w:cs="Arial"/>
        </w:rPr>
        <w:t>he or she</w:t>
      </w:r>
      <w:r w:rsidR="003712F7">
        <w:rPr>
          <w:rFonts w:ascii="Arial" w:hAnsi="Arial" w:cs="Arial"/>
        </w:rPr>
        <w:t xml:space="preserve"> does not become abusive, misstate the law or the facts, or otherwise exceed the bounds of permissible argument, a</w:t>
      </w:r>
      <w:r w:rsidR="003153AD">
        <w:rPr>
          <w:rFonts w:ascii="Arial" w:hAnsi="Arial" w:cs="Arial"/>
        </w:rPr>
        <w:t xml:space="preserve"> lawyer has leeway to use hyperbolic or vivid language to express his or her position.</w:t>
      </w:r>
      <w:r w:rsidR="00B6324A">
        <w:rPr>
          <w:rFonts w:ascii="Arial" w:hAnsi="Arial" w:cs="Arial"/>
        </w:rPr>
        <w:t xml:space="preserve"> </w:t>
      </w:r>
      <w:r w:rsidR="00B6324A">
        <w:rPr>
          <w:rFonts w:ascii="Arial" w:hAnsi="Arial" w:cs="Arial"/>
          <w:i/>
          <w:iCs/>
        </w:rPr>
        <w:t>See, e.g.</w:t>
      </w:r>
      <w:r w:rsidR="003712F7">
        <w:rPr>
          <w:rFonts w:ascii="Arial" w:hAnsi="Arial" w:cs="Arial"/>
        </w:rPr>
        <w:t>,</w:t>
      </w:r>
      <w:r w:rsidR="00B6324A">
        <w:rPr>
          <w:rFonts w:ascii="Arial" w:hAnsi="Arial" w:cs="Arial"/>
        </w:rPr>
        <w:t xml:space="preserve"> State v. Tart, 372 N.C. 73, </w:t>
      </w:r>
      <w:r w:rsidR="003712F7">
        <w:rPr>
          <w:rFonts w:ascii="Arial" w:hAnsi="Arial" w:cs="Arial"/>
        </w:rPr>
        <w:t xml:space="preserve">84 (2019) </w:t>
      </w:r>
      <w:r w:rsidR="00B6324A">
        <w:rPr>
          <w:rFonts w:ascii="Arial" w:hAnsi="Arial" w:cs="Arial"/>
        </w:rPr>
        <w:t>(</w:t>
      </w:r>
      <w:r w:rsidR="00732C33">
        <w:rPr>
          <w:rFonts w:ascii="Arial" w:hAnsi="Arial" w:cs="Arial"/>
        </w:rPr>
        <w:t xml:space="preserve">prosecutor’s </w:t>
      </w:r>
      <w:r w:rsidR="003712F7">
        <w:rPr>
          <w:rFonts w:ascii="Arial" w:hAnsi="Arial" w:cs="Arial"/>
        </w:rPr>
        <w:t>argu</w:t>
      </w:r>
      <w:r w:rsidR="00732C33">
        <w:rPr>
          <w:rFonts w:ascii="Arial" w:hAnsi="Arial" w:cs="Arial"/>
        </w:rPr>
        <w:t>ment</w:t>
      </w:r>
      <w:r w:rsidR="003712F7">
        <w:rPr>
          <w:rFonts w:ascii="Arial" w:hAnsi="Arial" w:cs="Arial"/>
        </w:rPr>
        <w:t xml:space="preserve"> that</w:t>
      </w:r>
      <w:r w:rsidR="00732C33">
        <w:rPr>
          <w:rFonts w:ascii="Arial" w:hAnsi="Arial" w:cs="Arial"/>
        </w:rPr>
        <w:t xml:space="preserve"> conviction w</w:t>
      </w:r>
      <w:r w:rsidR="003712F7">
        <w:rPr>
          <w:rFonts w:ascii="Arial" w:hAnsi="Arial" w:cs="Arial"/>
        </w:rPr>
        <w:t>ould ensure that the defendant would not be “unleashed, yet again, onto our streets” was permissible vivid communication</w:t>
      </w:r>
      <w:r w:rsidR="00B6324A">
        <w:rPr>
          <w:rFonts w:ascii="Arial" w:hAnsi="Arial" w:cs="Arial"/>
        </w:rPr>
        <w:t>); State v. Braxton, 352 N.C. 158, 203 (2000) (permissible to use phrase “vomit on the law of North Carolina” to express position that it would be an injustice for jury to find the defendant acted in self-defense); State v. Pittman, 332 N.C. 244, 262 (1992) (permissible to use phrase “justice in Halifax County will be dead” as hyperbolic expression of position that a not guilty verdict would be an injustice).</w:t>
      </w:r>
    </w:p>
    <w:p w14:paraId="235786CC" w14:textId="77777777" w:rsidR="005C36DE" w:rsidRPr="005C36DE" w:rsidRDefault="005C36DE" w:rsidP="00DB30BF">
      <w:pPr>
        <w:spacing w:after="0" w:line="240" w:lineRule="auto"/>
        <w:rPr>
          <w:rFonts w:ascii="Arial" w:hAnsi="Arial" w:cs="Arial"/>
        </w:rPr>
      </w:pPr>
    </w:p>
    <w:p w14:paraId="6FDAF994" w14:textId="765D2D22" w:rsidR="007B6333" w:rsidRPr="00641284" w:rsidRDefault="007B6333" w:rsidP="00DB30BF">
      <w:pPr>
        <w:pStyle w:val="ListParagraph"/>
        <w:numPr>
          <w:ilvl w:val="0"/>
          <w:numId w:val="4"/>
        </w:numPr>
        <w:spacing w:after="0" w:line="240" w:lineRule="auto"/>
        <w:rPr>
          <w:rFonts w:ascii="Arial" w:hAnsi="Arial" w:cs="Arial"/>
        </w:rPr>
      </w:pPr>
      <w:bookmarkStart w:id="18" w:name="_Toc402880157"/>
      <w:bookmarkStart w:id="19" w:name="_Toc402880715"/>
      <w:bookmarkStart w:id="20" w:name="_Toc209539191"/>
      <w:r w:rsidRPr="00A002E8">
        <w:rPr>
          <w:rStyle w:val="Heading2Char"/>
        </w:rPr>
        <w:t>Credibility of Witnesses</w:t>
      </w:r>
      <w:bookmarkEnd w:id="18"/>
      <w:bookmarkEnd w:id="19"/>
      <w:bookmarkEnd w:id="20"/>
      <w:r w:rsidRPr="00641284">
        <w:rPr>
          <w:rFonts w:ascii="Arial" w:hAnsi="Arial" w:cs="Arial"/>
          <w:b/>
          <w:bCs/>
        </w:rPr>
        <w:t>.</w:t>
      </w:r>
      <w:r w:rsidRPr="00641284">
        <w:rPr>
          <w:rFonts w:ascii="Arial" w:hAnsi="Arial" w:cs="Arial"/>
        </w:rPr>
        <w:t xml:space="preserve"> Provided that counsel does not express </w:t>
      </w:r>
      <w:proofErr w:type="gramStart"/>
      <w:r w:rsidRPr="00641284">
        <w:rPr>
          <w:rFonts w:ascii="Arial" w:hAnsi="Arial" w:cs="Arial"/>
        </w:rPr>
        <w:t>a person</w:t>
      </w:r>
      <w:r w:rsidR="005A48F2">
        <w:rPr>
          <w:rFonts w:ascii="Arial" w:hAnsi="Arial" w:cs="Arial"/>
        </w:rPr>
        <w:t>al</w:t>
      </w:r>
      <w:r w:rsidRPr="00641284">
        <w:rPr>
          <w:rFonts w:ascii="Arial" w:hAnsi="Arial" w:cs="Arial"/>
        </w:rPr>
        <w:t xml:space="preserve"> opinion</w:t>
      </w:r>
      <w:proofErr w:type="gramEnd"/>
      <w:r w:rsidRPr="00641284">
        <w:rPr>
          <w:rFonts w:ascii="Arial" w:hAnsi="Arial" w:cs="Arial"/>
        </w:rPr>
        <w:t xml:space="preserve"> as to a witness’s credibility, see Section </w:t>
      </w:r>
      <w:r w:rsidR="00390D43">
        <w:rPr>
          <w:rFonts w:ascii="Arial" w:hAnsi="Arial" w:cs="Arial"/>
        </w:rPr>
        <w:t>V</w:t>
      </w:r>
      <w:r w:rsidRPr="00641284">
        <w:rPr>
          <w:rFonts w:ascii="Arial" w:hAnsi="Arial" w:cs="Arial"/>
        </w:rPr>
        <w:t>.B.18 below, a lawyer may:</w:t>
      </w:r>
    </w:p>
    <w:p w14:paraId="3EA588D2" w14:textId="77777777" w:rsidR="007B6333" w:rsidRPr="00641284" w:rsidRDefault="007B6333" w:rsidP="00DB30BF">
      <w:pPr>
        <w:pStyle w:val="ListParagraph"/>
        <w:numPr>
          <w:ilvl w:val="0"/>
          <w:numId w:val="13"/>
        </w:numPr>
        <w:spacing w:after="0" w:line="240" w:lineRule="auto"/>
        <w:rPr>
          <w:rFonts w:ascii="Arial" w:hAnsi="Arial" w:cs="Arial"/>
        </w:rPr>
      </w:pPr>
      <w:r w:rsidRPr="00641284">
        <w:rPr>
          <w:rFonts w:ascii="Arial" w:hAnsi="Arial" w:cs="Arial"/>
        </w:rPr>
        <w:t xml:space="preserve">argue that witnesses are credible, </w:t>
      </w:r>
      <w:r w:rsidRPr="00641284">
        <w:rPr>
          <w:rFonts w:ascii="Arial" w:hAnsi="Arial" w:cs="Arial"/>
          <w:i/>
          <w:iCs/>
        </w:rPr>
        <w:t xml:space="preserve">see, e.g., </w:t>
      </w:r>
      <w:r w:rsidRPr="00641284">
        <w:rPr>
          <w:rFonts w:ascii="Arial" w:hAnsi="Arial" w:cs="Arial"/>
        </w:rPr>
        <w:t>State v. Wilkerson, 363 N.C. 382, 425 (2009) (stating this principle); State v. Augustine, 359 N.C. 709, 725 (2005) (same</w:t>
      </w:r>
      <w:proofErr w:type="gramStart"/>
      <w:r w:rsidRPr="00641284">
        <w:rPr>
          <w:rFonts w:ascii="Arial" w:hAnsi="Arial" w:cs="Arial"/>
        </w:rPr>
        <w:t>);</w:t>
      </w:r>
      <w:proofErr w:type="gramEnd"/>
    </w:p>
    <w:p w14:paraId="6F7EA2E6" w14:textId="48276D1E" w:rsidR="007B6333" w:rsidRPr="00641284" w:rsidRDefault="007B6333" w:rsidP="00DB30BF">
      <w:pPr>
        <w:pStyle w:val="ListParagraph"/>
        <w:numPr>
          <w:ilvl w:val="0"/>
          <w:numId w:val="13"/>
        </w:numPr>
        <w:spacing w:after="0" w:line="240" w:lineRule="auto"/>
        <w:rPr>
          <w:rFonts w:ascii="Arial" w:hAnsi="Arial" w:cs="Arial"/>
        </w:rPr>
      </w:pPr>
      <w:r w:rsidRPr="00641284">
        <w:rPr>
          <w:rFonts w:ascii="Arial" w:hAnsi="Arial" w:cs="Arial"/>
        </w:rPr>
        <w:t>argue that the jurors should or should not believe a witness</w:t>
      </w:r>
      <w:r w:rsidR="005A48F2">
        <w:rPr>
          <w:rFonts w:ascii="Arial" w:hAnsi="Arial" w:cs="Arial"/>
        </w:rPr>
        <w:t>, including an expert witness</w:t>
      </w:r>
      <w:r w:rsidRPr="00641284">
        <w:rPr>
          <w:rFonts w:ascii="Arial" w:hAnsi="Arial" w:cs="Arial"/>
        </w:rPr>
        <w:t xml:space="preserve">, </w:t>
      </w:r>
      <w:r w:rsidRPr="00641284">
        <w:rPr>
          <w:rFonts w:ascii="Arial" w:hAnsi="Arial" w:cs="Arial"/>
          <w:i/>
          <w:iCs/>
        </w:rPr>
        <w:t>see, e.g., Augustine</w:t>
      </w:r>
      <w:r w:rsidRPr="00641284">
        <w:rPr>
          <w:rFonts w:ascii="Arial" w:hAnsi="Arial" w:cs="Arial"/>
        </w:rPr>
        <w:t>, 359 N.C. at 725 (stating this principle</w:t>
      </w:r>
      <w:r w:rsidR="005A48F2">
        <w:rPr>
          <w:rFonts w:ascii="Arial" w:hAnsi="Arial" w:cs="Arial"/>
        </w:rPr>
        <w:t xml:space="preserve"> as to lay witnesses</w:t>
      </w:r>
      <w:r w:rsidRPr="00641284">
        <w:rPr>
          <w:rFonts w:ascii="Arial" w:hAnsi="Arial" w:cs="Arial"/>
        </w:rPr>
        <w:t>);</w:t>
      </w:r>
      <w:r w:rsidR="005A48F2">
        <w:rPr>
          <w:rFonts w:ascii="Arial" w:hAnsi="Arial" w:cs="Arial"/>
        </w:rPr>
        <w:t xml:space="preserve"> </w:t>
      </w:r>
      <w:r w:rsidR="005A48F2" w:rsidRPr="00641284">
        <w:rPr>
          <w:rFonts w:ascii="Arial" w:hAnsi="Arial" w:cs="Arial"/>
        </w:rPr>
        <w:t>State v. Phillips, 365 N.C. 103, 1</w:t>
      </w:r>
      <w:r w:rsidR="005A48F2">
        <w:rPr>
          <w:rFonts w:ascii="Arial" w:hAnsi="Arial" w:cs="Arial"/>
        </w:rPr>
        <w:t>39</w:t>
      </w:r>
      <w:r w:rsidR="005A48F2" w:rsidRPr="00641284">
        <w:rPr>
          <w:rFonts w:ascii="Arial" w:hAnsi="Arial" w:cs="Arial"/>
        </w:rPr>
        <w:t xml:space="preserve"> (2011)</w:t>
      </w:r>
      <w:r w:rsidR="005A48F2">
        <w:rPr>
          <w:rFonts w:ascii="Arial" w:hAnsi="Arial" w:cs="Arial"/>
        </w:rPr>
        <w:t xml:space="preserve"> (</w:t>
      </w:r>
      <w:r w:rsidR="005A48F2" w:rsidRPr="00641284">
        <w:rPr>
          <w:rFonts w:ascii="Arial" w:hAnsi="Arial" w:cs="Arial"/>
        </w:rPr>
        <w:t>stating this principle</w:t>
      </w:r>
      <w:r w:rsidR="005A48F2">
        <w:rPr>
          <w:rFonts w:ascii="Arial" w:hAnsi="Arial" w:cs="Arial"/>
        </w:rPr>
        <w:t xml:space="preserve"> as to expert witnesses);</w:t>
      </w:r>
      <w:r w:rsidRPr="00641284">
        <w:rPr>
          <w:rFonts w:ascii="Arial" w:hAnsi="Arial" w:cs="Arial"/>
        </w:rPr>
        <w:t xml:space="preserve"> </w:t>
      </w:r>
      <w:r w:rsidR="00A04D42">
        <w:rPr>
          <w:rFonts w:ascii="Arial" w:hAnsi="Arial" w:cs="Arial"/>
        </w:rPr>
        <w:t xml:space="preserve">and the defendant, </w:t>
      </w:r>
      <w:r w:rsidR="00A04D42" w:rsidRPr="00F42A79">
        <w:rPr>
          <w:rFonts w:ascii="Arial" w:hAnsi="Arial" w:cs="Arial"/>
          <w:i/>
          <w:iCs/>
        </w:rPr>
        <w:t>see, e.g.</w:t>
      </w:r>
      <w:r w:rsidR="00A04D42">
        <w:rPr>
          <w:rFonts w:ascii="Arial" w:hAnsi="Arial" w:cs="Arial"/>
        </w:rPr>
        <w:t xml:space="preserve">, </w:t>
      </w:r>
      <w:r w:rsidRPr="00641284">
        <w:rPr>
          <w:rFonts w:ascii="Arial" w:hAnsi="Arial" w:cs="Arial"/>
        </w:rPr>
        <w:t>State v. Scott, 343 N.C. 313, 344 (1996)</w:t>
      </w:r>
      <w:r w:rsidR="00953810">
        <w:rPr>
          <w:rFonts w:ascii="Arial" w:hAnsi="Arial" w:cs="Arial"/>
        </w:rPr>
        <w:t xml:space="preserve"> (</w:t>
      </w:r>
      <w:r w:rsidR="00541193">
        <w:rPr>
          <w:rFonts w:ascii="Arial" w:hAnsi="Arial" w:cs="Arial"/>
        </w:rPr>
        <w:t xml:space="preserve">stating </w:t>
      </w:r>
      <w:r w:rsidR="00D067CC">
        <w:rPr>
          <w:rFonts w:ascii="Arial" w:hAnsi="Arial" w:cs="Arial"/>
        </w:rPr>
        <w:t>that</w:t>
      </w:r>
      <w:r w:rsidR="00541193">
        <w:rPr>
          <w:rFonts w:ascii="Arial" w:hAnsi="Arial" w:cs="Arial"/>
        </w:rPr>
        <w:t xml:space="preserve"> a prosecutor may properly argue to the jury that it should not believe a witness and </w:t>
      </w:r>
      <w:r w:rsidR="00D25C0F">
        <w:rPr>
          <w:rFonts w:ascii="Arial" w:hAnsi="Arial" w:cs="Arial"/>
        </w:rPr>
        <w:t>characterizing</w:t>
      </w:r>
      <w:r w:rsidR="00A81850">
        <w:rPr>
          <w:rFonts w:ascii="Arial" w:hAnsi="Arial" w:cs="Arial"/>
        </w:rPr>
        <w:t xml:space="preserve"> prosecutor’s </w:t>
      </w:r>
      <w:r w:rsidR="00D067CC">
        <w:rPr>
          <w:rFonts w:ascii="Arial" w:hAnsi="Arial" w:cs="Arial"/>
        </w:rPr>
        <w:t>argument</w:t>
      </w:r>
      <w:r w:rsidR="00A81850">
        <w:rPr>
          <w:rFonts w:ascii="Arial" w:hAnsi="Arial" w:cs="Arial"/>
        </w:rPr>
        <w:t xml:space="preserve"> that defendant l</w:t>
      </w:r>
      <w:r w:rsidR="002E1D3C">
        <w:rPr>
          <w:rFonts w:ascii="Arial" w:hAnsi="Arial" w:cs="Arial"/>
        </w:rPr>
        <w:t xml:space="preserve">ied </w:t>
      </w:r>
      <w:r w:rsidR="00D52CD6">
        <w:rPr>
          <w:rFonts w:ascii="Arial" w:hAnsi="Arial" w:cs="Arial"/>
        </w:rPr>
        <w:t xml:space="preserve">to </w:t>
      </w:r>
      <w:r w:rsidR="00EC2525">
        <w:rPr>
          <w:rFonts w:ascii="Arial" w:hAnsi="Arial" w:cs="Arial"/>
        </w:rPr>
        <w:t xml:space="preserve">his family and the police and </w:t>
      </w:r>
      <w:r w:rsidR="00D25C0F">
        <w:rPr>
          <w:rFonts w:ascii="Arial" w:hAnsi="Arial" w:cs="Arial"/>
        </w:rPr>
        <w:t xml:space="preserve">lied </w:t>
      </w:r>
      <w:r w:rsidR="00D52CD6">
        <w:rPr>
          <w:rFonts w:ascii="Arial" w:hAnsi="Arial" w:cs="Arial"/>
        </w:rPr>
        <w:t>during his testimony</w:t>
      </w:r>
      <w:r w:rsidR="00D25C0F">
        <w:rPr>
          <w:rFonts w:ascii="Arial" w:hAnsi="Arial" w:cs="Arial"/>
        </w:rPr>
        <w:t xml:space="preserve"> as “no more than an argument that the jury should consider defendant’s credibility”)</w:t>
      </w:r>
      <w:r w:rsidRPr="00641284">
        <w:rPr>
          <w:rFonts w:ascii="Arial" w:hAnsi="Arial" w:cs="Arial"/>
        </w:rPr>
        <w:t xml:space="preserve">; and </w:t>
      </w:r>
    </w:p>
    <w:p w14:paraId="683C3DC0" w14:textId="77777777" w:rsidR="007B6333" w:rsidRDefault="007B6333" w:rsidP="00DB30BF">
      <w:pPr>
        <w:pStyle w:val="ListParagraph"/>
        <w:numPr>
          <w:ilvl w:val="0"/>
          <w:numId w:val="13"/>
        </w:numPr>
        <w:spacing w:after="0" w:line="240" w:lineRule="auto"/>
        <w:rPr>
          <w:rFonts w:ascii="Arial" w:hAnsi="Arial" w:cs="Arial"/>
        </w:rPr>
      </w:pPr>
      <w:r w:rsidRPr="00641284">
        <w:rPr>
          <w:rFonts w:ascii="Arial" w:hAnsi="Arial" w:cs="Arial"/>
        </w:rPr>
        <w:t xml:space="preserve">give reasons why the jury should or should not believe a witness, </w:t>
      </w:r>
      <w:r w:rsidRPr="00641284">
        <w:rPr>
          <w:rFonts w:ascii="Arial" w:hAnsi="Arial" w:cs="Arial"/>
          <w:i/>
          <w:iCs/>
        </w:rPr>
        <w:t>see, e.g.,</w:t>
      </w:r>
      <w:r w:rsidRPr="00641284">
        <w:rPr>
          <w:rFonts w:ascii="Arial" w:hAnsi="Arial" w:cs="Arial"/>
        </w:rPr>
        <w:t xml:space="preserve"> </w:t>
      </w:r>
      <w:r w:rsidRPr="00641284">
        <w:rPr>
          <w:rFonts w:ascii="Arial" w:hAnsi="Arial" w:cs="Arial"/>
          <w:i/>
          <w:iCs/>
        </w:rPr>
        <w:t xml:space="preserve">Wilkerson, </w:t>
      </w:r>
      <w:r w:rsidRPr="00641284">
        <w:rPr>
          <w:rFonts w:ascii="Arial" w:hAnsi="Arial" w:cs="Arial"/>
        </w:rPr>
        <w:t xml:space="preserve">363 N.C. at 425 (the prosecutor properly argued that the jurors should believe one witness’s testimony because it was corroborated and that they should believe another’s because it was consistent with the evidence); </w:t>
      </w:r>
      <w:r w:rsidRPr="00641284">
        <w:rPr>
          <w:rFonts w:ascii="Arial" w:hAnsi="Arial" w:cs="Arial"/>
          <w:i/>
          <w:iCs/>
        </w:rPr>
        <w:t>Augustine</w:t>
      </w:r>
      <w:r w:rsidRPr="00641284">
        <w:rPr>
          <w:rFonts w:ascii="Arial" w:hAnsi="Arial" w:cs="Arial"/>
        </w:rPr>
        <w:t>, 359 N.C. at 727 (the prosecutor's argument appropriately focused on reasons why the jury should not believe the witness); State v. Anderson, 322 N.C. 22, 39 (1988) (“In arguing to the jury, the State may comment on any contradictory evidence as a basis for the jury's disbelief of a witness's testimony.”).</w:t>
      </w:r>
    </w:p>
    <w:p w14:paraId="6A19D3AD" w14:textId="77777777" w:rsidR="00641284" w:rsidRPr="00641284" w:rsidRDefault="00641284" w:rsidP="00DB30BF">
      <w:pPr>
        <w:pStyle w:val="ListParagraph"/>
        <w:spacing w:after="0" w:line="240" w:lineRule="auto"/>
        <w:ind w:left="1440"/>
        <w:rPr>
          <w:rFonts w:ascii="Arial" w:hAnsi="Arial" w:cs="Arial"/>
        </w:rPr>
      </w:pPr>
    </w:p>
    <w:p w14:paraId="7BDA8762" w14:textId="3E258B38" w:rsidR="007B6333" w:rsidRDefault="007B6333" w:rsidP="00DB30BF">
      <w:pPr>
        <w:pStyle w:val="ListParagraph"/>
        <w:numPr>
          <w:ilvl w:val="0"/>
          <w:numId w:val="4"/>
        </w:numPr>
        <w:tabs>
          <w:tab w:val="left" w:pos="720"/>
        </w:tabs>
        <w:spacing w:after="0" w:line="240" w:lineRule="auto"/>
        <w:rPr>
          <w:rFonts w:ascii="Arial" w:hAnsi="Arial" w:cs="Arial"/>
        </w:rPr>
      </w:pPr>
      <w:bookmarkStart w:id="21" w:name="_Toc402880158"/>
      <w:bookmarkStart w:id="22" w:name="_Toc402880716"/>
      <w:bookmarkStart w:id="23" w:name="_Toc209539192"/>
      <w:r w:rsidRPr="00A002E8">
        <w:rPr>
          <w:rStyle w:val="Heading2Char"/>
        </w:rPr>
        <w:t>Pretrial Silence</w:t>
      </w:r>
      <w:bookmarkEnd w:id="21"/>
      <w:bookmarkEnd w:id="22"/>
      <w:bookmarkEnd w:id="23"/>
      <w:r w:rsidRPr="00641284">
        <w:rPr>
          <w:rFonts w:ascii="Arial" w:hAnsi="Arial" w:cs="Arial"/>
          <w:b/>
          <w:bCs/>
        </w:rPr>
        <w:t xml:space="preserve">. </w:t>
      </w:r>
      <w:r w:rsidR="004C1BBF">
        <w:rPr>
          <w:rFonts w:ascii="Arial" w:hAnsi="Arial" w:cs="Arial"/>
        </w:rPr>
        <w:t>A</w:t>
      </w:r>
      <w:r w:rsidR="000F0210">
        <w:rPr>
          <w:rFonts w:ascii="Arial" w:hAnsi="Arial" w:cs="Arial"/>
        </w:rPr>
        <w:t xml:space="preserve"> defendant’s pretrial silence</w:t>
      </w:r>
      <w:r w:rsidR="004C1BBF">
        <w:rPr>
          <w:rFonts w:ascii="Arial" w:hAnsi="Arial" w:cs="Arial"/>
        </w:rPr>
        <w:t xml:space="preserve"> in connection with a criminal </w:t>
      </w:r>
      <w:r w:rsidR="00E843BB">
        <w:rPr>
          <w:rFonts w:ascii="Arial" w:hAnsi="Arial" w:cs="Arial"/>
        </w:rPr>
        <w:t>investigation</w:t>
      </w:r>
      <w:r w:rsidR="000F0210">
        <w:rPr>
          <w:rFonts w:ascii="Arial" w:hAnsi="Arial" w:cs="Arial"/>
        </w:rPr>
        <w:t xml:space="preserve"> prior to receiving </w:t>
      </w:r>
      <w:r w:rsidR="000F0210">
        <w:rPr>
          <w:rFonts w:ascii="Arial" w:hAnsi="Arial" w:cs="Arial"/>
          <w:i/>
          <w:iCs/>
        </w:rPr>
        <w:t xml:space="preserve">Miranda </w:t>
      </w:r>
      <w:r w:rsidR="000F0210">
        <w:rPr>
          <w:rFonts w:ascii="Arial" w:hAnsi="Arial" w:cs="Arial"/>
        </w:rPr>
        <w:t xml:space="preserve">warnings sometimes may be used to impeach </w:t>
      </w:r>
      <w:r w:rsidR="000B6E5C">
        <w:rPr>
          <w:rFonts w:ascii="Arial" w:hAnsi="Arial" w:cs="Arial"/>
        </w:rPr>
        <w:t>the</w:t>
      </w:r>
      <w:r w:rsidR="000F0210">
        <w:rPr>
          <w:rFonts w:ascii="Arial" w:hAnsi="Arial" w:cs="Arial"/>
        </w:rPr>
        <w:t xml:space="preserve"> defendant </w:t>
      </w:r>
      <w:r w:rsidR="000B6E5C">
        <w:rPr>
          <w:rFonts w:ascii="Arial" w:hAnsi="Arial" w:cs="Arial"/>
        </w:rPr>
        <w:t xml:space="preserve">if he or she testifies at trial </w:t>
      </w:r>
      <w:r w:rsidR="000F0210">
        <w:rPr>
          <w:rFonts w:ascii="Arial" w:hAnsi="Arial" w:cs="Arial"/>
        </w:rPr>
        <w:t xml:space="preserve">by suggesting that the pretrial silence is inconsistent with the defendant’s testimony. </w:t>
      </w:r>
      <w:r w:rsidR="000F0210">
        <w:rPr>
          <w:rFonts w:ascii="Arial" w:hAnsi="Arial" w:cs="Arial"/>
          <w:i/>
          <w:iCs/>
        </w:rPr>
        <w:t>See</w:t>
      </w:r>
      <w:r w:rsidR="00201CF2">
        <w:rPr>
          <w:rFonts w:ascii="Arial" w:hAnsi="Arial" w:cs="Arial"/>
          <w:i/>
          <w:iCs/>
        </w:rPr>
        <w:t xml:space="preserve"> generally </w:t>
      </w:r>
      <w:r w:rsidR="00201CF2">
        <w:rPr>
          <w:rFonts w:ascii="Arial" w:hAnsi="Arial" w:cs="Arial"/>
        </w:rPr>
        <w:t>State v. Boston, 191 N.C. App. 637, 648-52 (2008) (describing North Carolina case law on this issue);</w:t>
      </w:r>
      <w:r w:rsidR="00E633DB">
        <w:rPr>
          <w:rFonts w:ascii="Arial" w:hAnsi="Arial" w:cs="Arial"/>
        </w:rPr>
        <w:t xml:space="preserve"> Shea Denning, </w:t>
      </w:r>
      <w:hyperlink r:id="rId12" w:anchor=":~:text=The%20State%20may%20not%20offer,anticipation%20of%20the%20defendant%20testifying." w:history="1">
        <w:r w:rsidR="00E633DB" w:rsidRPr="008F3763">
          <w:rPr>
            <w:rStyle w:val="Hyperlink"/>
            <w:rFonts w:ascii="Arial" w:hAnsi="Arial" w:cs="Arial"/>
            <w:i/>
            <w:iCs/>
          </w:rPr>
          <w:t>When May the State Use</w:t>
        </w:r>
        <w:r w:rsidR="0045003B" w:rsidRPr="008F3763">
          <w:rPr>
            <w:rStyle w:val="Hyperlink"/>
            <w:rFonts w:ascii="Arial" w:hAnsi="Arial" w:cs="Arial"/>
            <w:i/>
            <w:iCs/>
          </w:rPr>
          <w:t xml:space="preserve"> Evidence of a Defendant’s Silence Before Trial?</w:t>
        </w:r>
      </w:hyperlink>
      <w:r w:rsidR="0045003B">
        <w:rPr>
          <w:rFonts w:ascii="Arial" w:hAnsi="Arial" w:cs="Arial"/>
        </w:rPr>
        <w:t xml:space="preserve">, </w:t>
      </w:r>
      <w:r w:rsidR="00715307">
        <w:rPr>
          <w:rFonts w:ascii="Arial" w:hAnsi="Arial" w:cs="Arial"/>
        </w:rPr>
        <w:t xml:space="preserve"> </w:t>
      </w:r>
      <w:r w:rsidR="0045003B">
        <w:rPr>
          <w:rFonts w:ascii="Arial" w:hAnsi="Arial" w:cs="Arial"/>
          <w:smallCaps/>
        </w:rPr>
        <w:t>N.C. Crim. L., UNC Sch. of Gov’t Blog</w:t>
      </w:r>
      <w:r w:rsidR="0045003B">
        <w:rPr>
          <w:rFonts w:ascii="Arial" w:hAnsi="Arial" w:cs="Arial"/>
        </w:rPr>
        <w:t xml:space="preserve"> (</w:t>
      </w:r>
      <w:r w:rsidR="00FD73FB">
        <w:rPr>
          <w:rFonts w:ascii="Arial" w:hAnsi="Arial" w:cs="Arial"/>
        </w:rPr>
        <w:t xml:space="preserve">May </w:t>
      </w:r>
      <w:r w:rsidR="00FD73FB">
        <w:rPr>
          <w:rFonts w:ascii="Arial" w:hAnsi="Arial" w:cs="Arial"/>
        </w:rPr>
        <w:lastRenderedPageBreak/>
        <w:t xml:space="preserve">22, 2024) (same), </w:t>
      </w:r>
      <w:r w:rsidR="00715307">
        <w:rPr>
          <w:rFonts w:ascii="Arial" w:hAnsi="Arial" w:cs="Arial"/>
        </w:rPr>
        <w:t xml:space="preserve">Jessica Smith, </w:t>
      </w:r>
      <w:hyperlink r:id="rId13" w:history="1">
        <w:r w:rsidR="00715307" w:rsidRPr="00715307">
          <w:rPr>
            <w:rStyle w:val="Hyperlink"/>
            <w:rFonts w:ascii="Arial" w:hAnsi="Arial" w:cs="Arial"/>
            <w:i/>
            <w:iCs/>
          </w:rPr>
          <w:t>Use of a Defendant’s Pre- and Post-Arrest Silence at Trial</w:t>
        </w:r>
      </w:hyperlink>
      <w:r w:rsidR="00715307">
        <w:rPr>
          <w:rFonts w:ascii="Arial" w:hAnsi="Arial" w:cs="Arial"/>
        </w:rPr>
        <w:t xml:space="preserve">, </w:t>
      </w:r>
      <w:r w:rsidR="00715307">
        <w:rPr>
          <w:rFonts w:ascii="Arial" w:hAnsi="Arial" w:cs="Arial"/>
          <w:smallCaps/>
        </w:rPr>
        <w:t>N.C. Crim. L., UNC Sch. of Gov’t Blog</w:t>
      </w:r>
      <w:r w:rsidR="00715307">
        <w:rPr>
          <w:rFonts w:ascii="Arial" w:hAnsi="Arial" w:cs="Arial"/>
        </w:rPr>
        <w:t xml:space="preserve"> (Feb. 13, 2012)</w:t>
      </w:r>
      <w:r w:rsidR="000F0210">
        <w:rPr>
          <w:rFonts w:ascii="Arial" w:hAnsi="Arial" w:cs="Arial"/>
        </w:rPr>
        <w:t xml:space="preserve"> (</w:t>
      </w:r>
      <w:r w:rsidR="00201CF2">
        <w:rPr>
          <w:rFonts w:ascii="Arial" w:hAnsi="Arial" w:cs="Arial"/>
        </w:rPr>
        <w:t>same</w:t>
      </w:r>
      <w:r w:rsidR="000F0210">
        <w:rPr>
          <w:rFonts w:ascii="Arial" w:hAnsi="Arial" w:cs="Arial"/>
        </w:rPr>
        <w:t xml:space="preserve">); </w:t>
      </w:r>
      <w:r w:rsidR="000F0210">
        <w:rPr>
          <w:rFonts w:ascii="Arial" w:hAnsi="Arial" w:cs="Arial"/>
          <w:i/>
          <w:iCs/>
        </w:rPr>
        <w:t>see also</w:t>
      </w:r>
      <w:r w:rsidR="000F0210">
        <w:rPr>
          <w:rFonts w:ascii="Arial" w:hAnsi="Arial" w:cs="Arial"/>
        </w:rPr>
        <w:t xml:space="preserve"> </w:t>
      </w:r>
      <w:hyperlink r:id="rId14" w:history="1">
        <w:r w:rsidR="000F0210" w:rsidRPr="000F0210">
          <w:rPr>
            <w:rStyle w:val="Hyperlink"/>
            <w:rFonts w:ascii="Arial" w:hAnsi="Arial" w:cs="Arial"/>
          </w:rPr>
          <w:t>Impeachment</w:t>
        </w:r>
      </w:hyperlink>
      <w:r w:rsidR="000F0210">
        <w:rPr>
          <w:rFonts w:ascii="Arial" w:hAnsi="Arial" w:cs="Arial"/>
        </w:rPr>
        <w:t xml:space="preserve">, in this </w:t>
      </w:r>
      <w:proofErr w:type="spellStart"/>
      <w:r w:rsidR="000F0210">
        <w:rPr>
          <w:rFonts w:ascii="Arial" w:hAnsi="Arial" w:cs="Arial"/>
        </w:rPr>
        <w:t>Benchbook</w:t>
      </w:r>
      <w:proofErr w:type="spellEnd"/>
      <w:r w:rsidR="00196333">
        <w:rPr>
          <w:rFonts w:ascii="Arial" w:hAnsi="Arial" w:cs="Arial"/>
        </w:rPr>
        <w:t xml:space="preserve"> (</w:t>
      </w:r>
      <w:r w:rsidR="00655634">
        <w:rPr>
          <w:rFonts w:ascii="Arial" w:hAnsi="Arial" w:cs="Arial"/>
        </w:rPr>
        <w:t>explaining</w:t>
      </w:r>
      <w:r w:rsidR="00196333">
        <w:rPr>
          <w:rFonts w:ascii="Arial" w:hAnsi="Arial" w:cs="Arial"/>
        </w:rPr>
        <w:t xml:space="preserve"> foundational requirement that the</w:t>
      </w:r>
      <w:r w:rsidR="00B07B2E">
        <w:rPr>
          <w:rFonts w:ascii="Arial" w:hAnsi="Arial" w:cs="Arial"/>
        </w:rPr>
        <w:t xml:space="preserve"> defendant’s</w:t>
      </w:r>
      <w:r w:rsidR="00196333">
        <w:rPr>
          <w:rFonts w:ascii="Arial" w:hAnsi="Arial" w:cs="Arial"/>
        </w:rPr>
        <w:t xml:space="preserve"> prior silence </w:t>
      </w:r>
      <w:r w:rsidR="00723735">
        <w:rPr>
          <w:rFonts w:ascii="Arial" w:hAnsi="Arial" w:cs="Arial"/>
        </w:rPr>
        <w:t xml:space="preserve">must </w:t>
      </w:r>
      <w:r w:rsidR="00196333">
        <w:rPr>
          <w:rFonts w:ascii="Arial" w:hAnsi="Arial" w:cs="Arial"/>
        </w:rPr>
        <w:t>amount to an inconsistent statement in order to be introduced as impeachment evidence)</w:t>
      </w:r>
      <w:r w:rsidRPr="00641284">
        <w:rPr>
          <w:rFonts w:ascii="Arial" w:hAnsi="Arial" w:cs="Arial"/>
        </w:rPr>
        <w:t xml:space="preserve">. </w:t>
      </w:r>
      <w:r w:rsidR="006D3081">
        <w:rPr>
          <w:rFonts w:ascii="Arial" w:hAnsi="Arial" w:cs="Arial"/>
        </w:rPr>
        <w:t xml:space="preserve">So long as a prosecutor does not express </w:t>
      </w:r>
      <w:proofErr w:type="gramStart"/>
      <w:r w:rsidR="006D3081">
        <w:rPr>
          <w:rFonts w:ascii="Arial" w:hAnsi="Arial" w:cs="Arial"/>
        </w:rPr>
        <w:t>a personal opinion</w:t>
      </w:r>
      <w:proofErr w:type="gramEnd"/>
      <w:r w:rsidR="006D3081">
        <w:rPr>
          <w:rFonts w:ascii="Arial" w:hAnsi="Arial" w:cs="Arial"/>
        </w:rPr>
        <w:t>, i</w:t>
      </w:r>
      <w:r w:rsidR="000F0210">
        <w:rPr>
          <w:rFonts w:ascii="Arial" w:hAnsi="Arial" w:cs="Arial"/>
        </w:rPr>
        <w:t xml:space="preserve">t is permissible </w:t>
      </w:r>
      <w:r w:rsidR="006D3081">
        <w:rPr>
          <w:rFonts w:ascii="Arial" w:hAnsi="Arial" w:cs="Arial"/>
        </w:rPr>
        <w:t xml:space="preserve">to </w:t>
      </w:r>
      <w:r w:rsidR="001B156D">
        <w:rPr>
          <w:rFonts w:ascii="Arial" w:hAnsi="Arial" w:cs="Arial"/>
        </w:rPr>
        <w:t xml:space="preserve">make an argument attacking a defendant’s credibility </w:t>
      </w:r>
      <w:r w:rsidR="000B6E5C">
        <w:rPr>
          <w:rFonts w:ascii="Arial" w:hAnsi="Arial" w:cs="Arial"/>
        </w:rPr>
        <w:t>by referencing</w:t>
      </w:r>
      <w:r w:rsidR="006D3081">
        <w:rPr>
          <w:rFonts w:ascii="Arial" w:hAnsi="Arial" w:cs="Arial"/>
        </w:rPr>
        <w:t xml:space="preserve"> </w:t>
      </w:r>
      <w:r w:rsidR="000B6E5C">
        <w:rPr>
          <w:rFonts w:ascii="Arial" w:hAnsi="Arial" w:cs="Arial"/>
        </w:rPr>
        <w:t xml:space="preserve">such </w:t>
      </w:r>
      <w:r w:rsidR="00723735">
        <w:rPr>
          <w:rFonts w:ascii="Arial" w:hAnsi="Arial" w:cs="Arial"/>
        </w:rPr>
        <w:t xml:space="preserve">impeachment </w:t>
      </w:r>
      <w:r w:rsidR="001B156D">
        <w:rPr>
          <w:rFonts w:ascii="Arial" w:hAnsi="Arial" w:cs="Arial"/>
        </w:rPr>
        <w:t>evidence of</w:t>
      </w:r>
      <w:r w:rsidR="00723735">
        <w:rPr>
          <w:rFonts w:ascii="Arial" w:hAnsi="Arial" w:cs="Arial"/>
        </w:rPr>
        <w:t xml:space="preserve"> pretrial </w:t>
      </w:r>
      <w:r w:rsidR="006D3081">
        <w:rPr>
          <w:rFonts w:ascii="Arial" w:hAnsi="Arial" w:cs="Arial"/>
        </w:rPr>
        <w:t>silence</w:t>
      </w:r>
      <w:r w:rsidR="00723735">
        <w:rPr>
          <w:rFonts w:ascii="Arial" w:hAnsi="Arial" w:cs="Arial"/>
        </w:rPr>
        <w:t xml:space="preserve"> amounting to a prior inconsistent statement</w:t>
      </w:r>
      <w:r w:rsidR="006D3081">
        <w:rPr>
          <w:rFonts w:ascii="Arial" w:hAnsi="Arial" w:cs="Arial"/>
        </w:rPr>
        <w:t xml:space="preserve"> </w:t>
      </w:r>
      <w:r w:rsidR="000B6E5C">
        <w:rPr>
          <w:rFonts w:ascii="Arial" w:hAnsi="Arial" w:cs="Arial"/>
        </w:rPr>
        <w:t xml:space="preserve">when it </w:t>
      </w:r>
      <w:r w:rsidR="001B156D">
        <w:rPr>
          <w:rFonts w:ascii="Arial" w:hAnsi="Arial" w:cs="Arial"/>
        </w:rPr>
        <w:t>has been introduced</w:t>
      </w:r>
      <w:r w:rsidR="006D3081">
        <w:rPr>
          <w:rFonts w:ascii="Arial" w:hAnsi="Arial" w:cs="Arial"/>
        </w:rPr>
        <w:t>.</w:t>
      </w:r>
      <w:r w:rsidR="00655634">
        <w:rPr>
          <w:rFonts w:ascii="Arial" w:hAnsi="Arial" w:cs="Arial"/>
        </w:rPr>
        <w:t xml:space="preserve"> State v. </w:t>
      </w:r>
      <w:r w:rsidR="00EB0414">
        <w:rPr>
          <w:rFonts w:ascii="Arial" w:hAnsi="Arial" w:cs="Arial"/>
        </w:rPr>
        <w:t>Buckner, 342 N.C. 198, 223 (1995) (</w:t>
      </w:r>
      <w:r w:rsidR="001F4DC7">
        <w:rPr>
          <w:rFonts w:ascii="Arial" w:hAnsi="Arial" w:cs="Arial"/>
        </w:rPr>
        <w:t>prosecutor properly made such an argument</w:t>
      </w:r>
      <w:r w:rsidR="00EB0414">
        <w:rPr>
          <w:rFonts w:ascii="Arial" w:hAnsi="Arial" w:cs="Arial"/>
        </w:rPr>
        <w:t>).</w:t>
      </w:r>
    </w:p>
    <w:p w14:paraId="0988BE41" w14:textId="77777777" w:rsidR="005C36DE" w:rsidRPr="00641284" w:rsidRDefault="005C36DE" w:rsidP="00DB30BF">
      <w:pPr>
        <w:pStyle w:val="ListParagraph"/>
        <w:tabs>
          <w:tab w:val="left" w:pos="720"/>
        </w:tabs>
        <w:spacing w:after="0" w:line="240" w:lineRule="auto"/>
        <w:ind w:hanging="360"/>
        <w:rPr>
          <w:rFonts w:ascii="Arial" w:hAnsi="Arial" w:cs="Arial"/>
        </w:rPr>
      </w:pPr>
    </w:p>
    <w:p w14:paraId="7601353C" w14:textId="002AA085" w:rsidR="00E63175" w:rsidRDefault="007B6333" w:rsidP="00DB30BF">
      <w:pPr>
        <w:pStyle w:val="ListParagraph"/>
        <w:numPr>
          <w:ilvl w:val="0"/>
          <w:numId w:val="4"/>
        </w:numPr>
        <w:spacing w:after="0" w:line="240" w:lineRule="auto"/>
        <w:rPr>
          <w:rFonts w:ascii="Arial" w:hAnsi="Arial" w:cs="Arial"/>
        </w:rPr>
      </w:pPr>
      <w:bookmarkStart w:id="24" w:name="_Toc402880159"/>
      <w:bookmarkStart w:id="25" w:name="_Toc402880717"/>
      <w:bookmarkStart w:id="26" w:name="_Toc209539193"/>
      <w:r w:rsidRPr="00A002E8">
        <w:rPr>
          <w:rStyle w:val="Heading2Char"/>
        </w:rPr>
        <w:t>Comment on the Defendant’s Failure to Present Evidence</w:t>
      </w:r>
      <w:bookmarkEnd w:id="24"/>
      <w:bookmarkEnd w:id="25"/>
      <w:bookmarkEnd w:id="26"/>
      <w:r w:rsidRPr="00641284">
        <w:rPr>
          <w:rFonts w:ascii="Arial" w:hAnsi="Arial" w:cs="Arial"/>
          <w:b/>
          <w:bCs/>
        </w:rPr>
        <w:t>.</w:t>
      </w:r>
      <w:r w:rsidRPr="00641284">
        <w:rPr>
          <w:rFonts w:ascii="Arial" w:hAnsi="Arial" w:cs="Arial"/>
        </w:rPr>
        <w:t xml:space="preserve"> As discussed in Section </w:t>
      </w:r>
      <w:r w:rsidR="00723735">
        <w:rPr>
          <w:rFonts w:ascii="Arial" w:hAnsi="Arial" w:cs="Arial"/>
        </w:rPr>
        <w:t>V</w:t>
      </w:r>
      <w:r w:rsidRPr="00641284">
        <w:rPr>
          <w:rFonts w:ascii="Arial" w:hAnsi="Arial" w:cs="Arial"/>
        </w:rPr>
        <w:t xml:space="preserve">.B.7 below, a prosecutor may not comment on a defendant’s failure to testify and, as discussed in Section </w:t>
      </w:r>
      <w:r w:rsidR="00723735">
        <w:rPr>
          <w:rFonts w:ascii="Arial" w:hAnsi="Arial" w:cs="Arial"/>
        </w:rPr>
        <w:t>V</w:t>
      </w:r>
      <w:r w:rsidRPr="00641284">
        <w:rPr>
          <w:rFonts w:ascii="Arial" w:hAnsi="Arial" w:cs="Arial"/>
        </w:rPr>
        <w:t xml:space="preserve">.B.8 below, the prosecutor may not use a defendant’s failure to call a spouse as a witness against the defendant. A prosecutor may, however, comment on the defendant’s failure to put on evidence. </w:t>
      </w:r>
      <w:r w:rsidRPr="00641284">
        <w:rPr>
          <w:rFonts w:ascii="Arial" w:hAnsi="Arial" w:cs="Arial"/>
          <w:i/>
          <w:iCs/>
        </w:rPr>
        <w:t xml:space="preserve">See, e.g., </w:t>
      </w:r>
      <w:r w:rsidRPr="00641284">
        <w:rPr>
          <w:rFonts w:ascii="Arial" w:hAnsi="Arial" w:cs="Arial"/>
        </w:rPr>
        <w:t>State v. Phillips, 365 N.C. 103, 138 (2011) (“[t]he State is free to point out the failure of the defendant [ ] to produce available witnesses” and “[t]he prosecution may argue that a defendant failed to produce a witness or other evidence to refute the State's case”; in this case, the prosecutor</w:t>
      </w:r>
      <w:r w:rsidR="000B6E5C">
        <w:rPr>
          <w:rFonts w:ascii="Arial" w:hAnsi="Arial" w:cs="Arial"/>
        </w:rPr>
        <w:t>’s argument</w:t>
      </w:r>
      <w:r w:rsidRPr="00641284">
        <w:rPr>
          <w:rFonts w:ascii="Arial" w:hAnsi="Arial" w:cs="Arial"/>
        </w:rPr>
        <w:t xml:space="preserve"> </w:t>
      </w:r>
      <w:r w:rsidR="000B6E5C">
        <w:rPr>
          <w:rFonts w:ascii="Arial" w:hAnsi="Arial" w:cs="Arial"/>
        </w:rPr>
        <w:t>properly</w:t>
      </w:r>
      <w:r w:rsidRPr="00641284">
        <w:rPr>
          <w:rFonts w:ascii="Arial" w:hAnsi="Arial" w:cs="Arial"/>
        </w:rPr>
        <w:t xml:space="preserve"> </w:t>
      </w:r>
      <w:r w:rsidR="000B6E5C">
        <w:rPr>
          <w:rFonts w:ascii="Arial" w:hAnsi="Arial" w:cs="Arial"/>
        </w:rPr>
        <w:t>“</w:t>
      </w:r>
      <w:r w:rsidRPr="00641284">
        <w:rPr>
          <w:rFonts w:ascii="Arial" w:hAnsi="Arial" w:cs="Arial"/>
        </w:rPr>
        <w:t xml:space="preserve">pointed out that a witness was available who could have corroborated </w:t>
      </w:r>
      <w:r w:rsidR="000B6E5C">
        <w:rPr>
          <w:rFonts w:ascii="Arial" w:hAnsi="Arial" w:cs="Arial"/>
        </w:rPr>
        <w:t>[</w:t>
      </w:r>
      <w:r w:rsidRPr="00641284">
        <w:rPr>
          <w:rFonts w:ascii="Arial" w:hAnsi="Arial" w:cs="Arial"/>
        </w:rPr>
        <w:t>the</w:t>
      </w:r>
      <w:r w:rsidR="000B6E5C">
        <w:rPr>
          <w:rFonts w:ascii="Arial" w:hAnsi="Arial" w:cs="Arial"/>
        </w:rPr>
        <w:t>]</w:t>
      </w:r>
      <w:r w:rsidRPr="00641284">
        <w:rPr>
          <w:rFonts w:ascii="Arial" w:hAnsi="Arial" w:cs="Arial"/>
        </w:rPr>
        <w:t xml:space="preserve"> defendant's defense, if that defense were valid</w:t>
      </w:r>
      <w:r w:rsidR="000B6E5C">
        <w:rPr>
          <w:rFonts w:ascii="Arial" w:hAnsi="Arial" w:cs="Arial"/>
        </w:rPr>
        <w:t>”</w:t>
      </w:r>
      <w:r w:rsidRPr="00641284">
        <w:rPr>
          <w:rFonts w:ascii="Arial" w:hAnsi="Arial" w:cs="Arial"/>
        </w:rPr>
        <w:t xml:space="preserve"> (citation omitted)); State v. Griffin, 308 N.C. 303, 314 (1983) (prosecutor properly pointed out that aspects of the State’s case had not been contradicted); State v. Jordan, 305 N.C. 274, 279-80 (1982) (it was proper for the prosecutor to comment on the defendant’s failure to produce an alibi witness)</w:t>
      </w:r>
      <w:r w:rsidR="005723AD">
        <w:rPr>
          <w:rFonts w:ascii="Arial" w:hAnsi="Arial" w:cs="Arial"/>
        </w:rPr>
        <w:t xml:space="preserve">; State v. Brown, ___ N.C. App. ___, 916 S.E.2d 67, </w:t>
      </w:r>
      <w:r w:rsidR="00037314">
        <w:rPr>
          <w:rFonts w:ascii="Arial" w:hAnsi="Arial" w:cs="Arial"/>
        </w:rPr>
        <w:t>7</w:t>
      </w:r>
      <w:r w:rsidR="005723AD">
        <w:rPr>
          <w:rFonts w:ascii="Arial" w:hAnsi="Arial" w:cs="Arial"/>
        </w:rPr>
        <w:t xml:space="preserve">4-75 (2025) (prosecutor’s </w:t>
      </w:r>
      <w:r w:rsidR="00037314">
        <w:rPr>
          <w:rFonts w:ascii="Arial" w:hAnsi="Arial" w:cs="Arial"/>
        </w:rPr>
        <w:t>reference to</w:t>
      </w:r>
      <w:r w:rsidR="005723AD">
        <w:rPr>
          <w:rFonts w:ascii="Arial" w:hAnsi="Arial" w:cs="Arial"/>
        </w:rPr>
        <w:t xml:space="preserve"> the defendant’s “right to put on evidence” was a comment on the defendant’s failure to produce evidence, not an improper comment on defendant’s failure to testify)</w:t>
      </w:r>
      <w:r w:rsidRPr="00641284">
        <w:rPr>
          <w:rFonts w:ascii="Arial" w:hAnsi="Arial" w:cs="Arial"/>
        </w:rPr>
        <w:t>.</w:t>
      </w:r>
    </w:p>
    <w:p w14:paraId="5DF77CA2" w14:textId="362D3C79" w:rsidR="007B6333" w:rsidRDefault="00986937" w:rsidP="00DB30BF">
      <w:pPr>
        <w:pStyle w:val="ListParagraph"/>
        <w:spacing w:after="0" w:line="240" w:lineRule="auto"/>
        <w:ind w:left="1440" w:firstLine="720"/>
        <w:rPr>
          <w:rFonts w:ascii="Arial" w:hAnsi="Arial" w:cs="Arial"/>
        </w:rPr>
      </w:pPr>
      <w:r>
        <w:rPr>
          <w:rFonts w:ascii="Arial" w:hAnsi="Arial" w:cs="Arial"/>
        </w:rPr>
        <w:t xml:space="preserve">When a defendant forecasts evidence in his or her opening statement, it is not improper for a prosecutor in closing argument to comment upon </w:t>
      </w:r>
      <w:r w:rsidR="004E09F9">
        <w:rPr>
          <w:rFonts w:ascii="Arial" w:hAnsi="Arial" w:cs="Arial"/>
        </w:rPr>
        <w:t>the defendant’s</w:t>
      </w:r>
      <w:r>
        <w:rPr>
          <w:rFonts w:ascii="Arial" w:hAnsi="Arial" w:cs="Arial"/>
        </w:rPr>
        <w:t xml:space="preserve"> </w:t>
      </w:r>
      <w:r w:rsidR="004E09F9">
        <w:rPr>
          <w:rFonts w:ascii="Arial" w:hAnsi="Arial" w:cs="Arial"/>
        </w:rPr>
        <w:t>failure to introduce</w:t>
      </w:r>
      <w:r>
        <w:rPr>
          <w:rFonts w:ascii="Arial" w:hAnsi="Arial" w:cs="Arial"/>
        </w:rPr>
        <w:t xml:space="preserve"> evidence to support the</w:t>
      </w:r>
      <w:r w:rsidR="004E09F9">
        <w:rPr>
          <w:rFonts w:ascii="Arial" w:hAnsi="Arial" w:cs="Arial"/>
        </w:rPr>
        <w:t xml:space="preserve"> </w:t>
      </w:r>
      <w:r>
        <w:rPr>
          <w:rFonts w:ascii="Arial" w:hAnsi="Arial" w:cs="Arial"/>
        </w:rPr>
        <w:t>forecast</w:t>
      </w:r>
      <w:r w:rsidR="00B6143D">
        <w:rPr>
          <w:rFonts w:ascii="Arial" w:hAnsi="Arial" w:cs="Arial"/>
        </w:rPr>
        <w:t>, provided the comment does not implicate the defendant’s choice not to testify</w:t>
      </w:r>
      <w:r>
        <w:rPr>
          <w:rFonts w:ascii="Arial" w:hAnsi="Arial" w:cs="Arial"/>
        </w:rPr>
        <w:t>. State v. Harris, 338 N.C. 211, 229 (1994)</w:t>
      </w:r>
      <w:r w:rsidR="00A110F2">
        <w:rPr>
          <w:rFonts w:ascii="Arial" w:hAnsi="Arial" w:cs="Arial"/>
        </w:rPr>
        <w:t xml:space="preserve"> (noting that this is permissible even where the forecasted evidence was not introduced because it was ruled inadmissible)</w:t>
      </w:r>
      <w:r w:rsidR="00B63A8E">
        <w:rPr>
          <w:rFonts w:ascii="Arial" w:hAnsi="Arial" w:cs="Arial"/>
        </w:rPr>
        <w:t xml:space="preserve">; </w:t>
      </w:r>
      <w:r w:rsidR="00B63A8E">
        <w:rPr>
          <w:rFonts w:ascii="Arial" w:hAnsi="Arial" w:cs="Arial"/>
          <w:i/>
          <w:iCs/>
        </w:rPr>
        <w:t xml:space="preserve">see also </w:t>
      </w:r>
      <w:r w:rsidR="00B63A8E">
        <w:rPr>
          <w:rFonts w:ascii="Arial" w:hAnsi="Arial" w:cs="Arial"/>
        </w:rPr>
        <w:t xml:space="preserve">State v. Owens, 287 N.C. App. 513, 517 (2023) (suggesting that a defendant may do the same when a prosecutor forecasts evidence in opening </w:t>
      </w:r>
      <w:r w:rsidR="00FD5AA5">
        <w:rPr>
          <w:rFonts w:ascii="Arial" w:hAnsi="Arial" w:cs="Arial"/>
        </w:rPr>
        <w:t>argument</w:t>
      </w:r>
      <w:r w:rsidR="000E72BA">
        <w:rPr>
          <w:rFonts w:ascii="Arial" w:hAnsi="Arial" w:cs="Arial"/>
        </w:rPr>
        <w:t xml:space="preserve"> </w:t>
      </w:r>
      <w:r w:rsidR="00FD5AA5">
        <w:rPr>
          <w:rFonts w:ascii="Arial" w:hAnsi="Arial" w:cs="Arial"/>
        </w:rPr>
        <w:t>and</w:t>
      </w:r>
      <w:r w:rsidR="000E72BA">
        <w:rPr>
          <w:rFonts w:ascii="Arial" w:hAnsi="Arial" w:cs="Arial"/>
        </w:rPr>
        <w:t xml:space="preserve"> thereafter fails to introduce</w:t>
      </w:r>
      <w:r w:rsidR="00FD5AA5">
        <w:rPr>
          <w:rFonts w:ascii="Arial" w:hAnsi="Arial" w:cs="Arial"/>
        </w:rPr>
        <w:t xml:space="preserve"> it</w:t>
      </w:r>
      <w:r w:rsidR="00B63A8E">
        <w:rPr>
          <w:rFonts w:ascii="Arial" w:hAnsi="Arial" w:cs="Arial"/>
        </w:rPr>
        <w:t>)</w:t>
      </w:r>
      <w:r>
        <w:rPr>
          <w:rFonts w:ascii="Arial" w:hAnsi="Arial" w:cs="Arial"/>
        </w:rPr>
        <w:t>.</w:t>
      </w:r>
    </w:p>
    <w:p w14:paraId="7A753574" w14:textId="77777777" w:rsidR="005C36DE" w:rsidRPr="00641284" w:rsidRDefault="005C36DE" w:rsidP="00DB30BF">
      <w:pPr>
        <w:pStyle w:val="ListParagraph"/>
        <w:spacing w:after="0" w:line="240" w:lineRule="auto"/>
        <w:ind w:hanging="360"/>
        <w:rPr>
          <w:rFonts w:ascii="Arial" w:hAnsi="Arial" w:cs="Arial"/>
        </w:rPr>
      </w:pPr>
    </w:p>
    <w:p w14:paraId="7D90A4D7" w14:textId="77777777" w:rsidR="007B6333" w:rsidRPr="00641284" w:rsidRDefault="007B6333" w:rsidP="00DB30BF">
      <w:pPr>
        <w:pStyle w:val="ListParagraph"/>
        <w:numPr>
          <w:ilvl w:val="0"/>
          <w:numId w:val="4"/>
        </w:numPr>
        <w:spacing w:after="0" w:line="240" w:lineRule="auto"/>
        <w:rPr>
          <w:rFonts w:ascii="Arial" w:hAnsi="Arial" w:cs="Arial"/>
        </w:rPr>
      </w:pPr>
      <w:bookmarkStart w:id="27" w:name="_Toc402880160"/>
      <w:bookmarkStart w:id="28" w:name="_Toc402880718"/>
      <w:bookmarkStart w:id="29" w:name="_Toc209539194"/>
      <w:r w:rsidRPr="00A002E8">
        <w:rPr>
          <w:rStyle w:val="Heading2Char"/>
        </w:rPr>
        <w:t>Role of Jury</w:t>
      </w:r>
      <w:bookmarkEnd w:id="27"/>
      <w:bookmarkEnd w:id="28"/>
      <w:bookmarkEnd w:id="29"/>
      <w:r w:rsidRPr="00641284">
        <w:rPr>
          <w:rFonts w:ascii="Arial" w:hAnsi="Arial" w:cs="Arial"/>
          <w:b/>
          <w:bCs/>
        </w:rPr>
        <w:t>.</w:t>
      </w:r>
      <w:r w:rsidRPr="00641284">
        <w:rPr>
          <w:rFonts w:ascii="Arial" w:hAnsi="Arial" w:cs="Arial"/>
        </w:rPr>
        <w:t xml:space="preserve"> </w:t>
      </w:r>
    </w:p>
    <w:p w14:paraId="3110B621" w14:textId="119B5A27" w:rsidR="007B6333" w:rsidRPr="00641284" w:rsidRDefault="007B6333" w:rsidP="00DB30BF">
      <w:pPr>
        <w:pStyle w:val="ListParagraph"/>
        <w:numPr>
          <w:ilvl w:val="0"/>
          <w:numId w:val="14"/>
        </w:numPr>
        <w:spacing w:after="0" w:line="240" w:lineRule="auto"/>
        <w:rPr>
          <w:rFonts w:ascii="Arial" w:hAnsi="Arial" w:cs="Arial"/>
        </w:rPr>
      </w:pPr>
      <w:r w:rsidRPr="00A63790">
        <w:rPr>
          <w:rFonts w:ascii="Arial" w:hAnsi="Arial" w:cs="Arial"/>
          <w:b/>
          <w:bCs/>
        </w:rPr>
        <w:t>Voice and Conscience of the Community</w:t>
      </w:r>
      <w:r w:rsidRPr="00641284">
        <w:rPr>
          <w:rFonts w:ascii="Arial" w:hAnsi="Arial" w:cs="Arial"/>
          <w:b/>
          <w:bCs/>
        </w:rPr>
        <w:t>.</w:t>
      </w:r>
      <w:r w:rsidRPr="00641284">
        <w:rPr>
          <w:rFonts w:ascii="Arial" w:hAnsi="Arial" w:cs="Arial"/>
        </w:rPr>
        <w:t xml:space="preserve"> Although a prosecutor may not argue to the jury that it should lend an ear to the community or decide a case based on community sentiment, see Section </w:t>
      </w:r>
      <w:r w:rsidR="00E63175">
        <w:rPr>
          <w:rFonts w:ascii="Arial" w:hAnsi="Arial" w:cs="Arial"/>
        </w:rPr>
        <w:t>V</w:t>
      </w:r>
      <w:r w:rsidRPr="00641284">
        <w:rPr>
          <w:rFonts w:ascii="Arial" w:hAnsi="Arial" w:cs="Arial"/>
        </w:rPr>
        <w:t xml:space="preserve">.B.22.a below, the State may argue that a jury is “the voice and conscience” of the community. </w:t>
      </w:r>
      <w:r w:rsidRPr="00641284">
        <w:rPr>
          <w:rFonts w:ascii="Arial" w:hAnsi="Arial" w:cs="Arial"/>
          <w:i/>
          <w:iCs/>
        </w:rPr>
        <w:t xml:space="preserve">See, e.g., </w:t>
      </w:r>
      <w:r w:rsidRPr="00641284">
        <w:rPr>
          <w:rFonts w:ascii="Arial" w:hAnsi="Arial" w:cs="Arial"/>
        </w:rPr>
        <w:t>State v. Barden, 356 N.C. 316, 367 (2002) (such an argument was proper); State v. Fletcher, 354 N.C. 455, 484 (2001) (same)</w:t>
      </w:r>
      <w:r w:rsidR="003E362C">
        <w:rPr>
          <w:rFonts w:ascii="Arial" w:hAnsi="Arial" w:cs="Arial"/>
        </w:rPr>
        <w:t>; State v. Shelton, 263 N.C. App. 681, 696 (2019) (same)</w:t>
      </w:r>
      <w:r w:rsidRPr="00641284">
        <w:rPr>
          <w:rFonts w:ascii="Arial" w:hAnsi="Arial" w:cs="Arial"/>
        </w:rPr>
        <w:t xml:space="preserve">. As the courts have explained, “the jury may speak for the community, but the community cannot speak to the jury.” </w:t>
      </w:r>
      <w:r w:rsidRPr="00641284">
        <w:rPr>
          <w:rFonts w:ascii="Arial" w:hAnsi="Arial" w:cs="Arial"/>
          <w:i/>
          <w:iCs/>
        </w:rPr>
        <w:t>Barden</w:t>
      </w:r>
      <w:r w:rsidRPr="00641284">
        <w:rPr>
          <w:rFonts w:ascii="Arial" w:hAnsi="Arial" w:cs="Arial"/>
        </w:rPr>
        <w:t>, 356 N.C. at 367</w:t>
      </w:r>
      <w:r w:rsidR="004E09F9">
        <w:rPr>
          <w:rFonts w:ascii="Arial" w:hAnsi="Arial" w:cs="Arial"/>
        </w:rPr>
        <w:t xml:space="preserve">; State v. Wardrett, 261 N.C. App. 735, 745-46 (2018) (citing </w:t>
      </w:r>
      <w:r w:rsidR="004E09F9">
        <w:rPr>
          <w:rFonts w:ascii="Arial" w:hAnsi="Arial" w:cs="Arial"/>
          <w:i/>
          <w:iCs/>
        </w:rPr>
        <w:t>Barden</w:t>
      </w:r>
      <w:r w:rsidR="004E09F9">
        <w:rPr>
          <w:rFonts w:ascii="Arial" w:hAnsi="Arial" w:cs="Arial"/>
        </w:rPr>
        <w:t xml:space="preserve"> favorably to conclude that prosecutor properly argued that community deserved </w:t>
      </w:r>
      <w:r w:rsidR="004E09F9">
        <w:rPr>
          <w:rFonts w:ascii="Arial" w:hAnsi="Arial" w:cs="Arial"/>
        </w:rPr>
        <w:lastRenderedPageBreak/>
        <w:t>justice and did not improperly advocate for a result based on the community’s demands)</w:t>
      </w:r>
      <w:r w:rsidRPr="00641284">
        <w:rPr>
          <w:rFonts w:ascii="Arial" w:hAnsi="Arial" w:cs="Arial"/>
        </w:rPr>
        <w:t>.</w:t>
      </w:r>
    </w:p>
    <w:p w14:paraId="6927EAB9" w14:textId="6410BD5A" w:rsidR="007B6333" w:rsidRPr="00641284" w:rsidRDefault="007B6333" w:rsidP="00DB30BF">
      <w:pPr>
        <w:pStyle w:val="ListParagraph"/>
        <w:numPr>
          <w:ilvl w:val="0"/>
          <w:numId w:val="14"/>
        </w:numPr>
        <w:spacing w:after="0" w:line="240" w:lineRule="auto"/>
        <w:rPr>
          <w:rFonts w:ascii="Arial" w:hAnsi="Arial" w:cs="Arial"/>
        </w:rPr>
      </w:pPr>
      <w:r w:rsidRPr="00A63790">
        <w:rPr>
          <w:rFonts w:ascii="Arial" w:hAnsi="Arial" w:cs="Arial"/>
          <w:b/>
          <w:bCs/>
        </w:rPr>
        <w:t>“Send a Message” to the Community</w:t>
      </w:r>
      <w:r w:rsidRPr="00641284">
        <w:rPr>
          <w:rFonts w:ascii="Arial" w:hAnsi="Arial" w:cs="Arial"/>
          <w:b/>
          <w:bCs/>
        </w:rPr>
        <w:t>.</w:t>
      </w:r>
      <w:r w:rsidRPr="00641284">
        <w:rPr>
          <w:rFonts w:ascii="Arial" w:hAnsi="Arial" w:cs="Arial"/>
        </w:rPr>
        <w:t xml:space="preserve"> It is not improper for the prosecutor to argue that by its verdict the jury will “send a message” to the community. </w:t>
      </w:r>
      <w:r w:rsidRPr="00641284">
        <w:rPr>
          <w:rFonts w:ascii="Arial" w:hAnsi="Arial" w:cs="Arial"/>
          <w:i/>
          <w:iCs/>
        </w:rPr>
        <w:t xml:space="preserve">See, e.g., Barden, </w:t>
      </w:r>
      <w:r w:rsidRPr="00641284">
        <w:rPr>
          <w:rFonts w:ascii="Arial" w:hAnsi="Arial" w:cs="Arial"/>
        </w:rPr>
        <w:t>356 N.C. at 367; State v. Nicholson, 355 N.C. 1, 43-44 (2002)</w:t>
      </w:r>
      <w:r w:rsidR="00446D0A">
        <w:rPr>
          <w:rFonts w:ascii="Arial" w:hAnsi="Arial" w:cs="Arial"/>
        </w:rPr>
        <w:t xml:space="preserve">; </w:t>
      </w:r>
      <w:r w:rsidR="00446D0A">
        <w:rPr>
          <w:rFonts w:ascii="Arial" w:hAnsi="Arial" w:cs="Arial"/>
          <w:i/>
          <w:iCs/>
        </w:rPr>
        <w:t>Shelton</w:t>
      </w:r>
      <w:r w:rsidR="00446D0A">
        <w:rPr>
          <w:rFonts w:ascii="Arial" w:hAnsi="Arial" w:cs="Arial"/>
        </w:rPr>
        <w:t>, 263 N.C. App. at 696</w:t>
      </w:r>
      <w:r w:rsidRPr="00641284">
        <w:rPr>
          <w:rFonts w:ascii="Arial" w:hAnsi="Arial" w:cs="Arial"/>
        </w:rPr>
        <w:t xml:space="preserve">. </w:t>
      </w:r>
    </w:p>
    <w:p w14:paraId="3B64BA23" w14:textId="662D0028" w:rsidR="007B6333" w:rsidRPr="00641284" w:rsidRDefault="007B6333" w:rsidP="00DB30BF">
      <w:pPr>
        <w:pStyle w:val="ListParagraph"/>
        <w:numPr>
          <w:ilvl w:val="0"/>
          <w:numId w:val="14"/>
        </w:numPr>
        <w:spacing w:after="0" w:line="240" w:lineRule="auto"/>
        <w:rPr>
          <w:rFonts w:ascii="Arial" w:hAnsi="Arial" w:cs="Arial"/>
        </w:rPr>
      </w:pPr>
      <w:r w:rsidRPr="00A63790">
        <w:rPr>
          <w:rFonts w:ascii="Arial" w:hAnsi="Arial" w:cs="Arial"/>
          <w:b/>
          <w:bCs/>
        </w:rPr>
        <w:t>“Buck Stops Here.”</w:t>
      </w:r>
      <w:r w:rsidRPr="00641284">
        <w:rPr>
          <w:rFonts w:ascii="Arial" w:hAnsi="Arial" w:cs="Arial"/>
        </w:rPr>
        <w:t xml:space="preserve"> Prosecutors are allowed to outline the function of the various participants in a </w:t>
      </w:r>
      <w:proofErr w:type="gramStart"/>
      <w:r w:rsidRPr="00641284">
        <w:rPr>
          <w:rFonts w:ascii="Arial" w:hAnsi="Arial" w:cs="Arial"/>
        </w:rPr>
        <w:t>trial</w:t>
      </w:r>
      <w:proofErr w:type="gramEnd"/>
      <w:r w:rsidRPr="00641284">
        <w:rPr>
          <w:rFonts w:ascii="Arial" w:hAnsi="Arial" w:cs="Arial"/>
        </w:rPr>
        <w:t xml:space="preserve"> and such an argument may include statements concerning the vital importance of jurors to the system of justice and an admonition that the “buck stops here.” State v. Prevatte, 356 N.C. 178, 242-43 (2002); State v. Scott, 314 N.C. 309, 311-12 (1985) (statement “correctly informed the jury that for purposes of the defendant's trial, the jury had become the representatives of the community”); State v. Brown, 320 N.C. 179, 204 (1987) (citing </w:t>
      </w:r>
      <w:r w:rsidRPr="00641284">
        <w:rPr>
          <w:rFonts w:ascii="Arial" w:hAnsi="Arial" w:cs="Arial"/>
          <w:i/>
          <w:iCs/>
        </w:rPr>
        <w:t>Scott</w:t>
      </w:r>
      <w:r w:rsidRPr="00641284">
        <w:rPr>
          <w:rFonts w:ascii="Arial" w:hAnsi="Arial" w:cs="Arial"/>
        </w:rPr>
        <w:t xml:space="preserve">). </w:t>
      </w:r>
    </w:p>
    <w:p w14:paraId="22459F04" w14:textId="2A89FCB5" w:rsidR="005C36DE" w:rsidRDefault="007B6333" w:rsidP="00DB30BF">
      <w:pPr>
        <w:pStyle w:val="ListParagraph"/>
        <w:numPr>
          <w:ilvl w:val="0"/>
          <w:numId w:val="14"/>
        </w:numPr>
        <w:spacing w:after="0" w:line="240" w:lineRule="auto"/>
        <w:rPr>
          <w:rFonts w:ascii="Arial" w:hAnsi="Arial" w:cs="Arial"/>
        </w:rPr>
      </w:pPr>
      <w:r w:rsidRPr="00A63790">
        <w:rPr>
          <w:rFonts w:ascii="Arial" w:hAnsi="Arial" w:cs="Arial"/>
          <w:b/>
          <w:bCs/>
        </w:rPr>
        <w:t xml:space="preserve">Justice </w:t>
      </w:r>
      <w:r w:rsidR="00F83BE2" w:rsidRPr="00A63790">
        <w:rPr>
          <w:rFonts w:ascii="Arial" w:hAnsi="Arial" w:cs="Arial"/>
          <w:b/>
          <w:bCs/>
        </w:rPr>
        <w:t>f</w:t>
      </w:r>
      <w:r w:rsidRPr="00A63790">
        <w:rPr>
          <w:rFonts w:ascii="Arial" w:hAnsi="Arial" w:cs="Arial"/>
          <w:b/>
          <w:bCs/>
        </w:rPr>
        <w:t xml:space="preserve">or </w:t>
      </w:r>
      <w:r w:rsidR="00F83BE2" w:rsidRPr="00A63790">
        <w:rPr>
          <w:rFonts w:ascii="Arial" w:hAnsi="Arial" w:cs="Arial"/>
          <w:b/>
          <w:bCs/>
        </w:rPr>
        <w:t>t</w:t>
      </w:r>
      <w:r w:rsidRPr="00A63790">
        <w:rPr>
          <w:rFonts w:ascii="Arial" w:hAnsi="Arial" w:cs="Arial"/>
          <w:b/>
          <w:bCs/>
        </w:rPr>
        <w:t>he Victim</w:t>
      </w:r>
      <w:r w:rsidRPr="00641284">
        <w:rPr>
          <w:rFonts w:ascii="Arial" w:hAnsi="Arial" w:cs="Arial"/>
          <w:b/>
          <w:bCs/>
        </w:rPr>
        <w:t xml:space="preserve">. </w:t>
      </w:r>
      <w:r w:rsidRPr="00641284">
        <w:rPr>
          <w:rFonts w:ascii="Arial" w:hAnsi="Arial" w:cs="Arial"/>
        </w:rPr>
        <w:t xml:space="preserve">A prosecutor may argue that the jury should do justice for the victim and the victim’s family, provided that the argument does not address the victim’s family’s opinions about the defendant or the crime. </w:t>
      </w:r>
      <w:r w:rsidRPr="00641284">
        <w:rPr>
          <w:rFonts w:ascii="Arial" w:hAnsi="Arial" w:cs="Arial"/>
          <w:i/>
          <w:iCs/>
        </w:rPr>
        <w:t>Prevatte</w:t>
      </w:r>
      <w:r w:rsidRPr="00641284">
        <w:rPr>
          <w:rFonts w:ascii="Arial" w:hAnsi="Arial" w:cs="Arial"/>
        </w:rPr>
        <w:t>, 356 N.C. at 269.</w:t>
      </w:r>
    </w:p>
    <w:p w14:paraId="28C50A24" w14:textId="77777777" w:rsidR="00DB30BF" w:rsidRPr="00DB30BF" w:rsidRDefault="00DB30BF" w:rsidP="00DB30BF">
      <w:pPr>
        <w:pStyle w:val="ListParagraph"/>
        <w:spacing w:after="0" w:line="240" w:lineRule="auto"/>
        <w:ind w:left="1440"/>
        <w:rPr>
          <w:rStyle w:val="Heading2Char"/>
          <w:b w:val="0"/>
          <w:bCs w:val="0"/>
        </w:rPr>
      </w:pPr>
      <w:bookmarkStart w:id="30" w:name="_Toc402880161"/>
      <w:bookmarkStart w:id="31" w:name="_Toc402880719"/>
    </w:p>
    <w:p w14:paraId="63F22F2C" w14:textId="0994B3DE" w:rsidR="007B6333" w:rsidRPr="005C36DE" w:rsidRDefault="007B6333" w:rsidP="00DB30BF">
      <w:pPr>
        <w:pStyle w:val="ListParagraph"/>
        <w:numPr>
          <w:ilvl w:val="0"/>
          <w:numId w:val="4"/>
        </w:numPr>
        <w:spacing w:after="0" w:line="240" w:lineRule="auto"/>
        <w:rPr>
          <w:rFonts w:ascii="Arial" w:hAnsi="Arial" w:cs="Arial"/>
        </w:rPr>
      </w:pPr>
      <w:bookmarkStart w:id="32" w:name="_Toc209539195"/>
      <w:r w:rsidRPr="00CF4FBE">
        <w:rPr>
          <w:rStyle w:val="Heading2Char"/>
        </w:rPr>
        <w:t>Display or Use of Evidence</w:t>
      </w:r>
      <w:bookmarkEnd w:id="30"/>
      <w:bookmarkEnd w:id="31"/>
      <w:bookmarkEnd w:id="32"/>
      <w:r w:rsidRPr="005C36DE">
        <w:rPr>
          <w:rFonts w:ascii="Arial" w:hAnsi="Arial" w:cs="Arial"/>
          <w:b/>
          <w:bCs/>
        </w:rPr>
        <w:t>.</w:t>
      </w:r>
      <w:r w:rsidRPr="005C36DE">
        <w:rPr>
          <w:rFonts w:ascii="Arial" w:hAnsi="Arial" w:cs="Arial"/>
        </w:rPr>
        <w:t xml:space="preserve"> Items that were introduced in evidence may be used during argument. </w:t>
      </w:r>
      <w:r w:rsidRPr="005C36DE">
        <w:rPr>
          <w:rFonts w:ascii="Arial" w:hAnsi="Arial" w:cs="Arial"/>
          <w:i/>
          <w:iCs/>
        </w:rPr>
        <w:t xml:space="preserve">See, e.g., </w:t>
      </w:r>
      <w:r w:rsidRPr="005C36DE">
        <w:rPr>
          <w:rFonts w:ascii="Arial" w:hAnsi="Arial" w:cs="Arial"/>
        </w:rPr>
        <w:t xml:space="preserve">State v. Billings, 348 N.C. 169, 188 (1998) (in a capital sentencing proceeding the prosecutor properly played an audio tape of a 911 call when the tape was admitted into evidence); State v. Sidden, 347 N.C. 218, 229 (1997) (because photographs of the victims had been introduced into evidence, they could be used in closing argument by either party); State v. Johnson, </w:t>
      </w:r>
      <w:r w:rsidR="00B41043">
        <w:rPr>
          <w:rFonts w:ascii="Arial" w:hAnsi="Arial" w:cs="Arial"/>
        </w:rPr>
        <w:t>214</w:t>
      </w:r>
      <w:r w:rsidRPr="005C36DE">
        <w:rPr>
          <w:rFonts w:ascii="Arial" w:hAnsi="Arial" w:cs="Arial"/>
        </w:rPr>
        <w:t xml:space="preserve"> N.C. App. </w:t>
      </w:r>
      <w:r w:rsidR="00B41043">
        <w:rPr>
          <w:rFonts w:ascii="Arial" w:hAnsi="Arial" w:cs="Arial"/>
        </w:rPr>
        <w:t>436</w:t>
      </w:r>
      <w:r w:rsidRPr="005C36DE">
        <w:rPr>
          <w:rFonts w:ascii="Arial" w:hAnsi="Arial" w:cs="Arial"/>
        </w:rPr>
        <w:t>,</w:t>
      </w:r>
      <w:r w:rsidR="00B41043">
        <w:rPr>
          <w:rFonts w:ascii="Arial" w:hAnsi="Arial" w:cs="Arial"/>
        </w:rPr>
        <w:t xml:space="preserve"> 442-45</w:t>
      </w:r>
      <w:r w:rsidRPr="005C36DE">
        <w:rPr>
          <w:rFonts w:ascii="Arial" w:hAnsi="Arial" w:cs="Arial"/>
        </w:rPr>
        <w:t xml:space="preserve"> (2011) (the trial court did not abuse its discretion by allowing the State to play a video recording during closing arguments when the recording had been admitted into evidence; the fact that the recording was presented in a frame-by-frame manner did not change this result).</w:t>
      </w:r>
    </w:p>
    <w:p w14:paraId="142A4AEE" w14:textId="77777777" w:rsidR="00DB30BF" w:rsidRPr="00DB30BF" w:rsidRDefault="00DB30BF" w:rsidP="00DB30BF">
      <w:pPr>
        <w:pStyle w:val="ListParagraph"/>
        <w:tabs>
          <w:tab w:val="left" w:pos="720"/>
        </w:tabs>
        <w:spacing w:after="0" w:line="240" w:lineRule="auto"/>
        <w:ind w:left="1440"/>
        <w:rPr>
          <w:rStyle w:val="Heading2Char"/>
          <w:b w:val="0"/>
          <w:bCs w:val="0"/>
        </w:rPr>
      </w:pPr>
      <w:bookmarkStart w:id="33" w:name="_Toc402880162"/>
      <w:bookmarkStart w:id="34" w:name="_Toc402880720"/>
    </w:p>
    <w:p w14:paraId="25C78812" w14:textId="2A22CD4A" w:rsidR="004F5954" w:rsidRDefault="007B6333" w:rsidP="00DB30BF">
      <w:pPr>
        <w:pStyle w:val="ListParagraph"/>
        <w:numPr>
          <w:ilvl w:val="0"/>
          <w:numId w:val="4"/>
        </w:numPr>
        <w:tabs>
          <w:tab w:val="left" w:pos="720"/>
        </w:tabs>
        <w:spacing w:after="0" w:line="240" w:lineRule="auto"/>
        <w:rPr>
          <w:rFonts w:ascii="Arial" w:hAnsi="Arial" w:cs="Arial"/>
        </w:rPr>
      </w:pPr>
      <w:bookmarkStart w:id="35" w:name="_Toc209539196"/>
      <w:r w:rsidRPr="00CF4FBE">
        <w:rPr>
          <w:rStyle w:val="Heading2Char"/>
        </w:rPr>
        <w:t>Specific Deterrence</w:t>
      </w:r>
      <w:bookmarkEnd w:id="33"/>
      <w:bookmarkEnd w:id="34"/>
      <w:bookmarkEnd w:id="35"/>
      <w:r w:rsidRPr="00641284">
        <w:rPr>
          <w:rFonts w:ascii="Arial" w:hAnsi="Arial" w:cs="Arial"/>
          <w:b/>
          <w:bCs/>
        </w:rPr>
        <w:t>.</w:t>
      </w:r>
      <w:r w:rsidRPr="00641284">
        <w:rPr>
          <w:rFonts w:ascii="Arial" w:hAnsi="Arial" w:cs="Arial"/>
        </w:rPr>
        <w:t xml:space="preserve"> </w:t>
      </w:r>
      <w:r w:rsidR="004F5954">
        <w:rPr>
          <w:rFonts w:ascii="Arial" w:hAnsi="Arial" w:cs="Arial"/>
        </w:rPr>
        <w:t>Specific deterrence refers to the notion that the jury’s verdict will prevent the defendant from committing crimes in the future, whereas general deterrence refers to the idea that the jury’s verdict will deter other people from committing crimes.</w:t>
      </w:r>
    </w:p>
    <w:p w14:paraId="12AB2FB3" w14:textId="35DE1A1E" w:rsidR="005574CD" w:rsidRDefault="004F5954" w:rsidP="00DB30BF">
      <w:pPr>
        <w:pStyle w:val="ListParagraph"/>
        <w:tabs>
          <w:tab w:val="left" w:pos="720"/>
        </w:tabs>
        <w:spacing w:after="0" w:line="240" w:lineRule="auto"/>
        <w:ind w:left="1440"/>
        <w:rPr>
          <w:rFonts w:ascii="Arial" w:hAnsi="Arial" w:cs="Arial"/>
        </w:rPr>
      </w:pPr>
      <w:r>
        <w:rPr>
          <w:rStyle w:val="Heading2Char"/>
        </w:rPr>
        <w:tab/>
      </w:r>
      <w:r w:rsidR="0017006A">
        <w:rPr>
          <w:rFonts w:ascii="Arial" w:hAnsi="Arial" w:cs="Arial"/>
        </w:rPr>
        <w:t>T</w:t>
      </w:r>
      <w:r w:rsidR="007B6333" w:rsidRPr="00641284">
        <w:rPr>
          <w:rFonts w:ascii="Arial" w:hAnsi="Arial" w:cs="Arial"/>
        </w:rPr>
        <w:t>he prosecution may make specific-deterrence arguments</w:t>
      </w:r>
      <w:r w:rsidR="005574CD">
        <w:rPr>
          <w:rFonts w:ascii="Arial" w:hAnsi="Arial" w:cs="Arial"/>
        </w:rPr>
        <w:t xml:space="preserve"> </w:t>
      </w:r>
      <w:r w:rsidR="00AD47DE">
        <w:rPr>
          <w:rFonts w:ascii="Arial" w:hAnsi="Arial" w:cs="Arial"/>
        </w:rPr>
        <w:t>in</w:t>
      </w:r>
      <w:r w:rsidR="005574CD">
        <w:rPr>
          <w:rFonts w:ascii="Arial" w:hAnsi="Arial" w:cs="Arial"/>
        </w:rPr>
        <w:t xml:space="preserve"> the sentencing phase of a</w:t>
      </w:r>
      <w:r w:rsidR="00AD47DE">
        <w:rPr>
          <w:rFonts w:ascii="Arial" w:hAnsi="Arial" w:cs="Arial"/>
        </w:rPr>
        <w:t xml:space="preserve"> capital </w:t>
      </w:r>
      <w:r w:rsidR="005574CD">
        <w:rPr>
          <w:rFonts w:ascii="Arial" w:hAnsi="Arial" w:cs="Arial"/>
        </w:rPr>
        <w:t>trial</w:t>
      </w:r>
      <w:r w:rsidR="007B6333" w:rsidRPr="00641284">
        <w:rPr>
          <w:rFonts w:ascii="Arial" w:hAnsi="Arial" w:cs="Arial"/>
        </w:rPr>
        <w:t>.</w:t>
      </w:r>
      <w:r w:rsidR="00BE12DE">
        <w:rPr>
          <w:rFonts w:ascii="Arial" w:hAnsi="Arial" w:cs="Arial"/>
        </w:rPr>
        <w:t xml:space="preserve"> State v. Zuniga, 320 N.C. 233, 269 (1987) (proper to make such an argument in capital sentencing proceeding);</w:t>
      </w:r>
      <w:r w:rsidR="007B6333" w:rsidRPr="00641284">
        <w:rPr>
          <w:rFonts w:ascii="Arial" w:hAnsi="Arial" w:cs="Arial"/>
        </w:rPr>
        <w:t xml:space="preserve"> State v. Thomas, 350 N.C. 315, 362 (1999)</w:t>
      </w:r>
      <w:r w:rsidR="00BC1E49">
        <w:rPr>
          <w:rFonts w:ascii="Arial" w:hAnsi="Arial" w:cs="Arial"/>
        </w:rPr>
        <w:t xml:space="preserve"> (</w:t>
      </w:r>
      <w:r w:rsidR="005574CD">
        <w:rPr>
          <w:rFonts w:ascii="Arial" w:hAnsi="Arial" w:cs="Arial"/>
        </w:rPr>
        <w:t xml:space="preserve">citing other capital cases and stating in the context of a capital sentencing proceeding: </w:t>
      </w:r>
      <w:r w:rsidR="00BC1E49">
        <w:rPr>
          <w:rFonts w:ascii="Arial" w:hAnsi="Arial" w:cs="Arial"/>
        </w:rPr>
        <w:t>"We have consistently held</w:t>
      </w:r>
      <w:r w:rsidR="00BE12DE">
        <w:rPr>
          <w:rFonts w:ascii="Arial" w:hAnsi="Arial" w:cs="Arial"/>
        </w:rPr>
        <w:t xml:space="preserve"> </w:t>
      </w:r>
      <w:r w:rsidR="00BC1E49">
        <w:rPr>
          <w:rFonts w:ascii="Arial" w:hAnsi="Arial" w:cs="Arial"/>
        </w:rPr>
        <w:t>. . . that the specific deterrence argument is permissible”)</w:t>
      </w:r>
      <w:r w:rsidR="005574CD">
        <w:rPr>
          <w:rFonts w:ascii="Arial" w:hAnsi="Arial" w:cs="Arial"/>
        </w:rPr>
        <w:t xml:space="preserve">; State v. Larry, 345 N.C. 497, 528 (1997) (same). The North Carolina Supreme Court case law is mixed as to whether specific deterrence arguments are permissible in the guilt/innocence phase of a capital trial. </w:t>
      </w:r>
      <w:r w:rsidR="005574CD">
        <w:rPr>
          <w:rFonts w:ascii="Arial" w:hAnsi="Arial" w:cs="Arial"/>
          <w:i/>
          <w:iCs/>
        </w:rPr>
        <w:t>Compare</w:t>
      </w:r>
      <w:r w:rsidR="007B6333" w:rsidRPr="00641284">
        <w:rPr>
          <w:rFonts w:ascii="Arial" w:hAnsi="Arial" w:cs="Arial"/>
        </w:rPr>
        <w:t xml:space="preserve"> State v. Campbell, 340 N.C. 612, 631-32 (1995) (not improper</w:t>
      </w:r>
      <w:r w:rsidR="00BE12DE">
        <w:rPr>
          <w:rFonts w:ascii="Arial" w:hAnsi="Arial" w:cs="Arial"/>
        </w:rPr>
        <w:t xml:space="preserve"> in guilt/innocence phase of capital trial</w:t>
      </w:r>
      <w:r w:rsidR="007B6333" w:rsidRPr="00641284">
        <w:rPr>
          <w:rFonts w:ascii="Arial" w:hAnsi="Arial" w:cs="Arial"/>
        </w:rPr>
        <w:t xml:space="preserve"> to argue that the jury should convict the defendant so he could not commit crimes in the future)</w:t>
      </w:r>
      <w:r w:rsidR="005574CD">
        <w:rPr>
          <w:rFonts w:ascii="Arial" w:hAnsi="Arial" w:cs="Arial"/>
        </w:rPr>
        <w:t xml:space="preserve">, </w:t>
      </w:r>
      <w:r w:rsidR="005574CD">
        <w:rPr>
          <w:rFonts w:ascii="Arial" w:hAnsi="Arial" w:cs="Arial"/>
          <w:i/>
          <w:iCs/>
        </w:rPr>
        <w:t xml:space="preserve">and </w:t>
      </w:r>
      <w:r w:rsidR="005574CD">
        <w:rPr>
          <w:rFonts w:ascii="Arial" w:hAnsi="Arial" w:cs="Arial"/>
        </w:rPr>
        <w:t>State v. Abraham, 338 N.C. 315, 339 (1994) (same)</w:t>
      </w:r>
      <w:r w:rsidR="0065108C">
        <w:rPr>
          <w:rFonts w:ascii="Arial" w:hAnsi="Arial" w:cs="Arial"/>
        </w:rPr>
        <w:t>,</w:t>
      </w:r>
      <w:r w:rsidR="005574CD">
        <w:rPr>
          <w:rFonts w:ascii="Arial" w:hAnsi="Arial" w:cs="Arial"/>
        </w:rPr>
        <w:t xml:space="preserve"> </w:t>
      </w:r>
      <w:r w:rsidR="005574CD">
        <w:rPr>
          <w:rFonts w:ascii="Arial" w:hAnsi="Arial" w:cs="Arial"/>
          <w:i/>
          <w:iCs/>
        </w:rPr>
        <w:t>with</w:t>
      </w:r>
      <w:r w:rsidR="00833387">
        <w:rPr>
          <w:rFonts w:ascii="Arial" w:hAnsi="Arial" w:cs="Arial"/>
          <w:i/>
          <w:iCs/>
        </w:rPr>
        <w:t xml:space="preserve"> </w:t>
      </w:r>
      <w:r w:rsidR="00833387">
        <w:rPr>
          <w:rFonts w:ascii="Arial" w:hAnsi="Arial" w:cs="Arial"/>
        </w:rPr>
        <w:t xml:space="preserve">State v. Payne, 328 N.C. 377, 406 (1991) (relying on a passage in </w:t>
      </w:r>
      <w:r w:rsidR="00833387">
        <w:rPr>
          <w:rFonts w:ascii="Arial" w:hAnsi="Arial" w:cs="Arial"/>
          <w:i/>
          <w:iCs/>
        </w:rPr>
        <w:t xml:space="preserve">Zuniga </w:t>
      </w:r>
      <w:r w:rsidR="00ED571A">
        <w:rPr>
          <w:rFonts w:ascii="Arial" w:hAnsi="Arial" w:cs="Arial"/>
        </w:rPr>
        <w:t xml:space="preserve">that assumed </w:t>
      </w:r>
      <w:r w:rsidR="00ED571A">
        <w:rPr>
          <w:rFonts w:ascii="Arial" w:hAnsi="Arial" w:cs="Arial"/>
          <w:i/>
          <w:iCs/>
        </w:rPr>
        <w:t>arguendo</w:t>
      </w:r>
      <w:r w:rsidR="00ED571A">
        <w:rPr>
          <w:rFonts w:ascii="Arial" w:hAnsi="Arial" w:cs="Arial"/>
        </w:rPr>
        <w:t xml:space="preserve"> that a general deterrence argument was improper to support the broader statement</w:t>
      </w:r>
      <w:r w:rsidR="005574CD">
        <w:rPr>
          <w:rFonts w:ascii="Arial" w:hAnsi="Arial" w:cs="Arial"/>
        </w:rPr>
        <w:t xml:space="preserve"> in the context of guilt/innocence phase argument</w:t>
      </w:r>
      <w:r w:rsidR="00ED571A">
        <w:rPr>
          <w:rFonts w:ascii="Arial" w:hAnsi="Arial" w:cs="Arial"/>
        </w:rPr>
        <w:t>: “To argue that a defendant, if acquitted, will commit a future crime is improper”</w:t>
      </w:r>
      <w:r w:rsidR="00833387">
        <w:rPr>
          <w:rFonts w:ascii="Arial" w:hAnsi="Arial" w:cs="Arial"/>
        </w:rPr>
        <w:t>)</w:t>
      </w:r>
      <w:r w:rsidR="005574CD">
        <w:rPr>
          <w:rFonts w:ascii="Arial" w:hAnsi="Arial" w:cs="Arial"/>
        </w:rPr>
        <w:t xml:space="preserve">, </w:t>
      </w:r>
      <w:r w:rsidR="005574CD">
        <w:rPr>
          <w:rFonts w:ascii="Arial" w:hAnsi="Arial" w:cs="Arial"/>
          <w:i/>
          <w:iCs/>
        </w:rPr>
        <w:t>and</w:t>
      </w:r>
      <w:r w:rsidR="0007545E">
        <w:rPr>
          <w:rFonts w:ascii="Arial" w:hAnsi="Arial" w:cs="Arial"/>
        </w:rPr>
        <w:t xml:space="preserve"> State v. Berry, 356 N.C. 490, 522 (2002) (finding a specific deterrence argument improper but not </w:t>
      </w:r>
      <w:r w:rsidR="0007545E">
        <w:rPr>
          <w:rFonts w:ascii="Arial" w:hAnsi="Arial" w:cs="Arial"/>
        </w:rPr>
        <w:lastRenderedPageBreak/>
        <w:t xml:space="preserve">prejudicial in a capital case where the </w:t>
      </w:r>
      <w:r w:rsidR="00330578">
        <w:rPr>
          <w:rFonts w:ascii="Arial" w:hAnsi="Arial" w:cs="Arial"/>
        </w:rPr>
        <w:t>S</w:t>
      </w:r>
      <w:r w:rsidR="0007545E">
        <w:rPr>
          <w:rFonts w:ascii="Arial" w:hAnsi="Arial" w:cs="Arial"/>
        </w:rPr>
        <w:t>tate conceded that it could not find any authority to the contrary)</w:t>
      </w:r>
      <w:r w:rsidR="00833387">
        <w:rPr>
          <w:rFonts w:ascii="Arial" w:hAnsi="Arial" w:cs="Arial"/>
        </w:rPr>
        <w:t>.</w:t>
      </w:r>
    </w:p>
    <w:p w14:paraId="7951073B" w14:textId="6A5C0ABC" w:rsidR="00833387" w:rsidRDefault="005574CD" w:rsidP="00DB30BF">
      <w:pPr>
        <w:pStyle w:val="ListParagraph"/>
        <w:tabs>
          <w:tab w:val="left" w:pos="720"/>
        </w:tabs>
        <w:spacing w:after="0" w:line="240" w:lineRule="auto"/>
        <w:ind w:left="1440"/>
        <w:rPr>
          <w:rFonts w:ascii="Arial" w:hAnsi="Arial" w:cs="Arial"/>
        </w:rPr>
      </w:pPr>
      <w:r>
        <w:rPr>
          <w:rStyle w:val="Heading2Char"/>
        </w:rPr>
        <w:tab/>
      </w:r>
      <w:r w:rsidR="0007545E">
        <w:rPr>
          <w:rFonts w:ascii="Arial" w:hAnsi="Arial" w:cs="Arial"/>
        </w:rPr>
        <w:t>General deterrence arguments are impermissible</w:t>
      </w:r>
      <w:r w:rsidR="0017006A">
        <w:rPr>
          <w:rFonts w:ascii="Arial" w:hAnsi="Arial" w:cs="Arial"/>
        </w:rPr>
        <w:t xml:space="preserve">, at least in capital cases, </w:t>
      </w:r>
      <w:r w:rsidR="0017006A" w:rsidRPr="0065108C">
        <w:rPr>
          <w:rFonts w:ascii="Arial" w:hAnsi="Arial" w:cs="Arial"/>
          <w:i/>
          <w:iCs/>
        </w:rPr>
        <w:t>Abraham</w:t>
      </w:r>
      <w:r w:rsidR="0017006A">
        <w:rPr>
          <w:rFonts w:ascii="Arial" w:hAnsi="Arial" w:cs="Arial"/>
        </w:rPr>
        <w:t xml:space="preserve">, 338 N.C. </w:t>
      </w:r>
      <w:r>
        <w:rPr>
          <w:rFonts w:ascii="Arial" w:hAnsi="Arial" w:cs="Arial"/>
        </w:rPr>
        <w:t>at</w:t>
      </w:r>
      <w:r w:rsidR="0017006A">
        <w:rPr>
          <w:rFonts w:ascii="Arial" w:hAnsi="Arial" w:cs="Arial"/>
        </w:rPr>
        <w:t xml:space="preserve"> 339 (so stating in a capital case)</w:t>
      </w:r>
      <w:r w:rsidR="00345CAE">
        <w:rPr>
          <w:rFonts w:ascii="Arial" w:hAnsi="Arial" w:cs="Arial"/>
        </w:rPr>
        <w:t>. Such arguments</w:t>
      </w:r>
      <w:r w:rsidR="0017006A">
        <w:rPr>
          <w:rFonts w:ascii="Arial" w:hAnsi="Arial" w:cs="Arial"/>
        </w:rPr>
        <w:t xml:space="preserve"> </w:t>
      </w:r>
      <w:r w:rsidR="00345CAE">
        <w:rPr>
          <w:rFonts w:ascii="Arial" w:hAnsi="Arial" w:cs="Arial"/>
        </w:rPr>
        <w:t>also are</w:t>
      </w:r>
      <w:r w:rsidR="0017006A">
        <w:rPr>
          <w:rFonts w:ascii="Arial" w:hAnsi="Arial" w:cs="Arial"/>
        </w:rPr>
        <w:t xml:space="preserve"> presumably </w:t>
      </w:r>
      <w:r w:rsidR="00345CAE">
        <w:rPr>
          <w:rFonts w:ascii="Arial" w:hAnsi="Arial" w:cs="Arial"/>
        </w:rPr>
        <w:t>improper in</w:t>
      </w:r>
      <w:r w:rsidR="0017006A">
        <w:rPr>
          <w:rFonts w:ascii="Arial" w:hAnsi="Arial" w:cs="Arial"/>
        </w:rPr>
        <w:t xml:space="preserve"> non-capital cases as </w:t>
      </w:r>
      <w:r w:rsidR="00345CAE">
        <w:rPr>
          <w:rFonts w:ascii="Arial" w:hAnsi="Arial" w:cs="Arial"/>
        </w:rPr>
        <w:t xml:space="preserve">they constitute </w:t>
      </w:r>
      <w:r w:rsidR="0017006A">
        <w:rPr>
          <w:rFonts w:ascii="Arial" w:hAnsi="Arial" w:cs="Arial"/>
        </w:rPr>
        <w:t xml:space="preserve">speculative </w:t>
      </w:r>
      <w:proofErr w:type="gramStart"/>
      <w:r w:rsidR="0017006A">
        <w:rPr>
          <w:rFonts w:ascii="Arial" w:hAnsi="Arial" w:cs="Arial"/>
        </w:rPr>
        <w:t>personal opinion</w:t>
      </w:r>
      <w:proofErr w:type="gramEnd"/>
      <w:r w:rsidR="000E2393">
        <w:rPr>
          <w:rFonts w:ascii="Arial" w:hAnsi="Arial" w:cs="Arial"/>
        </w:rPr>
        <w:t xml:space="preserve"> o</w:t>
      </w:r>
      <w:r w:rsidR="00DB30BF">
        <w:rPr>
          <w:rFonts w:ascii="Arial" w:hAnsi="Arial" w:cs="Arial"/>
        </w:rPr>
        <w:t>n</w:t>
      </w:r>
      <w:r w:rsidR="0017006A">
        <w:rPr>
          <w:rFonts w:ascii="Arial" w:hAnsi="Arial" w:cs="Arial"/>
        </w:rPr>
        <w:t xml:space="preserve"> a matter outside the record. </w:t>
      </w:r>
      <w:r w:rsidR="0017006A">
        <w:rPr>
          <w:rFonts w:ascii="Arial" w:hAnsi="Arial" w:cs="Arial"/>
          <w:i/>
          <w:iCs/>
        </w:rPr>
        <w:t xml:space="preserve">Cf. </w:t>
      </w:r>
      <w:r w:rsidR="0017006A" w:rsidRPr="001958FC">
        <w:rPr>
          <w:rFonts w:ascii="Arial" w:hAnsi="Arial" w:cs="Arial"/>
        </w:rPr>
        <w:t>State v. Kirkley</w:t>
      </w:r>
      <w:r w:rsidR="0017006A">
        <w:rPr>
          <w:rFonts w:ascii="Arial" w:hAnsi="Arial" w:cs="Arial"/>
        </w:rPr>
        <w:t xml:space="preserve">, 308 NC. 196, 216 (1983) (prosecutor’s general deterrence argument in capital case was improper “personal viewpoint”), </w:t>
      </w:r>
      <w:r w:rsidR="0017006A">
        <w:rPr>
          <w:rFonts w:ascii="Arial" w:hAnsi="Arial" w:cs="Arial"/>
          <w:i/>
          <w:iCs/>
        </w:rPr>
        <w:t xml:space="preserve">overruled in part on other grounds by </w:t>
      </w:r>
      <w:r w:rsidR="0017006A">
        <w:rPr>
          <w:rFonts w:ascii="Arial" w:hAnsi="Arial" w:cs="Arial"/>
        </w:rPr>
        <w:t>State v. Shank, 322 N.C. 243,</w:t>
      </w:r>
      <w:r w:rsidR="00791ABF">
        <w:rPr>
          <w:rFonts w:ascii="Arial" w:hAnsi="Arial" w:cs="Arial"/>
        </w:rPr>
        <w:t xml:space="preserve"> </w:t>
      </w:r>
      <w:r w:rsidR="0017006A">
        <w:rPr>
          <w:rFonts w:ascii="Arial" w:hAnsi="Arial" w:cs="Arial"/>
        </w:rPr>
        <w:t>251 (1988).</w:t>
      </w:r>
    </w:p>
    <w:p w14:paraId="5D089934" w14:textId="370FDDD8" w:rsidR="007B6333" w:rsidRDefault="00833387" w:rsidP="00DB30BF">
      <w:pPr>
        <w:pStyle w:val="ListParagraph"/>
        <w:tabs>
          <w:tab w:val="left" w:pos="720"/>
        </w:tabs>
        <w:spacing w:after="0" w:line="240" w:lineRule="auto"/>
        <w:ind w:left="1440"/>
        <w:rPr>
          <w:rFonts w:ascii="Arial" w:hAnsi="Arial" w:cs="Arial"/>
        </w:rPr>
      </w:pPr>
      <w:r>
        <w:rPr>
          <w:rFonts w:ascii="Arial" w:hAnsi="Arial" w:cs="Arial"/>
        </w:rPr>
        <w:tab/>
      </w:r>
      <w:r w:rsidR="00326F68">
        <w:rPr>
          <w:rFonts w:ascii="Arial" w:hAnsi="Arial" w:cs="Arial"/>
        </w:rPr>
        <w:t>C</w:t>
      </w:r>
      <w:r w:rsidR="0007545E">
        <w:rPr>
          <w:rFonts w:ascii="Arial" w:hAnsi="Arial" w:cs="Arial"/>
        </w:rPr>
        <w:t>ases from the North Carolina Court of Appeals</w:t>
      </w:r>
      <w:r>
        <w:rPr>
          <w:rFonts w:ascii="Arial" w:hAnsi="Arial" w:cs="Arial"/>
        </w:rPr>
        <w:t xml:space="preserve"> state that specific deterrence arguments are permissible in</w:t>
      </w:r>
      <w:r w:rsidR="00345CAE">
        <w:rPr>
          <w:rFonts w:ascii="Arial" w:hAnsi="Arial" w:cs="Arial"/>
        </w:rPr>
        <w:t xml:space="preserve"> the guilt/innocence phase of</w:t>
      </w:r>
      <w:r>
        <w:rPr>
          <w:rFonts w:ascii="Arial" w:hAnsi="Arial" w:cs="Arial"/>
        </w:rPr>
        <w:t xml:space="preserve"> non-capital cases. </w:t>
      </w:r>
      <w:r>
        <w:rPr>
          <w:rFonts w:ascii="Arial" w:hAnsi="Arial" w:cs="Arial"/>
          <w:i/>
          <w:iCs/>
        </w:rPr>
        <w:t>See, e.g.</w:t>
      </w:r>
      <w:r>
        <w:rPr>
          <w:rFonts w:ascii="Arial" w:hAnsi="Arial" w:cs="Arial"/>
        </w:rPr>
        <w:t>,</w:t>
      </w:r>
      <w:r w:rsidR="00713335">
        <w:rPr>
          <w:rFonts w:ascii="Arial" w:hAnsi="Arial" w:cs="Arial"/>
        </w:rPr>
        <w:t xml:space="preserve"> State v. Strickland, 283 N.C. App. 295, 309 (2022) (not </w:t>
      </w:r>
      <w:r w:rsidR="0007545E">
        <w:rPr>
          <w:rFonts w:ascii="Arial" w:hAnsi="Arial" w:cs="Arial"/>
        </w:rPr>
        <w:t xml:space="preserve">grossly </w:t>
      </w:r>
      <w:r w:rsidR="00713335">
        <w:rPr>
          <w:rFonts w:ascii="Arial" w:hAnsi="Arial" w:cs="Arial"/>
        </w:rPr>
        <w:t>improper to argue that convicting defendant would protect the victim and “every other vulnerable female in Edgecombe County that might find herself in the unfortunate position of being in a domestic relationship with [the] defendant”);</w:t>
      </w:r>
      <w:r w:rsidR="007B6333" w:rsidRPr="00641284">
        <w:rPr>
          <w:rFonts w:ascii="Arial" w:hAnsi="Arial" w:cs="Arial"/>
        </w:rPr>
        <w:t xml:space="preserve"> State v. Chappelle, 193 N.C. App. 313, 328 (2008) (</w:t>
      </w:r>
      <w:r>
        <w:rPr>
          <w:rFonts w:ascii="Arial" w:hAnsi="Arial" w:cs="Arial"/>
        </w:rPr>
        <w:t>finding similar argument proper</w:t>
      </w:r>
      <w:r w:rsidR="007B6333" w:rsidRPr="00641284">
        <w:rPr>
          <w:rFonts w:ascii="Arial" w:hAnsi="Arial" w:cs="Arial"/>
        </w:rPr>
        <w:t xml:space="preserve">). </w:t>
      </w:r>
      <w:r w:rsidR="005574CD">
        <w:rPr>
          <w:rFonts w:ascii="Arial" w:hAnsi="Arial" w:cs="Arial"/>
        </w:rPr>
        <w:t>As discussed above, however, the North Carolina Supreme Court case law upon which these cases rely was developed largely in the context of capital sentencing proceedings</w:t>
      </w:r>
      <w:r w:rsidR="00345CAE">
        <w:rPr>
          <w:rFonts w:ascii="Arial" w:hAnsi="Arial" w:cs="Arial"/>
        </w:rPr>
        <w:t>,</w:t>
      </w:r>
      <w:r w:rsidR="005574CD">
        <w:rPr>
          <w:rFonts w:ascii="Arial" w:hAnsi="Arial" w:cs="Arial"/>
        </w:rPr>
        <w:t xml:space="preserve"> and the Court’s case law outside that context is mixed as to the propriety of specific deterrence arguments.</w:t>
      </w:r>
    </w:p>
    <w:p w14:paraId="2DEA4126" w14:textId="77777777" w:rsidR="005C36DE" w:rsidRPr="00641284" w:rsidRDefault="005C36DE" w:rsidP="00DB30BF">
      <w:pPr>
        <w:pStyle w:val="ListParagraph"/>
        <w:tabs>
          <w:tab w:val="left" w:pos="720"/>
        </w:tabs>
        <w:spacing w:after="0" w:line="240" w:lineRule="auto"/>
        <w:ind w:left="1440"/>
        <w:rPr>
          <w:rFonts w:ascii="Arial" w:hAnsi="Arial" w:cs="Arial"/>
        </w:rPr>
      </w:pPr>
    </w:p>
    <w:p w14:paraId="0D0A5D8B" w14:textId="79347438" w:rsidR="00F03CD1" w:rsidRPr="00F03CD1" w:rsidRDefault="007B6333" w:rsidP="003932F3">
      <w:pPr>
        <w:pStyle w:val="Heading1"/>
        <w:spacing w:after="0" w:line="240" w:lineRule="auto"/>
        <w:rPr>
          <w:b w:val="0"/>
          <w:bCs w:val="0"/>
          <w:vanish/>
          <w:specVanish/>
        </w:rPr>
      </w:pPr>
      <w:bookmarkStart w:id="36" w:name="_Toc402880163"/>
      <w:bookmarkStart w:id="37" w:name="_Toc402880721"/>
      <w:bookmarkStart w:id="38" w:name="_Toc209539197"/>
      <w:r w:rsidRPr="00F03CD1">
        <w:rPr>
          <w:rStyle w:val="Heading1Char"/>
          <w:b/>
          <w:bCs/>
        </w:rPr>
        <w:t xml:space="preserve">Impermissible </w:t>
      </w:r>
      <w:r w:rsidR="00CD5484">
        <w:rPr>
          <w:rStyle w:val="Heading1Char"/>
          <w:b/>
          <w:bCs/>
        </w:rPr>
        <w:t xml:space="preserve">Closing </w:t>
      </w:r>
      <w:r w:rsidRPr="00F03CD1">
        <w:rPr>
          <w:rStyle w:val="Heading1Char"/>
          <w:b/>
          <w:bCs/>
        </w:rPr>
        <w:t>Argument</w:t>
      </w:r>
      <w:bookmarkEnd w:id="36"/>
      <w:bookmarkEnd w:id="37"/>
      <w:r w:rsidR="00F03CD1" w:rsidRPr="00F03CD1">
        <w:rPr>
          <w:b w:val="0"/>
          <w:bCs w:val="0"/>
        </w:rPr>
        <w:t>.</w:t>
      </w:r>
      <w:bookmarkEnd w:id="38"/>
    </w:p>
    <w:p w14:paraId="0ED21FCE" w14:textId="2823C633" w:rsidR="007B6333" w:rsidRPr="00F03CD1" w:rsidRDefault="00F03CD1" w:rsidP="00F03CD1">
      <w:pPr>
        <w:spacing w:after="0" w:line="240" w:lineRule="auto"/>
        <w:ind w:left="720" w:hanging="720"/>
        <w:rPr>
          <w:rFonts w:ascii="Arial" w:hAnsi="Arial" w:cs="Arial"/>
          <w:b/>
        </w:rPr>
      </w:pPr>
      <w:r>
        <w:t xml:space="preserve"> </w:t>
      </w:r>
      <w:r w:rsidR="00F74D0F" w:rsidRPr="00F03CD1">
        <w:rPr>
          <w:rFonts w:ascii="Arial" w:hAnsi="Arial" w:cs="Arial"/>
        </w:rPr>
        <w:t xml:space="preserve">The subsections below explore </w:t>
      </w:r>
      <w:r w:rsidR="00345CAE" w:rsidRPr="00F03CD1">
        <w:rPr>
          <w:rFonts w:ascii="Arial" w:hAnsi="Arial" w:cs="Arial"/>
        </w:rPr>
        <w:t>several</w:t>
      </w:r>
      <w:r w:rsidR="00F74D0F" w:rsidRPr="00F03CD1">
        <w:rPr>
          <w:rFonts w:ascii="Arial" w:hAnsi="Arial" w:cs="Arial"/>
        </w:rPr>
        <w:t xml:space="preserve"> categories of impermissible </w:t>
      </w:r>
      <w:r w:rsidR="00CD5484">
        <w:rPr>
          <w:rFonts w:ascii="Arial" w:hAnsi="Arial" w:cs="Arial"/>
        </w:rPr>
        <w:t xml:space="preserve">closing </w:t>
      </w:r>
      <w:r w:rsidR="00F74D0F" w:rsidRPr="00F03CD1">
        <w:rPr>
          <w:rFonts w:ascii="Arial" w:hAnsi="Arial" w:cs="Arial"/>
        </w:rPr>
        <w:t>argument.</w:t>
      </w:r>
      <w:r w:rsidR="00CD5484">
        <w:rPr>
          <w:rFonts w:ascii="Arial" w:hAnsi="Arial" w:cs="Arial"/>
        </w:rPr>
        <w:t xml:space="preserve"> As noted above in Section III, many of the principles discussed here also apply to opening statements.</w:t>
      </w:r>
    </w:p>
    <w:p w14:paraId="2E1AE2E0" w14:textId="77777777" w:rsidR="007B6333" w:rsidRPr="00641284" w:rsidRDefault="007B6333" w:rsidP="00DB30BF">
      <w:pPr>
        <w:pStyle w:val="ListParagraph"/>
        <w:numPr>
          <w:ilvl w:val="0"/>
          <w:numId w:val="8"/>
        </w:numPr>
        <w:spacing w:after="0" w:line="240" w:lineRule="auto"/>
        <w:rPr>
          <w:rFonts w:ascii="Arial" w:hAnsi="Arial" w:cs="Arial"/>
        </w:rPr>
      </w:pPr>
      <w:bookmarkStart w:id="39" w:name="_Toc402880164"/>
      <w:bookmarkStart w:id="40" w:name="_Toc402880722"/>
      <w:bookmarkStart w:id="41" w:name="_Toc209539198"/>
      <w:r w:rsidRPr="00CF4FBE">
        <w:rPr>
          <w:rStyle w:val="Heading2Char"/>
        </w:rPr>
        <w:t>Generally</w:t>
      </w:r>
      <w:bookmarkEnd w:id="39"/>
      <w:bookmarkEnd w:id="40"/>
      <w:bookmarkEnd w:id="41"/>
      <w:r w:rsidRPr="00641284">
        <w:rPr>
          <w:rFonts w:ascii="Arial" w:hAnsi="Arial" w:cs="Arial"/>
          <w:b/>
          <w:bCs/>
        </w:rPr>
        <w:t>.</w:t>
      </w:r>
    </w:p>
    <w:p w14:paraId="587E7853" w14:textId="40C2B18A" w:rsidR="007B6333" w:rsidRPr="005C36DE" w:rsidRDefault="007B6333" w:rsidP="00DB30BF">
      <w:pPr>
        <w:pStyle w:val="ListParagraph"/>
        <w:numPr>
          <w:ilvl w:val="2"/>
          <w:numId w:val="8"/>
        </w:numPr>
        <w:spacing w:after="0" w:line="240" w:lineRule="auto"/>
        <w:rPr>
          <w:rFonts w:ascii="Arial" w:hAnsi="Arial" w:cs="Arial"/>
        </w:rPr>
      </w:pPr>
      <w:bookmarkStart w:id="42" w:name="_Toc402880723"/>
      <w:bookmarkStart w:id="43" w:name="_Toc209539199"/>
      <w:r w:rsidRPr="00304356">
        <w:rPr>
          <w:rStyle w:val="Heading3Char"/>
        </w:rPr>
        <w:t>Abusive Arguments</w:t>
      </w:r>
      <w:bookmarkEnd w:id="42"/>
      <w:bookmarkEnd w:id="43"/>
      <w:r w:rsidRPr="005C36DE">
        <w:rPr>
          <w:rFonts w:ascii="Arial" w:hAnsi="Arial" w:cs="Arial"/>
          <w:b/>
          <w:bCs/>
        </w:rPr>
        <w:t xml:space="preserve">. </w:t>
      </w:r>
      <w:r w:rsidRPr="005C36DE">
        <w:rPr>
          <w:rFonts w:ascii="Arial" w:hAnsi="Arial" w:cs="Arial"/>
        </w:rPr>
        <w:t xml:space="preserve">During a closing argument a lawyer may not become abusive. G.S. 15A-1230(a); N.C. R. </w:t>
      </w:r>
      <w:r w:rsidRPr="005C36DE">
        <w:rPr>
          <w:rFonts w:ascii="Arial" w:hAnsi="Arial" w:cs="Arial"/>
          <w:smallCaps/>
        </w:rPr>
        <w:t xml:space="preserve">Super. and Dist. </w:t>
      </w:r>
      <w:proofErr w:type="spellStart"/>
      <w:r w:rsidRPr="005C36DE">
        <w:rPr>
          <w:rFonts w:ascii="Arial" w:hAnsi="Arial" w:cs="Arial"/>
          <w:smallCaps/>
        </w:rPr>
        <w:t>Cts</w:t>
      </w:r>
      <w:proofErr w:type="spellEnd"/>
      <w:r w:rsidRPr="005C36DE">
        <w:rPr>
          <w:rFonts w:ascii="Arial" w:hAnsi="Arial" w:cs="Arial"/>
          <w:smallCaps/>
        </w:rPr>
        <w:t>.</w:t>
      </w:r>
      <w:r w:rsidRPr="005C36DE">
        <w:rPr>
          <w:rFonts w:ascii="Arial" w:hAnsi="Arial" w:cs="Arial"/>
        </w:rPr>
        <w:t xml:space="preserve"> Rule. 12 (“Abusive language [is] prohibited”); State v. Matthews, 358 N.C. 102, 111-12 (2004) (inappropriate to refer to the defense case as “bull crap”); State v. Jones, 355 N.C. 117, 127 (2002) (citing the statute); </w:t>
      </w:r>
      <w:r w:rsidRPr="005C36DE">
        <w:rPr>
          <w:rFonts w:ascii="Arial" w:hAnsi="Arial" w:cs="Arial"/>
          <w:i/>
          <w:iCs/>
        </w:rPr>
        <w:t xml:space="preserve">see also </w:t>
      </w:r>
      <w:r w:rsidRPr="005C36DE">
        <w:rPr>
          <w:rFonts w:ascii="Arial" w:hAnsi="Arial" w:cs="Arial"/>
        </w:rPr>
        <w:t xml:space="preserve">State v. Gillikin, </w:t>
      </w:r>
      <w:r w:rsidR="008F24F9">
        <w:rPr>
          <w:rFonts w:ascii="Arial" w:hAnsi="Arial" w:cs="Arial"/>
        </w:rPr>
        <w:t>217</w:t>
      </w:r>
      <w:r w:rsidRPr="005C36DE">
        <w:rPr>
          <w:rFonts w:ascii="Arial" w:hAnsi="Arial" w:cs="Arial"/>
        </w:rPr>
        <w:t xml:space="preserve"> N.C. App. </w:t>
      </w:r>
      <w:r w:rsidR="008F24F9">
        <w:rPr>
          <w:rFonts w:ascii="Arial" w:hAnsi="Arial" w:cs="Arial"/>
        </w:rPr>
        <w:t>256</w:t>
      </w:r>
      <w:r w:rsidRPr="005C36DE">
        <w:rPr>
          <w:rFonts w:ascii="Arial" w:hAnsi="Arial" w:cs="Arial"/>
        </w:rPr>
        <w:t xml:space="preserve">, </w:t>
      </w:r>
      <w:r w:rsidR="008F24F9">
        <w:rPr>
          <w:rFonts w:ascii="Arial" w:hAnsi="Arial" w:cs="Arial"/>
        </w:rPr>
        <w:t>266-67</w:t>
      </w:r>
      <w:r w:rsidRPr="005C36DE">
        <w:rPr>
          <w:rFonts w:ascii="Arial" w:hAnsi="Arial" w:cs="Arial"/>
        </w:rPr>
        <w:t xml:space="preserve"> (2011) (closing argument was “grossly improper” where the prosecutor repeatedly engaged in abusive name-calling of the defendant and expressed his opinion that defendant was a liar and was guilty).</w:t>
      </w:r>
    </w:p>
    <w:p w14:paraId="06DAF6E6" w14:textId="18B4834A" w:rsidR="007B6333" w:rsidRPr="00641284" w:rsidRDefault="007B6333" w:rsidP="00DB30BF">
      <w:pPr>
        <w:pStyle w:val="ListParagraph"/>
        <w:numPr>
          <w:ilvl w:val="2"/>
          <w:numId w:val="8"/>
        </w:numPr>
        <w:spacing w:after="0" w:line="240" w:lineRule="auto"/>
        <w:rPr>
          <w:rFonts w:ascii="Arial" w:hAnsi="Arial" w:cs="Arial"/>
          <w:b/>
          <w:bCs/>
        </w:rPr>
      </w:pPr>
      <w:bookmarkStart w:id="44" w:name="_Toc402880724"/>
      <w:bookmarkStart w:id="45" w:name="_Toc209539200"/>
      <w:r w:rsidRPr="00304356">
        <w:rPr>
          <w:rStyle w:val="Heading3Char"/>
        </w:rPr>
        <w:t>Lack of Dignity or Propriety</w:t>
      </w:r>
      <w:bookmarkEnd w:id="44"/>
      <w:bookmarkEnd w:id="45"/>
      <w:r w:rsidRPr="00641284">
        <w:rPr>
          <w:rFonts w:ascii="Arial" w:hAnsi="Arial" w:cs="Arial"/>
          <w:b/>
          <w:bCs/>
        </w:rPr>
        <w:t xml:space="preserve">. </w:t>
      </w:r>
      <w:r w:rsidRPr="00641284">
        <w:rPr>
          <w:rFonts w:ascii="Arial" w:hAnsi="Arial" w:cs="Arial"/>
        </w:rPr>
        <w:t xml:space="preserve">During jury argument lawyers must conduct themselves with “dignity and propriety.” N.C. R. </w:t>
      </w:r>
      <w:r w:rsidRPr="00641284">
        <w:rPr>
          <w:rFonts w:ascii="Arial" w:hAnsi="Arial" w:cs="Arial"/>
          <w:smallCaps/>
        </w:rPr>
        <w:t xml:space="preserve">Super. and Dist. </w:t>
      </w:r>
      <w:proofErr w:type="spellStart"/>
      <w:r w:rsidRPr="00641284">
        <w:rPr>
          <w:rFonts w:ascii="Arial" w:hAnsi="Arial" w:cs="Arial"/>
          <w:smallCaps/>
        </w:rPr>
        <w:t>Cts</w:t>
      </w:r>
      <w:proofErr w:type="spellEnd"/>
      <w:r w:rsidRPr="00641284">
        <w:rPr>
          <w:rFonts w:ascii="Arial" w:hAnsi="Arial" w:cs="Arial"/>
          <w:smallCaps/>
        </w:rPr>
        <w:t>.</w:t>
      </w:r>
      <w:r w:rsidRPr="00641284">
        <w:rPr>
          <w:rFonts w:ascii="Arial" w:hAnsi="Arial" w:cs="Arial"/>
        </w:rPr>
        <w:t xml:space="preserve"> Rule 12; </w:t>
      </w:r>
      <w:r w:rsidRPr="00641284">
        <w:rPr>
          <w:rFonts w:ascii="Arial" w:hAnsi="Arial" w:cs="Arial"/>
          <w:i/>
          <w:iCs/>
        </w:rPr>
        <w:t>see also</w:t>
      </w:r>
      <w:r w:rsidRPr="00641284">
        <w:rPr>
          <w:rFonts w:ascii="Arial" w:hAnsi="Arial" w:cs="Arial"/>
        </w:rPr>
        <w:t xml:space="preserve"> </w:t>
      </w:r>
      <w:r w:rsidRPr="00641284">
        <w:rPr>
          <w:rFonts w:ascii="Arial" w:hAnsi="Arial" w:cs="Arial"/>
          <w:i/>
          <w:iCs/>
        </w:rPr>
        <w:t>Gillikin</w:t>
      </w:r>
      <w:r w:rsidRPr="00641284">
        <w:rPr>
          <w:rFonts w:ascii="Arial" w:hAnsi="Arial" w:cs="Arial"/>
        </w:rPr>
        <w:t xml:space="preserve">, </w:t>
      </w:r>
      <w:r w:rsidR="008F24F9">
        <w:rPr>
          <w:rFonts w:ascii="Arial" w:hAnsi="Arial" w:cs="Arial"/>
        </w:rPr>
        <w:t>217</w:t>
      </w:r>
      <w:r w:rsidRPr="00641284">
        <w:rPr>
          <w:rFonts w:ascii="Arial" w:hAnsi="Arial" w:cs="Arial"/>
        </w:rPr>
        <w:t xml:space="preserve"> N.C. App. </w:t>
      </w:r>
      <w:r w:rsidR="008F24F9">
        <w:rPr>
          <w:rFonts w:ascii="Arial" w:hAnsi="Arial" w:cs="Arial"/>
        </w:rPr>
        <w:t>at 267</w:t>
      </w:r>
      <w:r w:rsidRPr="00641284">
        <w:rPr>
          <w:rFonts w:ascii="Arial" w:hAnsi="Arial" w:cs="Arial"/>
        </w:rPr>
        <w:t xml:space="preserve"> (the entire tenor of the prosecutor’s argument was undignified).</w:t>
      </w:r>
    </w:p>
    <w:p w14:paraId="193E9ADE" w14:textId="521C6D19" w:rsidR="007B6333" w:rsidRPr="00641284" w:rsidRDefault="007B6333" w:rsidP="00DB30BF">
      <w:pPr>
        <w:pStyle w:val="ListParagraph"/>
        <w:numPr>
          <w:ilvl w:val="2"/>
          <w:numId w:val="8"/>
        </w:numPr>
        <w:spacing w:after="0" w:line="240" w:lineRule="auto"/>
        <w:rPr>
          <w:rFonts w:ascii="Arial" w:hAnsi="Arial" w:cs="Arial"/>
          <w:b/>
          <w:bCs/>
        </w:rPr>
      </w:pPr>
      <w:bookmarkStart w:id="46" w:name="_Toc402880725"/>
      <w:bookmarkStart w:id="47" w:name="_Toc209539201"/>
      <w:r w:rsidRPr="00304356">
        <w:rPr>
          <w:rStyle w:val="Heading3Char"/>
        </w:rPr>
        <w:t>Arguments Appealing to Passion or Prejudice</w:t>
      </w:r>
      <w:bookmarkEnd w:id="46"/>
      <w:bookmarkEnd w:id="47"/>
      <w:r w:rsidRPr="00641284">
        <w:rPr>
          <w:rFonts w:ascii="Arial" w:hAnsi="Arial" w:cs="Arial"/>
          <w:b/>
          <w:bCs/>
        </w:rPr>
        <w:t xml:space="preserve">. </w:t>
      </w:r>
      <w:r w:rsidRPr="00641284">
        <w:rPr>
          <w:rFonts w:ascii="Arial" w:hAnsi="Arial" w:cs="Arial"/>
        </w:rPr>
        <w:t xml:space="preserve">It is improper to make an argument designed to appeal to the jurors’ passions or prejudices. </w:t>
      </w:r>
      <w:r w:rsidRPr="00641284">
        <w:rPr>
          <w:rFonts w:ascii="Arial" w:hAnsi="Arial" w:cs="Arial"/>
          <w:i/>
          <w:iCs/>
        </w:rPr>
        <w:t>See, e.g., Jones</w:t>
      </w:r>
      <w:r w:rsidRPr="00641284">
        <w:rPr>
          <w:rFonts w:ascii="Arial" w:hAnsi="Arial" w:cs="Arial"/>
        </w:rPr>
        <w:t>, 355 N.C. at 132-33 (prosecutor’s reference to the Columbine school shooting and Oklahoma City federal building bombing was an improper attempt to lead jurors away from the evidence by appealing instead to their sense of passion and prejudice)</w:t>
      </w:r>
      <w:r w:rsidR="00462D3A">
        <w:rPr>
          <w:rFonts w:ascii="Arial" w:hAnsi="Arial" w:cs="Arial"/>
        </w:rPr>
        <w:t xml:space="preserve">; State v. Norris, 287 N.C. App. 302, 319-20 (2022) (citing </w:t>
      </w:r>
      <w:r w:rsidR="00462D3A">
        <w:rPr>
          <w:rFonts w:ascii="Arial" w:hAnsi="Arial" w:cs="Arial"/>
          <w:i/>
          <w:iCs/>
        </w:rPr>
        <w:t xml:space="preserve">Jones </w:t>
      </w:r>
      <w:r w:rsidR="00462D3A">
        <w:rPr>
          <w:rFonts w:ascii="Arial" w:hAnsi="Arial" w:cs="Arial"/>
        </w:rPr>
        <w:t xml:space="preserve">and finding prosecutor’s argument improper </w:t>
      </w:r>
      <w:r w:rsidR="002C23B4">
        <w:rPr>
          <w:rFonts w:ascii="Arial" w:hAnsi="Arial" w:cs="Arial"/>
        </w:rPr>
        <w:t>where it referenced nationally salient acts of mass violence in a murder solicitation prosecution involving a defendant who was a high school student</w:t>
      </w:r>
      <w:r w:rsidR="00462D3A">
        <w:rPr>
          <w:rFonts w:ascii="Arial" w:hAnsi="Arial" w:cs="Arial"/>
        </w:rPr>
        <w:t>)</w:t>
      </w:r>
      <w:r w:rsidR="008061DE">
        <w:rPr>
          <w:rFonts w:ascii="Arial" w:hAnsi="Arial" w:cs="Arial"/>
        </w:rPr>
        <w:t xml:space="preserve">; State v. Reber, </w:t>
      </w:r>
      <w:r w:rsidR="00500808">
        <w:rPr>
          <w:rFonts w:ascii="Arial" w:hAnsi="Arial" w:cs="Arial"/>
        </w:rPr>
        <w:t>386</w:t>
      </w:r>
      <w:r w:rsidR="00673BB0">
        <w:rPr>
          <w:rFonts w:ascii="Arial" w:hAnsi="Arial" w:cs="Arial"/>
        </w:rPr>
        <w:t xml:space="preserve"> N.C. </w:t>
      </w:r>
      <w:r w:rsidR="00500808">
        <w:rPr>
          <w:rFonts w:ascii="Arial" w:hAnsi="Arial" w:cs="Arial"/>
        </w:rPr>
        <w:t>153, 164</w:t>
      </w:r>
      <w:r w:rsidR="008F3763">
        <w:rPr>
          <w:rFonts w:ascii="Arial" w:hAnsi="Arial" w:cs="Arial"/>
        </w:rPr>
        <w:t xml:space="preserve"> </w:t>
      </w:r>
      <w:r w:rsidR="008061DE">
        <w:rPr>
          <w:rFonts w:ascii="Arial" w:hAnsi="Arial" w:cs="Arial"/>
        </w:rPr>
        <w:t>(202</w:t>
      </w:r>
      <w:r w:rsidR="00673BB0">
        <w:rPr>
          <w:rFonts w:ascii="Arial" w:hAnsi="Arial" w:cs="Arial"/>
        </w:rPr>
        <w:t>4</w:t>
      </w:r>
      <w:r w:rsidR="008061DE">
        <w:rPr>
          <w:rFonts w:ascii="Arial" w:hAnsi="Arial" w:cs="Arial"/>
        </w:rPr>
        <w:t xml:space="preserve">) (improper for prosecutor to make </w:t>
      </w:r>
      <w:r w:rsidR="00411162">
        <w:rPr>
          <w:rFonts w:ascii="Arial" w:hAnsi="Arial" w:cs="Arial"/>
        </w:rPr>
        <w:t>baseless</w:t>
      </w:r>
      <w:r w:rsidR="008061DE">
        <w:rPr>
          <w:rFonts w:ascii="Arial" w:hAnsi="Arial" w:cs="Arial"/>
        </w:rPr>
        <w:t xml:space="preserve"> inference that defendant spread sexually transmitted diseases to or impregnated </w:t>
      </w:r>
      <w:r w:rsidR="008061DE">
        <w:rPr>
          <w:rFonts w:ascii="Arial" w:hAnsi="Arial" w:cs="Arial"/>
        </w:rPr>
        <w:lastRenderedPageBreak/>
        <w:t xml:space="preserve">alleged child victim as </w:t>
      </w:r>
      <w:r w:rsidR="00223E22">
        <w:rPr>
          <w:rFonts w:ascii="Arial" w:hAnsi="Arial" w:cs="Arial"/>
        </w:rPr>
        <w:t xml:space="preserve">the </w:t>
      </w:r>
      <w:r w:rsidR="00411162">
        <w:rPr>
          <w:rFonts w:ascii="Arial" w:hAnsi="Arial" w:cs="Arial"/>
        </w:rPr>
        <w:t>unsupported</w:t>
      </w:r>
      <w:r w:rsidR="00223E22">
        <w:rPr>
          <w:rFonts w:ascii="Arial" w:hAnsi="Arial" w:cs="Arial"/>
        </w:rPr>
        <w:t xml:space="preserve"> inflammatory argument appealed to passion or prejudice</w:t>
      </w:r>
      <w:r w:rsidR="008061DE">
        <w:rPr>
          <w:rFonts w:ascii="Arial" w:hAnsi="Arial" w:cs="Arial"/>
        </w:rPr>
        <w:t>)</w:t>
      </w:r>
      <w:r w:rsidRPr="00641284">
        <w:rPr>
          <w:rFonts w:ascii="Arial" w:hAnsi="Arial" w:cs="Arial"/>
        </w:rPr>
        <w:t>.</w:t>
      </w:r>
    </w:p>
    <w:p w14:paraId="11C7EACD" w14:textId="0DAF47C6" w:rsidR="007B6333" w:rsidRPr="00641284" w:rsidRDefault="007B6333" w:rsidP="00DB30BF">
      <w:pPr>
        <w:pStyle w:val="ListParagraph"/>
        <w:numPr>
          <w:ilvl w:val="2"/>
          <w:numId w:val="8"/>
        </w:numPr>
        <w:spacing w:after="0" w:line="240" w:lineRule="auto"/>
        <w:rPr>
          <w:rFonts w:ascii="Arial" w:hAnsi="Arial" w:cs="Arial"/>
        </w:rPr>
      </w:pPr>
      <w:bookmarkStart w:id="48" w:name="_Toc402880726"/>
      <w:bookmarkStart w:id="49" w:name="_Toc209539202"/>
      <w:r w:rsidRPr="00304356">
        <w:rPr>
          <w:rStyle w:val="Heading3Char"/>
        </w:rPr>
        <w:t>Lack of Candor and Unfairness</w:t>
      </w:r>
      <w:bookmarkEnd w:id="48"/>
      <w:bookmarkEnd w:id="49"/>
      <w:r w:rsidRPr="00641284">
        <w:rPr>
          <w:rFonts w:ascii="Arial" w:hAnsi="Arial" w:cs="Arial"/>
          <w:b/>
          <w:bCs/>
        </w:rPr>
        <w:t>.</w:t>
      </w:r>
      <w:r w:rsidRPr="00641284">
        <w:rPr>
          <w:rFonts w:ascii="Arial" w:hAnsi="Arial" w:cs="Arial"/>
        </w:rPr>
        <w:t xml:space="preserve"> “The conduct of the lawyers before the court and with other lawyers should be characterized by candor and fairness.” N.C. </w:t>
      </w:r>
      <w:r w:rsidRPr="00641284">
        <w:rPr>
          <w:rFonts w:ascii="Arial" w:hAnsi="Arial" w:cs="Arial"/>
          <w:smallCaps/>
        </w:rPr>
        <w:t xml:space="preserve">R. Super. and Dist. </w:t>
      </w:r>
      <w:proofErr w:type="spellStart"/>
      <w:r w:rsidRPr="00641284">
        <w:rPr>
          <w:rFonts w:ascii="Arial" w:hAnsi="Arial" w:cs="Arial"/>
          <w:smallCaps/>
        </w:rPr>
        <w:t>Cts</w:t>
      </w:r>
      <w:proofErr w:type="spellEnd"/>
      <w:r w:rsidRPr="00641284">
        <w:rPr>
          <w:rFonts w:ascii="Arial" w:hAnsi="Arial" w:cs="Arial"/>
          <w:smallCaps/>
        </w:rPr>
        <w:t>.</w:t>
      </w:r>
      <w:r w:rsidRPr="00641284">
        <w:rPr>
          <w:rFonts w:ascii="Arial" w:hAnsi="Arial" w:cs="Arial"/>
        </w:rPr>
        <w:t xml:space="preserve"> Rule 12. Thus, for example, counsel should not “‘not knowingly misinterpret . . . the language or argument of opposite counsel.’” State v. Phillips, 365 N.C. 103, 136-37 (2011) (quoting R. 12; prosecutor improperly suggested that defense counsel had admitted the defendant’s guilt to first-degree murder).</w:t>
      </w:r>
    </w:p>
    <w:p w14:paraId="3D877E22" w14:textId="77777777" w:rsidR="007B6333" w:rsidRPr="00641284" w:rsidRDefault="007B6333" w:rsidP="00DB30BF">
      <w:pPr>
        <w:pStyle w:val="ListParagraph"/>
        <w:numPr>
          <w:ilvl w:val="0"/>
          <w:numId w:val="8"/>
        </w:numPr>
        <w:spacing w:after="0" w:line="240" w:lineRule="auto"/>
        <w:rPr>
          <w:rFonts w:ascii="Arial" w:hAnsi="Arial" w:cs="Arial"/>
        </w:rPr>
      </w:pPr>
      <w:bookmarkStart w:id="50" w:name="_Toc402880165"/>
      <w:bookmarkStart w:id="51" w:name="_Toc402880727"/>
      <w:bookmarkStart w:id="52" w:name="_Toc209539203"/>
      <w:r w:rsidRPr="00CF4FBE">
        <w:rPr>
          <w:rStyle w:val="Heading2Char"/>
        </w:rPr>
        <w:t>Specific Types of Impermissible Arguments</w:t>
      </w:r>
      <w:bookmarkEnd w:id="50"/>
      <w:bookmarkEnd w:id="51"/>
      <w:bookmarkEnd w:id="52"/>
      <w:r w:rsidRPr="00641284">
        <w:rPr>
          <w:rFonts w:ascii="Arial" w:hAnsi="Arial" w:cs="Arial"/>
          <w:b/>
          <w:bCs/>
        </w:rPr>
        <w:t>.</w:t>
      </w:r>
    </w:p>
    <w:p w14:paraId="11FEB905" w14:textId="77777777" w:rsidR="007B6333" w:rsidRPr="00641284" w:rsidRDefault="007B6333" w:rsidP="00DB30BF">
      <w:pPr>
        <w:pStyle w:val="ListParagraph"/>
        <w:numPr>
          <w:ilvl w:val="2"/>
          <w:numId w:val="8"/>
        </w:numPr>
        <w:spacing w:after="0" w:line="240" w:lineRule="auto"/>
        <w:rPr>
          <w:rFonts w:ascii="Arial" w:hAnsi="Arial" w:cs="Arial"/>
        </w:rPr>
      </w:pPr>
      <w:bookmarkStart w:id="53" w:name="_Toc402880728"/>
      <w:bookmarkStart w:id="54" w:name="_Toc209539204"/>
      <w:r w:rsidRPr="00CF4FBE">
        <w:rPr>
          <w:rStyle w:val="Heading3Char"/>
        </w:rPr>
        <w:t>Matters Outside the Record</w:t>
      </w:r>
      <w:bookmarkEnd w:id="53"/>
      <w:bookmarkEnd w:id="54"/>
      <w:r w:rsidRPr="00641284">
        <w:rPr>
          <w:rFonts w:ascii="Arial" w:hAnsi="Arial" w:cs="Arial"/>
          <w:b/>
          <w:bCs/>
        </w:rPr>
        <w:t xml:space="preserve">. </w:t>
      </w:r>
      <w:r w:rsidRPr="00641284">
        <w:rPr>
          <w:rFonts w:ascii="Arial" w:hAnsi="Arial" w:cs="Arial"/>
        </w:rPr>
        <w:t>A lawyer may not make arguments based on matters outside the record except for matters that are the proper subject of judicial notice. G.S. 15A-1230(a).</w:t>
      </w:r>
    </w:p>
    <w:p w14:paraId="49E4E2ED" w14:textId="593BDF95" w:rsidR="00B00607" w:rsidRDefault="007B6333" w:rsidP="00DB30BF">
      <w:pPr>
        <w:pStyle w:val="ListParagraph"/>
        <w:numPr>
          <w:ilvl w:val="3"/>
          <w:numId w:val="8"/>
        </w:numPr>
        <w:spacing w:after="0" w:line="240" w:lineRule="auto"/>
        <w:ind w:hanging="720"/>
        <w:rPr>
          <w:rFonts w:ascii="Arial" w:hAnsi="Arial" w:cs="Arial"/>
        </w:rPr>
      </w:pPr>
      <w:r w:rsidRPr="00641284">
        <w:rPr>
          <w:rFonts w:ascii="Arial" w:hAnsi="Arial" w:cs="Arial"/>
          <w:b/>
          <w:bCs/>
        </w:rPr>
        <w:t>Facts Not in Evidence</w:t>
      </w:r>
      <w:r w:rsidR="000B1C12">
        <w:rPr>
          <w:rFonts w:ascii="Arial" w:hAnsi="Arial" w:cs="Arial"/>
          <w:b/>
          <w:bCs/>
        </w:rPr>
        <w:t xml:space="preserve"> or Misstatement of Facts</w:t>
      </w:r>
      <w:r w:rsidR="00FB164D">
        <w:rPr>
          <w:rFonts w:ascii="Arial" w:hAnsi="Arial" w:cs="Arial"/>
          <w:b/>
          <w:bCs/>
        </w:rPr>
        <w:t xml:space="preserve"> in Evidence</w:t>
      </w:r>
      <w:r w:rsidRPr="00641284">
        <w:rPr>
          <w:rFonts w:ascii="Arial" w:hAnsi="Arial" w:cs="Arial"/>
          <w:b/>
          <w:bCs/>
        </w:rPr>
        <w:t xml:space="preserve">. </w:t>
      </w:r>
      <w:r w:rsidRPr="00641284">
        <w:rPr>
          <w:rFonts w:ascii="Arial" w:hAnsi="Arial" w:cs="Arial"/>
        </w:rPr>
        <w:t xml:space="preserve">A lawyer may not argue facts that are not in evidence. </w:t>
      </w:r>
      <w:r w:rsidRPr="00641284">
        <w:rPr>
          <w:rFonts w:ascii="Arial" w:hAnsi="Arial" w:cs="Arial"/>
          <w:i/>
          <w:iCs/>
        </w:rPr>
        <w:t xml:space="preserve">See, e.g., </w:t>
      </w:r>
      <w:r w:rsidRPr="00641284">
        <w:rPr>
          <w:rFonts w:ascii="Arial" w:hAnsi="Arial" w:cs="Arial"/>
        </w:rPr>
        <w:t xml:space="preserve">State v. Jones, 355 N.C. 117, 132 (2002) (improper to refer to the Columbine school shooting and the Oklahoma City federal building bombing as those events were outside of the record); </w:t>
      </w:r>
      <w:r w:rsidR="009D165F">
        <w:rPr>
          <w:rFonts w:ascii="Arial" w:hAnsi="Arial" w:cs="Arial"/>
        </w:rPr>
        <w:t xml:space="preserve">State v. Reber, </w:t>
      </w:r>
      <w:r w:rsidR="00500808">
        <w:rPr>
          <w:rFonts w:ascii="Arial" w:hAnsi="Arial" w:cs="Arial"/>
        </w:rPr>
        <w:t>386</w:t>
      </w:r>
      <w:r w:rsidR="00673BB0">
        <w:rPr>
          <w:rFonts w:ascii="Arial" w:hAnsi="Arial" w:cs="Arial"/>
        </w:rPr>
        <w:t xml:space="preserve"> N.C. </w:t>
      </w:r>
      <w:r w:rsidR="00500808">
        <w:rPr>
          <w:rFonts w:ascii="Arial" w:hAnsi="Arial" w:cs="Arial"/>
        </w:rPr>
        <w:t>153, 165</w:t>
      </w:r>
      <w:r w:rsidR="008F3763">
        <w:rPr>
          <w:rFonts w:ascii="Arial" w:hAnsi="Arial" w:cs="Arial"/>
        </w:rPr>
        <w:t xml:space="preserve"> </w:t>
      </w:r>
      <w:r w:rsidR="009D165F">
        <w:rPr>
          <w:rFonts w:ascii="Arial" w:hAnsi="Arial" w:cs="Arial"/>
        </w:rPr>
        <w:t>(202</w:t>
      </w:r>
      <w:r w:rsidR="00673BB0">
        <w:rPr>
          <w:rFonts w:ascii="Arial" w:hAnsi="Arial" w:cs="Arial"/>
        </w:rPr>
        <w:t>4</w:t>
      </w:r>
      <w:r w:rsidR="009D165F">
        <w:rPr>
          <w:rFonts w:ascii="Arial" w:hAnsi="Arial" w:cs="Arial"/>
        </w:rPr>
        <w:t xml:space="preserve">) (improper for prosecutor to infer that defendant spread sexually transmitted diseases to or impregnated alleged </w:t>
      </w:r>
      <w:r w:rsidR="008061DE">
        <w:rPr>
          <w:rFonts w:ascii="Arial" w:hAnsi="Arial" w:cs="Arial"/>
        </w:rPr>
        <w:t xml:space="preserve">child </w:t>
      </w:r>
      <w:r w:rsidR="009D165F">
        <w:rPr>
          <w:rFonts w:ascii="Arial" w:hAnsi="Arial" w:cs="Arial"/>
        </w:rPr>
        <w:t>victim where there was no evidence</w:t>
      </w:r>
      <w:r w:rsidR="008061DE">
        <w:rPr>
          <w:rFonts w:ascii="Arial" w:hAnsi="Arial" w:cs="Arial"/>
        </w:rPr>
        <w:t xml:space="preserve"> in the record supporting that inference</w:t>
      </w:r>
      <w:r w:rsidR="009D165F">
        <w:rPr>
          <w:rFonts w:ascii="Arial" w:hAnsi="Arial" w:cs="Arial"/>
        </w:rPr>
        <w:t xml:space="preserve">); </w:t>
      </w:r>
      <w:r w:rsidRPr="00641284">
        <w:rPr>
          <w:rFonts w:ascii="Arial" w:hAnsi="Arial" w:cs="Arial"/>
        </w:rPr>
        <w:t xml:space="preserve">State v. Caldwell, 68 N.C. App. 488, 489 (1984) (improper for prosecutor to make assertions about why a witness did not testify when that explanation was not supported by the evidence); </w:t>
      </w:r>
      <w:r w:rsidRPr="00641284">
        <w:rPr>
          <w:rFonts w:ascii="Arial" w:hAnsi="Arial" w:cs="Arial"/>
          <w:i/>
          <w:iCs/>
        </w:rPr>
        <w:t>see also</w:t>
      </w:r>
      <w:r w:rsidRPr="00641284">
        <w:rPr>
          <w:rFonts w:ascii="Arial" w:hAnsi="Arial" w:cs="Arial"/>
        </w:rPr>
        <w:t xml:space="preserve"> N.C. </w:t>
      </w:r>
      <w:r w:rsidRPr="00641284">
        <w:rPr>
          <w:rFonts w:ascii="Arial" w:hAnsi="Arial" w:cs="Arial"/>
          <w:smallCaps/>
        </w:rPr>
        <w:t xml:space="preserve">R. </w:t>
      </w:r>
      <w:proofErr w:type="spellStart"/>
      <w:r w:rsidRPr="00641284">
        <w:rPr>
          <w:rFonts w:ascii="Arial" w:hAnsi="Arial" w:cs="Arial"/>
          <w:smallCaps/>
        </w:rPr>
        <w:t>Prof’l</w:t>
      </w:r>
      <w:proofErr w:type="spellEnd"/>
      <w:r w:rsidRPr="00641284">
        <w:rPr>
          <w:rFonts w:ascii="Arial" w:hAnsi="Arial" w:cs="Arial"/>
          <w:smallCaps/>
        </w:rPr>
        <w:t xml:space="preserve"> Conduct </w:t>
      </w:r>
      <w:r w:rsidRPr="00641284">
        <w:rPr>
          <w:rFonts w:ascii="Arial" w:hAnsi="Arial" w:cs="Arial"/>
        </w:rPr>
        <w:t>Rule 3.4</w:t>
      </w:r>
      <w:r w:rsidR="00FC279D">
        <w:rPr>
          <w:rFonts w:ascii="Arial" w:hAnsi="Arial" w:cs="Arial"/>
        </w:rPr>
        <w:t>(e)</w:t>
      </w:r>
      <w:r w:rsidRPr="00641284">
        <w:rPr>
          <w:rFonts w:ascii="Arial" w:hAnsi="Arial" w:cs="Arial"/>
        </w:rPr>
        <w:t xml:space="preserve"> (lawyer may not “allude to any matter . . . that will not be supported by admissible evidence”). </w:t>
      </w:r>
    </w:p>
    <w:p w14:paraId="740CA00C" w14:textId="5F60FF96" w:rsidR="007B6333" w:rsidRDefault="00B00607" w:rsidP="00DB30BF">
      <w:pPr>
        <w:pStyle w:val="ListParagraph"/>
        <w:spacing w:after="0" w:line="240" w:lineRule="auto"/>
        <w:ind w:left="2880" w:firstLine="720"/>
        <w:rPr>
          <w:rFonts w:ascii="Arial" w:hAnsi="Arial" w:cs="Arial"/>
        </w:rPr>
      </w:pPr>
      <w:r>
        <w:rPr>
          <w:rFonts w:ascii="Arial" w:hAnsi="Arial" w:cs="Arial"/>
        </w:rPr>
        <w:t xml:space="preserve">It also is improper for a lawyer to misstate the facts </w:t>
      </w:r>
      <w:r w:rsidR="008B3A28">
        <w:rPr>
          <w:rFonts w:ascii="Arial" w:hAnsi="Arial" w:cs="Arial"/>
        </w:rPr>
        <w:t>that</w:t>
      </w:r>
      <w:r>
        <w:rPr>
          <w:rFonts w:ascii="Arial" w:hAnsi="Arial" w:cs="Arial"/>
        </w:rPr>
        <w:t xml:space="preserve"> are in evidence, though </w:t>
      </w:r>
      <w:r w:rsidR="00C42F9F">
        <w:rPr>
          <w:rFonts w:ascii="Arial" w:hAnsi="Arial" w:cs="Arial"/>
        </w:rPr>
        <w:t xml:space="preserve">appellate </w:t>
      </w:r>
      <w:r>
        <w:rPr>
          <w:rFonts w:ascii="Arial" w:hAnsi="Arial" w:cs="Arial"/>
        </w:rPr>
        <w:t xml:space="preserve">courts are reluctant to find prejudicial error in situations where a misstatement is unintentional or </w:t>
      </w:r>
      <w:r w:rsidR="00345CAE">
        <w:rPr>
          <w:rFonts w:ascii="Arial" w:hAnsi="Arial" w:cs="Arial"/>
        </w:rPr>
        <w:t xml:space="preserve">constitutes </w:t>
      </w:r>
      <w:r>
        <w:rPr>
          <w:rFonts w:ascii="Arial" w:hAnsi="Arial" w:cs="Arial"/>
        </w:rPr>
        <w:t>a small portion of an otherwise proper argument. State v. Parker, 377 N.C. 466, 473 (2021) (</w:t>
      </w:r>
      <w:r w:rsidR="008B3A28">
        <w:rPr>
          <w:rFonts w:ascii="Arial" w:hAnsi="Arial" w:cs="Arial"/>
        </w:rPr>
        <w:t xml:space="preserve">trial court did not abuse its discretion by failing to intervene </w:t>
      </w:r>
      <w:r w:rsidR="008B3A28">
        <w:rPr>
          <w:rFonts w:ascii="Arial" w:hAnsi="Arial" w:cs="Arial"/>
          <w:i/>
          <w:iCs/>
        </w:rPr>
        <w:t xml:space="preserve">ex </w:t>
      </w:r>
      <w:proofErr w:type="spellStart"/>
      <w:r w:rsidR="008B3A28">
        <w:rPr>
          <w:rFonts w:ascii="Arial" w:hAnsi="Arial" w:cs="Arial"/>
          <w:i/>
          <w:iCs/>
        </w:rPr>
        <w:t>mero</w:t>
      </w:r>
      <w:proofErr w:type="spellEnd"/>
      <w:r w:rsidR="008B3A28">
        <w:rPr>
          <w:rFonts w:ascii="Arial" w:hAnsi="Arial" w:cs="Arial"/>
          <w:i/>
          <w:iCs/>
        </w:rPr>
        <w:t xml:space="preserve"> motu </w:t>
      </w:r>
      <w:r w:rsidR="008B3A28">
        <w:rPr>
          <w:rFonts w:ascii="Arial" w:hAnsi="Arial" w:cs="Arial"/>
        </w:rPr>
        <w:t xml:space="preserve">to correct </w:t>
      </w:r>
      <w:r>
        <w:rPr>
          <w:rFonts w:ascii="Arial" w:hAnsi="Arial" w:cs="Arial"/>
        </w:rPr>
        <w:t>prosecutor’s unintentional misstatements concerning the location of defendant’s tattoos; “</w:t>
      </w:r>
      <w:r w:rsidRPr="00B00607">
        <w:rPr>
          <w:rFonts w:ascii="Arial" w:hAnsi="Arial" w:cs="Arial"/>
        </w:rPr>
        <w:t>We decline to impose a perfection requirement on the attorneys and trial courts of this State, ever mindful that parties are entitled to a fair trial but not a perfect one.”</w:t>
      </w:r>
      <w:r>
        <w:rPr>
          <w:rFonts w:ascii="Arial" w:hAnsi="Arial" w:cs="Arial"/>
        </w:rPr>
        <w:t xml:space="preserve"> (internal quotation omitted)); State v. McNeill, 371 N.C. 198, 251 (2018) (in a murder case where defense counsel revealed the location of the victim’s body to law enforcement without revealing the defendant as the source of that information, it was improper for the prosecutor argue that the body was found “where the defendant’s lawyer said [the defendant] put the body”; </w:t>
      </w:r>
      <w:r w:rsidR="008B3A28">
        <w:rPr>
          <w:rFonts w:ascii="Arial" w:hAnsi="Arial" w:cs="Arial"/>
        </w:rPr>
        <w:t>trial court did not abuse its discretion by denying defendant’s motion for mistrial as the remark was part of an otherwise proper argument inferring that the defendant was the source of the information</w:t>
      </w:r>
      <w:r>
        <w:rPr>
          <w:rFonts w:ascii="Arial" w:hAnsi="Arial" w:cs="Arial"/>
        </w:rPr>
        <w:t>)</w:t>
      </w:r>
      <w:r w:rsidR="000342B1">
        <w:rPr>
          <w:rFonts w:ascii="Arial" w:hAnsi="Arial" w:cs="Arial"/>
        </w:rPr>
        <w:t xml:space="preserve">; State v. Scott, 343 N.C. 313, 344-45 (1996) (trial court did not err by failing to intervene </w:t>
      </w:r>
      <w:r w:rsidR="000342B1">
        <w:rPr>
          <w:rFonts w:ascii="Arial" w:hAnsi="Arial" w:cs="Arial"/>
          <w:i/>
          <w:iCs/>
        </w:rPr>
        <w:t xml:space="preserve">ex </w:t>
      </w:r>
      <w:proofErr w:type="spellStart"/>
      <w:r w:rsidR="000342B1">
        <w:rPr>
          <w:rFonts w:ascii="Arial" w:hAnsi="Arial" w:cs="Arial"/>
          <w:i/>
          <w:iCs/>
        </w:rPr>
        <w:t>mero</w:t>
      </w:r>
      <w:proofErr w:type="spellEnd"/>
      <w:r w:rsidR="000342B1">
        <w:rPr>
          <w:rFonts w:ascii="Arial" w:hAnsi="Arial" w:cs="Arial"/>
          <w:i/>
          <w:iCs/>
        </w:rPr>
        <w:t xml:space="preserve"> motu</w:t>
      </w:r>
      <w:r w:rsidR="000342B1">
        <w:rPr>
          <w:rFonts w:ascii="Arial" w:hAnsi="Arial" w:cs="Arial"/>
        </w:rPr>
        <w:t xml:space="preserve"> to correct prosecutor’s “slight” mix-up of facts concerning two different assaults)</w:t>
      </w:r>
      <w:r>
        <w:rPr>
          <w:rFonts w:ascii="Arial" w:hAnsi="Arial" w:cs="Arial"/>
        </w:rPr>
        <w:t>.</w:t>
      </w:r>
      <w:r w:rsidR="000B1C12">
        <w:rPr>
          <w:rFonts w:ascii="Arial" w:hAnsi="Arial" w:cs="Arial"/>
        </w:rPr>
        <w:t xml:space="preserve"> The pattern jury instruction for remarks to jurors before final arguments, NCPI Crim. 101.37, specifically admonishes jurors to be guided </w:t>
      </w:r>
      <w:r w:rsidR="000B1C12">
        <w:rPr>
          <w:rFonts w:ascii="Arial" w:hAnsi="Arial" w:cs="Arial"/>
        </w:rPr>
        <w:lastRenderedPageBreak/>
        <w:t>exclusively by their recollection of the evidence if it differs from that recounted by a lawyer.</w:t>
      </w:r>
    </w:p>
    <w:p w14:paraId="48ECB236" w14:textId="5EA20392" w:rsidR="0060720C" w:rsidRPr="00641284" w:rsidRDefault="0060720C" w:rsidP="00DB30BF">
      <w:pPr>
        <w:pStyle w:val="ListParagraph"/>
        <w:spacing w:after="0" w:line="240" w:lineRule="auto"/>
        <w:ind w:left="2880" w:firstLine="720"/>
        <w:rPr>
          <w:rFonts w:ascii="Arial" w:hAnsi="Arial" w:cs="Arial"/>
        </w:rPr>
      </w:pPr>
      <w:r>
        <w:rPr>
          <w:rFonts w:ascii="Arial" w:hAnsi="Arial" w:cs="Arial"/>
        </w:rPr>
        <w:t xml:space="preserve">A related issue to improperly misstating the facts in evidence is improperly misstating the purpose for which certain facts have been admitted into evidence. </w:t>
      </w:r>
      <w:r w:rsidR="00A1292F">
        <w:rPr>
          <w:rFonts w:ascii="Arial" w:hAnsi="Arial" w:cs="Arial"/>
        </w:rPr>
        <w:t>When</w:t>
      </w:r>
      <w:r>
        <w:rPr>
          <w:rFonts w:ascii="Arial" w:hAnsi="Arial" w:cs="Arial"/>
        </w:rPr>
        <w:t xml:space="preserve"> evidence is introduced </w:t>
      </w:r>
      <w:r w:rsidR="000C1E76">
        <w:rPr>
          <w:rFonts w:ascii="Arial" w:hAnsi="Arial" w:cs="Arial"/>
        </w:rPr>
        <w:t>under</w:t>
      </w:r>
      <w:r>
        <w:rPr>
          <w:rFonts w:ascii="Arial" w:hAnsi="Arial" w:cs="Arial"/>
        </w:rPr>
        <w:t xml:space="preserve"> an evidentiary rule specifically limiting the purpose for which it may be used, it is improper to argue that the jury should consider the evidence for another purpose. </w:t>
      </w:r>
      <w:r>
        <w:rPr>
          <w:rFonts w:ascii="Arial" w:hAnsi="Arial" w:cs="Arial"/>
          <w:i/>
          <w:iCs/>
        </w:rPr>
        <w:t>See, e.g.</w:t>
      </w:r>
      <w:r>
        <w:rPr>
          <w:rFonts w:ascii="Arial" w:hAnsi="Arial" w:cs="Arial"/>
        </w:rPr>
        <w:t>, State v. Tucker, 317 N.C. 532, 542-43 (1986) (improper as a material misstatement of the evidence for prosecutor to argue that the jury should consider defendant’s prior convictions as substantive evidence of guilt when the convictions were introduced solely for impeachment under Rule 609)</w:t>
      </w:r>
      <w:r w:rsidR="006722AF">
        <w:rPr>
          <w:rFonts w:ascii="Arial" w:hAnsi="Arial" w:cs="Arial"/>
        </w:rPr>
        <w:t xml:space="preserve">; </w:t>
      </w:r>
      <w:r w:rsidR="006722AF">
        <w:rPr>
          <w:rFonts w:ascii="Arial" w:hAnsi="Arial" w:cs="Arial"/>
          <w:i/>
          <w:iCs/>
        </w:rPr>
        <w:t xml:space="preserve">see also </w:t>
      </w:r>
      <w:r w:rsidR="006722AF">
        <w:rPr>
          <w:rFonts w:ascii="Arial" w:hAnsi="Arial" w:cs="Arial"/>
        </w:rPr>
        <w:t xml:space="preserve">State v. </w:t>
      </w:r>
      <w:proofErr w:type="spellStart"/>
      <w:r w:rsidR="006722AF">
        <w:rPr>
          <w:rFonts w:ascii="Arial" w:hAnsi="Arial" w:cs="Arial"/>
        </w:rPr>
        <w:t>Phachoumphone</w:t>
      </w:r>
      <w:proofErr w:type="spellEnd"/>
      <w:r w:rsidR="006722AF">
        <w:rPr>
          <w:rFonts w:ascii="Arial" w:hAnsi="Arial" w:cs="Arial"/>
        </w:rPr>
        <w:t xml:space="preserve">, 257 N.C. App. 848, 864-65 (2018) (improper for prosecutor to recite impeachment evidence of witness’s prior inconsistent statement as </w:t>
      </w:r>
      <w:r w:rsidR="00A1292F">
        <w:rPr>
          <w:rFonts w:ascii="Arial" w:hAnsi="Arial" w:cs="Arial"/>
        </w:rPr>
        <w:t>though</w:t>
      </w:r>
      <w:r w:rsidR="007F13CC">
        <w:rPr>
          <w:rFonts w:ascii="Arial" w:hAnsi="Arial" w:cs="Arial"/>
        </w:rPr>
        <w:t xml:space="preserve"> </w:t>
      </w:r>
      <w:r w:rsidR="000C1E76">
        <w:rPr>
          <w:rFonts w:ascii="Arial" w:hAnsi="Arial" w:cs="Arial"/>
        </w:rPr>
        <w:t>statement</w:t>
      </w:r>
      <w:r w:rsidR="006722AF">
        <w:rPr>
          <w:rFonts w:ascii="Arial" w:hAnsi="Arial" w:cs="Arial"/>
        </w:rPr>
        <w:t xml:space="preserve"> was substantive evidence)</w:t>
      </w:r>
      <w:r>
        <w:rPr>
          <w:rFonts w:ascii="Arial" w:hAnsi="Arial" w:cs="Arial"/>
        </w:rPr>
        <w:t>.</w:t>
      </w:r>
    </w:p>
    <w:p w14:paraId="2364E525" w14:textId="77777777" w:rsidR="007B6333" w:rsidRPr="00641284" w:rsidRDefault="007B6333" w:rsidP="00DB30BF">
      <w:pPr>
        <w:pStyle w:val="ListParagraph"/>
        <w:numPr>
          <w:ilvl w:val="3"/>
          <w:numId w:val="8"/>
        </w:numPr>
        <w:spacing w:after="0" w:line="240" w:lineRule="auto"/>
        <w:ind w:hanging="720"/>
        <w:rPr>
          <w:rFonts w:ascii="Arial" w:hAnsi="Arial" w:cs="Arial"/>
        </w:rPr>
      </w:pPr>
      <w:r w:rsidRPr="00641284">
        <w:rPr>
          <w:rFonts w:ascii="Arial" w:hAnsi="Arial" w:cs="Arial"/>
          <w:b/>
          <w:bCs/>
        </w:rPr>
        <w:t>Trial Court’s Legal Rulings.</w:t>
      </w:r>
      <w:r w:rsidRPr="00641284">
        <w:rPr>
          <w:rFonts w:ascii="Arial" w:hAnsi="Arial" w:cs="Arial"/>
        </w:rPr>
        <w:t xml:space="preserve"> A lawyer may not introduce into argument legal rulings of the trial court. State v. Allen, 353 N.C. 504, 508-11 (2001) (new trial required when the prosecutor argued to the jury with respect to hearsay statements admitted at trial: “the Court let you hear it, because the Court found they were trustworthy and reliable </w:t>
      </w:r>
      <w:proofErr w:type="gramStart"/>
      <w:r w:rsidRPr="00641284">
        <w:rPr>
          <w:rFonts w:ascii="Arial" w:hAnsi="Arial" w:cs="Arial"/>
        </w:rPr>
        <w:t>. . . .</w:t>
      </w:r>
      <w:proofErr w:type="gramEnd"/>
      <w:r w:rsidRPr="00641284">
        <w:rPr>
          <w:rFonts w:ascii="Arial" w:hAnsi="Arial" w:cs="Arial"/>
        </w:rPr>
        <w:t xml:space="preserve"> If there had been anything wrong with that evidence, you would not have heard that”; the court cautioned: “Parties in a trial must take special care against expressing or revealing to the jury legal rulings which have been made by the trial court, as any such disclosures will have the potential for special influence with the jurors.”).</w:t>
      </w:r>
    </w:p>
    <w:p w14:paraId="70B78EC9" w14:textId="75E6494F" w:rsidR="007B6333" w:rsidRPr="00641284" w:rsidRDefault="007B6333" w:rsidP="00DB30BF">
      <w:pPr>
        <w:pStyle w:val="ListParagraph"/>
        <w:numPr>
          <w:ilvl w:val="2"/>
          <w:numId w:val="8"/>
        </w:numPr>
        <w:spacing w:after="0" w:line="240" w:lineRule="auto"/>
        <w:rPr>
          <w:rFonts w:ascii="Arial" w:hAnsi="Arial" w:cs="Arial"/>
        </w:rPr>
      </w:pPr>
      <w:bookmarkStart w:id="55" w:name="_Toc402880729"/>
      <w:bookmarkStart w:id="56" w:name="_Toc209539205"/>
      <w:r w:rsidRPr="00CF4FBE">
        <w:rPr>
          <w:rStyle w:val="Heading3Char"/>
        </w:rPr>
        <w:t>Irrelevant Statements of the Law</w:t>
      </w:r>
      <w:bookmarkEnd w:id="55"/>
      <w:bookmarkEnd w:id="56"/>
      <w:r w:rsidRPr="00641284">
        <w:rPr>
          <w:rFonts w:ascii="Arial" w:hAnsi="Arial" w:cs="Arial"/>
          <w:b/>
          <w:bCs/>
        </w:rPr>
        <w:t xml:space="preserve">. </w:t>
      </w:r>
      <w:r w:rsidRPr="00641284">
        <w:rPr>
          <w:rFonts w:ascii="Arial" w:hAnsi="Arial" w:cs="Arial"/>
        </w:rPr>
        <w:t>Although counsel may argue all relevant law to the jury, see Section I</w:t>
      </w:r>
      <w:r w:rsidR="008B3DD4">
        <w:rPr>
          <w:rFonts w:ascii="Arial" w:hAnsi="Arial" w:cs="Arial"/>
        </w:rPr>
        <w:t>V</w:t>
      </w:r>
      <w:r w:rsidRPr="00641284">
        <w:rPr>
          <w:rFonts w:ascii="Arial" w:hAnsi="Arial" w:cs="Arial"/>
        </w:rPr>
        <w:t xml:space="preserve">.B above, it is improper for counsel to argue points of law that have no bearing on the case at hand. </w:t>
      </w:r>
      <w:r w:rsidRPr="00641284">
        <w:rPr>
          <w:rFonts w:ascii="Arial" w:hAnsi="Arial" w:cs="Arial"/>
          <w:i/>
          <w:iCs/>
        </w:rPr>
        <w:t xml:space="preserve">See, e.g., </w:t>
      </w:r>
      <w:r w:rsidRPr="00641284">
        <w:rPr>
          <w:rFonts w:ascii="Arial" w:hAnsi="Arial" w:cs="Arial"/>
        </w:rPr>
        <w:t>State v. Gardner, 316 N.C. 605</w:t>
      </w:r>
      <w:r w:rsidR="00C24529">
        <w:rPr>
          <w:rFonts w:ascii="Arial" w:hAnsi="Arial" w:cs="Arial"/>
        </w:rPr>
        <w:t>, 609</w:t>
      </w:r>
      <w:r w:rsidRPr="00641284">
        <w:rPr>
          <w:rFonts w:ascii="Arial" w:hAnsi="Arial" w:cs="Arial"/>
        </w:rPr>
        <w:t xml:space="preserve"> (1986) (“Although it is well settled that counsel may argue the law as well as the facts, he may not read to the jury decisions discussing principles of law which are irrelevant to the case and have no application to the facts in evidence.”</w:t>
      </w:r>
      <w:r w:rsidRPr="00641284">
        <w:t xml:space="preserve"> </w:t>
      </w:r>
      <w:r w:rsidRPr="00641284">
        <w:rPr>
          <w:rFonts w:ascii="Arial" w:hAnsi="Arial" w:cs="Arial"/>
        </w:rPr>
        <w:t>(citation omitted)</w:t>
      </w:r>
      <w:r w:rsidR="00C24529">
        <w:rPr>
          <w:rFonts w:ascii="Arial" w:hAnsi="Arial" w:cs="Arial"/>
        </w:rPr>
        <w:t>)</w:t>
      </w:r>
      <w:r w:rsidRPr="00641284">
        <w:rPr>
          <w:rFonts w:ascii="Arial" w:hAnsi="Arial" w:cs="Arial"/>
        </w:rPr>
        <w:t>.</w:t>
      </w:r>
    </w:p>
    <w:p w14:paraId="4CEDA6C3" w14:textId="3E20B8DB" w:rsidR="007B6333" w:rsidRPr="00641284" w:rsidRDefault="007B6333" w:rsidP="00DB30BF">
      <w:pPr>
        <w:pStyle w:val="ListParagraph"/>
        <w:numPr>
          <w:ilvl w:val="2"/>
          <w:numId w:val="8"/>
        </w:numPr>
        <w:spacing w:after="0" w:line="240" w:lineRule="auto"/>
        <w:rPr>
          <w:rFonts w:ascii="Arial" w:hAnsi="Arial" w:cs="Arial"/>
        </w:rPr>
      </w:pPr>
      <w:bookmarkStart w:id="57" w:name="_Toc402880730"/>
      <w:bookmarkStart w:id="58" w:name="_Toc209539206"/>
      <w:r w:rsidRPr="00CF4FBE">
        <w:rPr>
          <w:rStyle w:val="Heading3Char"/>
        </w:rPr>
        <w:t>Incorrect Statements of the Law</w:t>
      </w:r>
      <w:bookmarkEnd w:id="57"/>
      <w:bookmarkEnd w:id="58"/>
      <w:r w:rsidRPr="00641284">
        <w:rPr>
          <w:rFonts w:ascii="Arial" w:hAnsi="Arial" w:cs="Arial"/>
          <w:b/>
          <w:bCs/>
        </w:rPr>
        <w:t xml:space="preserve">. </w:t>
      </w:r>
      <w:r w:rsidRPr="00641284">
        <w:rPr>
          <w:rFonts w:ascii="Arial" w:hAnsi="Arial" w:cs="Arial"/>
        </w:rPr>
        <w:t xml:space="preserve">It is improper for counsel to misstate the law during jury argument. </w:t>
      </w:r>
      <w:r w:rsidR="003A5D8B">
        <w:rPr>
          <w:rFonts w:ascii="Arial" w:hAnsi="Arial" w:cs="Arial"/>
        </w:rPr>
        <w:t xml:space="preserve">State v. Fletcher, 370 N.C. 313, 322 (2017) (prosecutor’s argument was improper where it </w:t>
      </w:r>
      <w:r w:rsidR="00C8743D">
        <w:rPr>
          <w:rFonts w:ascii="Arial" w:hAnsi="Arial" w:cs="Arial"/>
        </w:rPr>
        <w:t>i</w:t>
      </w:r>
      <w:r w:rsidR="006B5027">
        <w:rPr>
          <w:rFonts w:ascii="Arial" w:hAnsi="Arial" w:cs="Arial"/>
        </w:rPr>
        <w:t>ncorrectly</w:t>
      </w:r>
      <w:r w:rsidR="00C8743D">
        <w:rPr>
          <w:rFonts w:ascii="Arial" w:hAnsi="Arial" w:cs="Arial"/>
        </w:rPr>
        <w:t xml:space="preserve"> asserted</w:t>
      </w:r>
      <w:r w:rsidR="006B5027">
        <w:rPr>
          <w:rFonts w:ascii="Arial" w:hAnsi="Arial" w:cs="Arial"/>
        </w:rPr>
        <w:t xml:space="preserve"> </w:t>
      </w:r>
      <w:r w:rsidR="003A5D8B">
        <w:rPr>
          <w:rFonts w:ascii="Arial" w:hAnsi="Arial" w:cs="Arial"/>
        </w:rPr>
        <w:t>that certain conduct would constitute first-degree sexual exploitation of a minor)</w:t>
      </w:r>
      <w:r w:rsidR="0097024C">
        <w:rPr>
          <w:rFonts w:ascii="Arial" w:hAnsi="Arial" w:cs="Arial"/>
        </w:rPr>
        <w:t>; State v. Martin, 248 N.C. App. 84, 90 (2016) (improper for prosecutor to argue in armed robbery case that it made no difference whether a shotgun was loaded as this incorrectly stated the law re</w:t>
      </w:r>
      <w:r w:rsidR="00C8743D">
        <w:rPr>
          <w:rFonts w:ascii="Arial" w:hAnsi="Arial" w:cs="Arial"/>
        </w:rPr>
        <w:t>garding</w:t>
      </w:r>
      <w:r w:rsidR="0097024C">
        <w:rPr>
          <w:rFonts w:ascii="Arial" w:hAnsi="Arial" w:cs="Arial"/>
        </w:rPr>
        <w:t xml:space="preserve"> an element of th</w:t>
      </w:r>
      <w:r w:rsidR="00C24529">
        <w:rPr>
          <w:rFonts w:ascii="Arial" w:hAnsi="Arial" w:cs="Arial"/>
        </w:rPr>
        <w:t>e</w:t>
      </w:r>
      <w:r w:rsidR="0097024C">
        <w:rPr>
          <w:rFonts w:ascii="Arial" w:hAnsi="Arial" w:cs="Arial"/>
        </w:rPr>
        <w:t xml:space="preserve"> offense)</w:t>
      </w:r>
      <w:r w:rsidR="003A5D8B">
        <w:rPr>
          <w:rFonts w:ascii="Arial" w:hAnsi="Arial" w:cs="Arial"/>
        </w:rPr>
        <w:t>. In addition to the straightforward prohibition o</w:t>
      </w:r>
      <w:r w:rsidR="00A1292F">
        <w:rPr>
          <w:rFonts w:ascii="Arial" w:hAnsi="Arial" w:cs="Arial"/>
        </w:rPr>
        <w:t>f</w:t>
      </w:r>
      <w:r w:rsidR="003A5D8B">
        <w:rPr>
          <w:rFonts w:ascii="Arial" w:hAnsi="Arial" w:cs="Arial"/>
        </w:rPr>
        <w:t xml:space="preserve"> </w:t>
      </w:r>
      <w:r w:rsidR="0097024C">
        <w:rPr>
          <w:rFonts w:ascii="Arial" w:hAnsi="Arial" w:cs="Arial"/>
        </w:rPr>
        <w:t>arguments</w:t>
      </w:r>
      <w:r w:rsidR="003A5D8B">
        <w:rPr>
          <w:rFonts w:ascii="Arial" w:hAnsi="Arial" w:cs="Arial"/>
        </w:rPr>
        <w:t xml:space="preserve"> that are</w:t>
      </w:r>
      <w:r w:rsidR="00A1292F">
        <w:rPr>
          <w:rFonts w:ascii="Arial" w:hAnsi="Arial" w:cs="Arial"/>
        </w:rPr>
        <w:t xml:space="preserve"> legally</w:t>
      </w:r>
      <w:r w:rsidR="003A5D8B">
        <w:rPr>
          <w:rFonts w:ascii="Arial" w:hAnsi="Arial" w:cs="Arial"/>
        </w:rPr>
        <w:t xml:space="preserve"> incorrect,</w:t>
      </w:r>
      <w:r w:rsidRPr="00641284">
        <w:rPr>
          <w:rFonts w:ascii="Arial" w:hAnsi="Arial" w:cs="Arial"/>
        </w:rPr>
        <w:t xml:space="preserve"> counsel may not:</w:t>
      </w:r>
    </w:p>
    <w:p w14:paraId="54235656" w14:textId="77777777" w:rsidR="007B6333" w:rsidRPr="00641284" w:rsidRDefault="007B6333" w:rsidP="00DB30BF">
      <w:pPr>
        <w:pStyle w:val="ListParagraph"/>
        <w:numPr>
          <w:ilvl w:val="0"/>
          <w:numId w:val="15"/>
        </w:numPr>
        <w:spacing w:after="0" w:line="240" w:lineRule="auto"/>
        <w:ind w:left="2880"/>
        <w:rPr>
          <w:rFonts w:ascii="Arial" w:hAnsi="Arial" w:cs="Arial"/>
        </w:rPr>
      </w:pPr>
      <w:r w:rsidRPr="00641284">
        <w:rPr>
          <w:rFonts w:ascii="Arial" w:hAnsi="Arial" w:cs="Arial"/>
        </w:rPr>
        <w:t xml:space="preserve">present a statement of the law out of context, </w:t>
      </w:r>
      <w:r w:rsidRPr="00641284">
        <w:rPr>
          <w:rFonts w:ascii="Arial" w:hAnsi="Arial" w:cs="Arial"/>
          <w:i/>
          <w:iCs/>
        </w:rPr>
        <w:t>see, e.g., Gardner</w:t>
      </w:r>
      <w:r w:rsidRPr="00641284">
        <w:rPr>
          <w:rFonts w:ascii="Arial" w:hAnsi="Arial" w:cs="Arial"/>
        </w:rPr>
        <w:t xml:space="preserve">, 316 N.C. at 610, </w:t>
      </w:r>
    </w:p>
    <w:p w14:paraId="6AB416BA" w14:textId="0294BBCD" w:rsidR="007B6333" w:rsidRPr="00641284" w:rsidRDefault="007B6333" w:rsidP="00DB30BF">
      <w:pPr>
        <w:pStyle w:val="ListParagraph"/>
        <w:numPr>
          <w:ilvl w:val="0"/>
          <w:numId w:val="15"/>
        </w:numPr>
        <w:spacing w:after="0" w:line="240" w:lineRule="auto"/>
        <w:ind w:left="2880"/>
        <w:rPr>
          <w:rFonts w:ascii="Arial" w:hAnsi="Arial" w:cs="Arial"/>
        </w:rPr>
      </w:pPr>
      <w:r w:rsidRPr="00641284">
        <w:rPr>
          <w:rFonts w:ascii="Arial" w:hAnsi="Arial" w:cs="Arial"/>
        </w:rPr>
        <w:t xml:space="preserve">read from a dissenting opinion in a reported case, </w:t>
      </w:r>
      <w:r w:rsidRPr="00641284">
        <w:rPr>
          <w:rFonts w:ascii="Arial" w:hAnsi="Arial" w:cs="Arial"/>
          <w:i/>
          <w:iCs/>
        </w:rPr>
        <w:t xml:space="preserve">see, e.g., id. </w:t>
      </w:r>
      <w:r w:rsidRPr="00641284">
        <w:rPr>
          <w:rFonts w:ascii="Arial" w:hAnsi="Arial" w:cs="Arial"/>
        </w:rPr>
        <w:t xml:space="preserve">at 611, or </w:t>
      </w:r>
    </w:p>
    <w:p w14:paraId="19D8D695" w14:textId="77777777" w:rsidR="007B6333" w:rsidRPr="00641284" w:rsidRDefault="007B6333" w:rsidP="00DB30BF">
      <w:pPr>
        <w:pStyle w:val="ListParagraph"/>
        <w:numPr>
          <w:ilvl w:val="0"/>
          <w:numId w:val="15"/>
        </w:numPr>
        <w:spacing w:after="0" w:line="240" w:lineRule="auto"/>
        <w:ind w:left="2880"/>
        <w:rPr>
          <w:rFonts w:ascii="Arial" w:hAnsi="Arial" w:cs="Arial"/>
        </w:rPr>
      </w:pPr>
      <w:r w:rsidRPr="00641284">
        <w:rPr>
          <w:rFonts w:ascii="Arial" w:hAnsi="Arial" w:cs="Arial"/>
        </w:rPr>
        <w:t xml:space="preserve">read from a case that no longer has precedential value, </w:t>
      </w:r>
      <w:r w:rsidRPr="00641284">
        <w:rPr>
          <w:rFonts w:ascii="Arial" w:hAnsi="Arial" w:cs="Arial"/>
          <w:i/>
          <w:iCs/>
        </w:rPr>
        <w:t xml:space="preserve">see, e.g., id. </w:t>
      </w:r>
      <w:r w:rsidRPr="00641284">
        <w:rPr>
          <w:rFonts w:ascii="Arial" w:hAnsi="Arial" w:cs="Arial"/>
        </w:rPr>
        <w:t xml:space="preserve">(trial court did not err by prohibiting defense counsel from </w:t>
      </w:r>
      <w:r w:rsidRPr="00641284">
        <w:rPr>
          <w:rFonts w:ascii="Arial" w:hAnsi="Arial" w:cs="Arial"/>
        </w:rPr>
        <w:lastRenderedPageBreak/>
        <w:t xml:space="preserve">reading from a case when at the time the opinion had no “legal precedential value as part of the body of the law of this State”). </w:t>
      </w:r>
    </w:p>
    <w:p w14:paraId="2EACD305" w14:textId="6BB854B3" w:rsidR="007B6333" w:rsidRDefault="00A1292F" w:rsidP="00DB30BF">
      <w:pPr>
        <w:spacing w:after="0" w:line="240" w:lineRule="auto"/>
        <w:ind w:left="2160"/>
        <w:rPr>
          <w:rFonts w:ascii="Arial" w:hAnsi="Arial" w:cs="Arial"/>
        </w:rPr>
      </w:pPr>
      <w:r>
        <w:rPr>
          <w:rFonts w:ascii="Arial" w:hAnsi="Arial" w:cs="Arial"/>
        </w:rPr>
        <w:t>T</w:t>
      </w:r>
      <w:r w:rsidR="007B6333" w:rsidRPr="00641284">
        <w:rPr>
          <w:rFonts w:ascii="Arial" w:hAnsi="Arial" w:cs="Arial"/>
        </w:rPr>
        <w:t>he prosecutor</w:t>
      </w:r>
      <w:r>
        <w:rPr>
          <w:rFonts w:ascii="Arial" w:hAnsi="Arial" w:cs="Arial"/>
        </w:rPr>
        <w:t xml:space="preserve"> also</w:t>
      </w:r>
      <w:r w:rsidR="007B6333" w:rsidRPr="00641284">
        <w:rPr>
          <w:rFonts w:ascii="Arial" w:hAnsi="Arial" w:cs="Arial"/>
        </w:rPr>
        <w:t xml:space="preserve"> may not make arguments that undermine the presumption of innocence. State v. Wilder, 124 N.C. App. 136, 142-43 (1996) (the prosecutor</w:t>
      </w:r>
      <w:r w:rsidR="008F3763">
        <w:rPr>
          <w:rFonts w:ascii="Arial" w:hAnsi="Arial" w:cs="Arial"/>
        </w:rPr>
        <w:t>’</w:t>
      </w:r>
      <w:r w:rsidR="007B6333" w:rsidRPr="00641284">
        <w:rPr>
          <w:rFonts w:ascii="Arial" w:hAnsi="Arial" w:cs="Arial"/>
        </w:rPr>
        <w:t xml:space="preserve">s remarks improperly undermined the presumption of innocence; the prosecutor implied that by pleading not guilty </w:t>
      </w:r>
      <w:proofErr w:type="gramStart"/>
      <w:r w:rsidR="007B6333" w:rsidRPr="00641284">
        <w:rPr>
          <w:rFonts w:ascii="Arial" w:hAnsi="Arial" w:cs="Arial"/>
        </w:rPr>
        <w:t>in order to</w:t>
      </w:r>
      <w:proofErr w:type="gramEnd"/>
      <w:r w:rsidR="007B6333" w:rsidRPr="00641284">
        <w:rPr>
          <w:rFonts w:ascii="Arial" w:hAnsi="Arial" w:cs="Arial"/>
        </w:rPr>
        <w:t xml:space="preserve"> put the State to its burden of proving the charge against him, the defendant was </w:t>
      </w:r>
      <w:proofErr w:type="gramStart"/>
      <w:r w:rsidR="007B6333" w:rsidRPr="00641284">
        <w:rPr>
          <w:rFonts w:ascii="Arial" w:hAnsi="Arial" w:cs="Arial"/>
        </w:rPr>
        <w:t>really guilty</w:t>
      </w:r>
      <w:proofErr w:type="gramEnd"/>
      <w:r w:rsidR="007B6333" w:rsidRPr="00641284">
        <w:rPr>
          <w:rFonts w:ascii="Arial" w:hAnsi="Arial" w:cs="Arial"/>
        </w:rPr>
        <w:t>).</w:t>
      </w:r>
    </w:p>
    <w:p w14:paraId="372825D5" w14:textId="1735C885" w:rsidR="007B6333" w:rsidRPr="00641284" w:rsidRDefault="007B6333" w:rsidP="00DB30BF">
      <w:pPr>
        <w:pStyle w:val="ListParagraph"/>
        <w:numPr>
          <w:ilvl w:val="2"/>
          <w:numId w:val="8"/>
        </w:numPr>
        <w:spacing w:after="0" w:line="240" w:lineRule="auto"/>
        <w:rPr>
          <w:rFonts w:ascii="Arial" w:hAnsi="Arial" w:cs="Arial"/>
        </w:rPr>
      </w:pPr>
      <w:bookmarkStart w:id="59" w:name="_Toc402880731"/>
      <w:bookmarkStart w:id="60" w:name="_Toc209539207"/>
      <w:r w:rsidRPr="00CF4FBE">
        <w:rPr>
          <w:rStyle w:val="Heading3Char"/>
        </w:rPr>
        <w:t xml:space="preserve">Arguing that a Result is Mandated </w:t>
      </w:r>
      <w:r w:rsidR="00B00607">
        <w:rPr>
          <w:rStyle w:val="Heading3Char"/>
        </w:rPr>
        <w:t>b</w:t>
      </w:r>
      <w:r w:rsidRPr="00CF4FBE">
        <w:rPr>
          <w:rStyle w:val="Heading3Char"/>
        </w:rPr>
        <w:t>y a Prior Case</w:t>
      </w:r>
      <w:bookmarkEnd w:id="59"/>
      <w:bookmarkEnd w:id="60"/>
      <w:r w:rsidRPr="00641284">
        <w:rPr>
          <w:rFonts w:ascii="Arial" w:hAnsi="Arial" w:cs="Arial"/>
          <w:b/>
          <w:bCs/>
        </w:rPr>
        <w:t>.</w:t>
      </w:r>
      <w:r w:rsidRPr="00641284">
        <w:rPr>
          <w:rFonts w:ascii="Arial" w:hAnsi="Arial" w:cs="Arial"/>
        </w:rPr>
        <w:t xml:space="preserve"> As discussed in Section I</w:t>
      </w:r>
      <w:r w:rsidR="00E571D0">
        <w:rPr>
          <w:rFonts w:ascii="Arial" w:hAnsi="Arial" w:cs="Arial"/>
        </w:rPr>
        <w:t>V</w:t>
      </w:r>
      <w:r w:rsidRPr="00641284">
        <w:rPr>
          <w:rFonts w:ascii="Arial" w:hAnsi="Arial" w:cs="Arial"/>
        </w:rPr>
        <w:t xml:space="preserve">.B above, a lawyer may argue all relevant law to the jury, and this may include reading from prior cases. Caution should be exercised, however, </w:t>
      </w:r>
      <w:proofErr w:type="gramStart"/>
      <w:r w:rsidRPr="00641284">
        <w:rPr>
          <w:rFonts w:ascii="Arial" w:hAnsi="Arial" w:cs="Arial"/>
        </w:rPr>
        <w:t>with regard to</w:t>
      </w:r>
      <w:proofErr w:type="gramEnd"/>
      <w:r w:rsidRPr="00641284">
        <w:rPr>
          <w:rFonts w:ascii="Arial" w:hAnsi="Arial" w:cs="Arial"/>
        </w:rPr>
        <w:t xml:space="preserve"> recitation of the facts of </w:t>
      </w:r>
      <w:r w:rsidRPr="00F74D0F">
        <w:rPr>
          <w:rFonts w:ascii="Arial" w:hAnsi="Arial" w:cs="Arial"/>
          <w:iCs/>
        </w:rPr>
        <w:t>other</w:t>
      </w:r>
      <w:r w:rsidRPr="00641284">
        <w:rPr>
          <w:rFonts w:ascii="Arial" w:hAnsi="Arial" w:cs="Arial"/>
        </w:rPr>
        <w:t xml:space="preserve"> cases. State v. Wright, 304 N.C. 349</w:t>
      </w:r>
      <w:r w:rsidR="00E571D0">
        <w:rPr>
          <w:rFonts w:ascii="Arial" w:hAnsi="Arial" w:cs="Arial"/>
        </w:rPr>
        <w:t>, 355</w:t>
      </w:r>
      <w:r w:rsidRPr="00641284">
        <w:rPr>
          <w:rFonts w:ascii="Arial" w:hAnsi="Arial" w:cs="Arial"/>
        </w:rPr>
        <w:t xml:space="preserve"> (1981) (“We perceive that the facts of </w:t>
      </w:r>
      <w:r w:rsidRPr="00641284">
        <w:rPr>
          <w:rFonts w:ascii="Arial" w:hAnsi="Arial" w:cs="Arial"/>
          <w:i/>
          <w:iCs/>
        </w:rPr>
        <w:t>other</w:t>
      </w:r>
      <w:r w:rsidRPr="00641284">
        <w:rPr>
          <w:rFonts w:ascii="Arial" w:hAnsi="Arial" w:cs="Arial"/>
        </w:rPr>
        <w:t xml:space="preserve"> cases would ordinarily be inappropriate topics for jury argument.” (emphasis in original)). Additionally, a lawyer may not recite the facts of another tried case together with the result to suggest that a similar result should obtain in the case at hand. </w:t>
      </w:r>
      <w:r w:rsidRPr="00641284">
        <w:rPr>
          <w:rFonts w:ascii="Arial" w:hAnsi="Arial" w:cs="Arial"/>
          <w:i/>
          <w:iCs/>
        </w:rPr>
        <w:t>Gardner</w:t>
      </w:r>
      <w:r w:rsidRPr="00641284">
        <w:rPr>
          <w:rFonts w:ascii="Arial" w:hAnsi="Arial" w:cs="Arial"/>
        </w:rPr>
        <w:t xml:space="preserve">, 316 N.C. at 611; State v. Thomas, 350 N.C. 315, 353-55 (1999) (quoting </w:t>
      </w:r>
      <w:r w:rsidRPr="00641284">
        <w:rPr>
          <w:rFonts w:ascii="Arial" w:hAnsi="Arial" w:cs="Arial"/>
          <w:i/>
          <w:iCs/>
        </w:rPr>
        <w:t>Gardner</w:t>
      </w:r>
      <w:r w:rsidRPr="00641284">
        <w:rPr>
          <w:rFonts w:ascii="Arial" w:hAnsi="Arial" w:cs="Arial"/>
        </w:rPr>
        <w:t xml:space="preserve">; prosecution’s argument was proper where it was limited to reciting relevant statement of law); State v. Billings, 348 N.C. 169, 185 (1998) (citing </w:t>
      </w:r>
      <w:r w:rsidRPr="00641284">
        <w:rPr>
          <w:rFonts w:ascii="Arial" w:hAnsi="Arial" w:cs="Arial"/>
          <w:i/>
          <w:iCs/>
        </w:rPr>
        <w:t>Gardner</w:t>
      </w:r>
      <w:r w:rsidRPr="00641284">
        <w:rPr>
          <w:rFonts w:ascii="Arial" w:hAnsi="Arial" w:cs="Arial"/>
        </w:rPr>
        <w:t xml:space="preserve"> for this proposition); State v. Burr, 341 N.C. 263, 307 (1995) (same); State v. Simmons, 205 N.C. App. 509, 515-16 (2010) (improper for prosecutor to make such an argument). </w:t>
      </w:r>
    </w:p>
    <w:p w14:paraId="1A402D01" w14:textId="1460F12C" w:rsidR="007B6333" w:rsidRPr="00641284" w:rsidRDefault="007B6333" w:rsidP="00DB30BF">
      <w:pPr>
        <w:pStyle w:val="ListParagraph"/>
        <w:numPr>
          <w:ilvl w:val="2"/>
          <w:numId w:val="8"/>
        </w:numPr>
        <w:spacing w:after="0" w:line="240" w:lineRule="auto"/>
        <w:rPr>
          <w:rFonts w:ascii="Arial" w:hAnsi="Arial" w:cs="Arial"/>
          <w:b/>
          <w:bCs/>
        </w:rPr>
      </w:pPr>
      <w:bookmarkStart w:id="61" w:name="_Toc402880732"/>
      <w:bookmarkStart w:id="62" w:name="_Toc209539208"/>
      <w:r w:rsidRPr="00CF4FBE">
        <w:rPr>
          <w:rStyle w:val="Heading3Char"/>
        </w:rPr>
        <w:t>Pretrial Silence</w:t>
      </w:r>
      <w:bookmarkEnd w:id="61"/>
      <w:bookmarkEnd w:id="62"/>
      <w:r w:rsidRPr="00641284">
        <w:rPr>
          <w:rFonts w:ascii="Arial" w:hAnsi="Arial" w:cs="Arial"/>
          <w:b/>
          <w:bCs/>
        </w:rPr>
        <w:t xml:space="preserve">. </w:t>
      </w:r>
      <w:r w:rsidR="00877BA2">
        <w:rPr>
          <w:rFonts w:ascii="Arial" w:hAnsi="Arial" w:cs="Arial"/>
        </w:rPr>
        <w:t xml:space="preserve">As discussed above in Section IV.E, </w:t>
      </w:r>
      <w:r w:rsidR="002F6E11">
        <w:rPr>
          <w:rFonts w:ascii="Arial" w:hAnsi="Arial" w:cs="Arial"/>
        </w:rPr>
        <w:t xml:space="preserve">if a defendant testifies at trial, </w:t>
      </w:r>
      <w:r w:rsidR="00877BA2">
        <w:rPr>
          <w:rFonts w:ascii="Arial" w:hAnsi="Arial" w:cs="Arial"/>
        </w:rPr>
        <w:t xml:space="preserve">evidence of </w:t>
      </w:r>
      <w:r w:rsidR="000478BF">
        <w:rPr>
          <w:rFonts w:ascii="Arial" w:hAnsi="Arial" w:cs="Arial"/>
        </w:rPr>
        <w:t>the</w:t>
      </w:r>
      <w:r w:rsidR="00877BA2">
        <w:rPr>
          <w:rFonts w:ascii="Arial" w:hAnsi="Arial" w:cs="Arial"/>
        </w:rPr>
        <w:t xml:space="preserve"> defendant’s pretrial silence</w:t>
      </w:r>
      <w:r w:rsidR="00E843BB">
        <w:rPr>
          <w:rFonts w:ascii="Arial" w:hAnsi="Arial" w:cs="Arial"/>
        </w:rPr>
        <w:t xml:space="preserve"> in connection with a criminal investigation</w:t>
      </w:r>
      <w:r w:rsidR="00877BA2">
        <w:rPr>
          <w:rFonts w:ascii="Arial" w:hAnsi="Arial" w:cs="Arial"/>
        </w:rPr>
        <w:t xml:space="preserve"> prior to receiving </w:t>
      </w:r>
      <w:r w:rsidR="00877BA2">
        <w:rPr>
          <w:rFonts w:ascii="Arial" w:hAnsi="Arial" w:cs="Arial"/>
          <w:i/>
          <w:iCs/>
        </w:rPr>
        <w:t xml:space="preserve">Miranda </w:t>
      </w:r>
      <w:r w:rsidR="00877BA2">
        <w:rPr>
          <w:rFonts w:ascii="Arial" w:hAnsi="Arial" w:cs="Arial"/>
        </w:rPr>
        <w:t>warnings sometimes may be introduced to impeach the defendant’s testimony. It is imp</w:t>
      </w:r>
      <w:r w:rsidR="004F6017">
        <w:rPr>
          <w:rFonts w:ascii="Arial" w:hAnsi="Arial" w:cs="Arial"/>
        </w:rPr>
        <w:t>roper</w:t>
      </w:r>
      <w:r w:rsidR="00877BA2">
        <w:rPr>
          <w:rFonts w:ascii="Arial" w:hAnsi="Arial" w:cs="Arial"/>
        </w:rPr>
        <w:t xml:space="preserve"> </w:t>
      </w:r>
      <w:r w:rsidR="00604728">
        <w:rPr>
          <w:rFonts w:ascii="Arial" w:hAnsi="Arial" w:cs="Arial"/>
        </w:rPr>
        <w:t xml:space="preserve">in a jury argument </w:t>
      </w:r>
      <w:r w:rsidR="00877BA2">
        <w:rPr>
          <w:rFonts w:ascii="Arial" w:hAnsi="Arial" w:cs="Arial"/>
        </w:rPr>
        <w:t>to reference such silence</w:t>
      </w:r>
      <w:r w:rsidR="00604728">
        <w:rPr>
          <w:rFonts w:ascii="Arial" w:hAnsi="Arial" w:cs="Arial"/>
        </w:rPr>
        <w:t xml:space="preserve"> as substantive evidence of guilt</w:t>
      </w:r>
      <w:r w:rsidR="00877BA2">
        <w:rPr>
          <w:rFonts w:ascii="Arial" w:hAnsi="Arial" w:cs="Arial"/>
        </w:rPr>
        <w:t xml:space="preserve"> </w:t>
      </w:r>
      <w:r w:rsidR="002F6E11">
        <w:rPr>
          <w:rFonts w:ascii="Arial" w:hAnsi="Arial" w:cs="Arial"/>
        </w:rPr>
        <w:t xml:space="preserve">as </w:t>
      </w:r>
      <w:r w:rsidR="00604728">
        <w:rPr>
          <w:rFonts w:ascii="Arial" w:hAnsi="Arial" w:cs="Arial"/>
        </w:rPr>
        <w:t>this</w:t>
      </w:r>
      <w:r w:rsidR="00290A91">
        <w:rPr>
          <w:rFonts w:ascii="Arial" w:hAnsi="Arial" w:cs="Arial"/>
        </w:rPr>
        <w:t xml:space="preserve"> constitute</w:t>
      </w:r>
      <w:r w:rsidR="000478BF">
        <w:rPr>
          <w:rFonts w:ascii="Arial" w:hAnsi="Arial" w:cs="Arial"/>
        </w:rPr>
        <w:t>s</w:t>
      </w:r>
      <w:r w:rsidR="00290A91">
        <w:rPr>
          <w:rFonts w:ascii="Arial" w:hAnsi="Arial" w:cs="Arial"/>
        </w:rPr>
        <w:t xml:space="preserve"> a misstatement of the facts in evidence, </w:t>
      </w:r>
      <w:r w:rsidR="000478BF">
        <w:rPr>
          <w:rFonts w:ascii="Arial" w:hAnsi="Arial" w:cs="Arial"/>
        </w:rPr>
        <w:t>see</w:t>
      </w:r>
      <w:r w:rsidR="00290A91">
        <w:rPr>
          <w:rFonts w:ascii="Arial" w:hAnsi="Arial" w:cs="Arial"/>
        </w:rPr>
        <w:t xml:space="preserve"> Section V.B.1.a</w:t>
      </w:r>
      <w:r w:rsidR="000478BF">
        <w:rPr>
          <w:rFonts w:ascii="Arial" w:hAnsi="Arial" w:cs="Arial"/>
        </w:rPr>
        <w:t xml:space="preserve"> (noting the prohibition on misstating impeachment evidence as substantive evidence of guilt)</w:t>
      </w:r>
      <w:r w:rsidR="00290A91">
        <w:rPr>
          <w:rFonts w:ascii="Arial" w:hAnsi="Arial" w:cs="Arial"/>
        </w:rPr>
        <w:t>, and infringe</w:t>
      </w:r>
      <w:r w:rsidR="00E843BB">
        <w:rPr>
          <w:rFonts w:ascii="Arial" w:hAnsi="Arial" w:cs="Arial"/>
        </w:rPr>
        <w:t>s</w:t>
      </w:r>
      <w:r w:rsidR="00290A91">
        <w:rPr>
          <w:rFonts w:ascii="Arial" w:hAnsi="Arial" w:cs="Arial"/>
        </w:rPr>
        <w:t xml:space="preserve"> upon the defendant’s Fifth Amendment right to silence</w:t>
      </w:r>
      <w:r w:rsidR="00877BA2">
        <w:rPr>
          <w:rFonts w:ascii="Arial" w:hAnsi="Arial" w:cs="Arial"/>
        </w:rPr>
        <w:t>.</w:t>
      </w:r>
      <w:r w:rsidR="00290A91">
        <w:rPr>
          <w:rFonts w:ascii="Arial" w:hAnsi="Arial" w:cs="Arial"/>
        </w:rPr>
        <w:t xml:space="preserve"> </w:t>
      </w:r>
      <w:r w:rsidR="00EA7C70">
        <w:rPr>
          <w:rFonts w:ascii="Arial" w:hAnsi="Arial" w:cs="Arial"/>
          <w:i/>
          <w:iCs/>
        </w:rPr>
        <w:t>See</w:t>
      </w:r>
      <w:r w:rsidR="009862B8">
        <w:rPr>
          <w:rFonts w:ascii="Arial" w:hAnsi="Arial" w:cs="Arial"/>
          <w:i/>
          <w:iCs/>
        </w:rPr>
        <w:t xml:space="preserve"> </w:t>
      </w:r>
      <w:r w:rsidR="00290A91">
        <w:rPr>
          <w:rFonts w:ascii="Arial" w:hAnsi="Arial" w:cs="Arial"/>
        </w:rPr>
        <w:t>State v. Boston, 191 N.C. App. 637, 649-52 (2008) (</w:t>
      </w:r>
      <w:r w:rsidR="009F16FA">
        <w:rPr>
          <w:rFonts w:ascii="Arial" w:hAnsi="Arial" w:cs="Arial"/>
        </w:rPr>
        <w:t xml:space="preserve">holding in a case where the pretrial silence at issue occurred prior to the non-testifying defendant being arrested or receiving </w:t>
      </w:r>
      <w:r w:rsidR="009F16FA">
        <w:rPr>
          <w:rFonts w:ascii="Arial" w:hAnsi="Arial" w:cs="Arial"/>
          <w:i/>
          <w:iCs/>
        </w:rPr>
        <w:t xml:space="preserve">Miranda </w:t>
      </w:r>
      <w:r w:rsidR="009F16FA">
        <w:rPr>
          <w:rFonts w:ascii="Arial" w:hAnsi="Arial" w:cs="Arial"/>
        </w:rPr>
        <w:t>warnings that “a proper invocation of the privilege against self-incrimination is protected from prosecutorial comment or substantive use, no matter whether such invocation occurs before or after a defendant’s arrest”</w:t>
      </w:r>
      <w:r w:rsidR="00290A91">
        <w:rPr>
          <w:rFonts w:ascii="Arial" w:hAnsi="Arial" w:cs="Arial"/>
        </w:rPr>
        <w:t>).</w:t>
      </w:r>
      <w:r w:rsidR="00C133C1">
        <w:rPr>
          <w:rFonts w:ascii="Arial" w:hAnsi="Arial" w:cs="Arial"/>
        </w:rPr>
        <w:t xml:space="preserve"> It is impermissible to comment on </w:t>
      </w:r>
      <w:r w:rsidR="00FB0E0D">
        <w:rPr>
          <w:rFonts w:ascii="Arial" w:hAnsi="Arial" w:cs="Arial"/>
        </w:rPr>
        <w:t xml:space="preserve">a defendant’s pretrial silence that has not been admitted into evidence or that has been improperly admitted. </w:t>
      </w:r>
      <w:r w:rsidR="00FB0E0D">
        <w:rPr>
          <w:rFonts w:ascii="Arial" w:hAnsi="Arial" w:cs="Arial"/>
          <w:i/>
          <w:iCs/>
        </w:rPr>
        <w:t xml:space="preserve">See </w:t>
      </w:r>
      <w:r w:rsidR="00FB0E0D">
        <w:rPr>
          <w:rFonts w:ascii="Arial" w:hAnsi="Arial" w:cs="Arial"/>
        </w:rPr>
        <w:t>Section V.B.1.a (discussing prohibition on comment on matters outside the record); State v. Richardson, 226 N.C. App. 292, 308 (2013) (improper for prosecutor in closing argument to reference improperly admitted evidence of defendant’s pretrial silence).</w:t>
      </w:r>
      <w:r w:rsidRPr="00641284">
        <w:rPr>
          <w:rFonts w:ascii="Arial" w:hAnsi="Arial" w:cs="Arial"/>
        </w:rPr>
        <w:t xml:space="preserve"> </w:t>
      </w:r>
    </w:p>
    <w:p w14:paraId="2B0B43ED" w14:textId="51686517" w:rsidR="007B6333" w:rsidRPr="00641284" w:rsidRDefault="007B6333" w:rsidP="00DB30BF">
      <w:pPr>
        <w:pStyle w:val="ListParagraph"/>
        <w:numPr>
          <w:ilvl w:val="2"/>
          <w:numId w:val="8"/>
        </w:numPr>
        <w:spacing w:after="0" w:line="240" w:lineRule="auto"/>
        <w:rPr>
          <w:rFonts w:ascii="Arial" w:hAnsi="Arial" w:cs="Arial"/>
        </w:rPr>
      </w:pPr>
      <w:bookmarkStart w:id="63" w:name="_Toc402880733"/>
      <w:bookmarkStart w:id="64" w:name="_Toc209539209"/>
      <w:r w:rsidRPr="00CF4FBE">
        <w:rPr>
          <w:rStyle w:val="Heading3Char"/>
        </w:rPr>
        <w:t>Comment on the Defendant’s</w:t>
      </w:r>
      <w:r w:rsidR="00DD2704">
        <w:rPr>
          <w:rStyle w:val="Heading3Char"/>
        </w:rPr>
        <w:t xml:space="preserve"> Exercise of Right to Jury </w:t>
      </w:r>
      <w:r w:rsidR="00A066E3">
        <w:rPr>
          <w:rStyle w:val="Heading3Char"/>
        </w:rPr>
        <w:t>T</w:t>
      </w:r>
      <w:r w:rsidR="00DD2704">
        <w:rPr>
          <w:rStyle w:val="Heading3Char"/>
        </w:rPr>
        <w:t>rial or</w:t>
      </w:r>
      <w:r w:rsidRPr="00CF4FBE">
        <w:rPr>
          <w:rStyle w:val="Heading3Char"/>
        </w:rPr>
        <w:t xml:space="preserve"> Failure to Plead Guilty</w:t>
      </w:r>
      <w:bookmarkEnd w:id="63"/>
      <w:bookmarkEnd w:id="64"/>
      <w:r w:rsidRPr="00641284">
        <w:rPr>
          <w:rFonts w:ascii="Arial" w:hAnsi="Arial" w:cs="Arial"/>
          <w:b/>
          <w:bCs/>
        </w:rPr>
        <w:t xml:space="preserve">. </w:t>
      </w:r>
      <w:r w:rsidRPr="00641284">
        <w:rPr>
          <w:rFonts w:ascii="Arial" w:hAnsi="Arial" w:cs="Arial"/>
        </w:rPr>
        <w:t>A prosecutor</w:t>
      </w:r>
      <w:r w:rsidR="008F3763">
        <w:rPr>
          <w:rFonts w:ascii="Arial" w:hAnsi="Arial" w:cs="Arial"/>
        </w:rPr>
        <w:t>’</w:t>
      </w:r>
      <w:r w:rsidRPr="00641284">
        <w:rPr>
          <w:rFonts w:ascii="Arial" w:hAnsi="Arial" w:cs="Arial"/>
        </w:rPr>
        <w:t>s reference to a defendant</w:t>
      </w:r>
      <w:r w:rsidR="008F3763">
        <w:rPr>
          <w:rFonts w:ascii="Arial" w:hAnsi="Arial" w:cs="Arial"/>
        </w:rPr>
        <w:t>’</w:t>
      </w:r>
      <w:r w:rsidRPr="00641284">
        <w:rPr>
          <w:rFonts w:ascii="Arial" w:hAnsi="Arial" w:cs="Arial"/>
        </w:rPr>
        <w:t xml:space="preserve">s </w:t>
      </w:r>
      <w:r w:rsidR="00DD2704">
        <w:rPr>
          <w:rFonts w:ascii="Arial" w:hAnsi="Arial" w:cs="Arial"/>
        </w:rPr>
        <w:t xml:space="preserve">choice to exercise the right to a jury trial or </w:t>
      </w:r>
      <w:r w:rsidRPr="00641284">
        <w:rPr>
          <w:rFonts w:ascii="Arial" w:hAnsi="Arial" w:cs="Arial"/>
        </w:rPr>
        <w:t>failure to plead guilty is a violation of the defendant</w:t>
      </w:r>
      <w:r w:rsidR="008F3763">
        <w:rPr>
          <w:rFonts w:ascii="Arial" w:hAnsi="Arial" w:cs="Arial"/>
        </w:rPr>
        <w:t>’</w:t>
      </w:r>
      <w:r w:rsidRPr="00641284">
        <w:rPr>
          <w:rFonts w:ascii="Arial" w:hAnsi="Arial" w:cs="Arial"/>
        </w:rPr>
        <w:t xml:space="preserve">s constitutional right to a jury trial. </w:t>
      </w:r>
      <w:r w:rsidR="002C39AC">
        <w:rPr>
          <w:rFonts w:ascii="Arial" w:hAnsi="Arial" w:cs="Arial"/>
        </w:rPr>
        <w:t xml:space="preserve">State v. Goins, 377 N.C. 475, 480 (2021) (“undeniably improper” for prosecutor to comment on defendant’s decision to plead not guilty and exercise right to jury trial); </w:t>
      </w:r>
      <w:r w:rsidRPr="00641284">
        <w:rPr>
          <w:rFonts w:ascii="Arial" w:hAnsi="Arial" w:cs="Arial"/>
        </w:rPr>
        <w:t>State v. Kemmerlin, 356 N.C. 446, 482 (2002)</w:t>
      </w:r>
      <w:r w:rsidR="002C39AC">
        <w:rPr>
          <w:rFonts w:ascii="Arial" w:hAnsi="Arial" w:cs="Arial"/>
        </w:rPr>
        <w:t xml:space="preserve"> (so stating)</w:t>
      </w:r>
      <w:r w:rsidR="00DD2704">
        <w:rPr>
          <w:rFonts w:ascii="Arial" w:hAnsi="Arial" w:cs="Arial"/>
        </w:rPr>
        <w:t>;</w:t>
      </w:r>
      <w:r w:rsidR="002C39AC">
        <w:rPr>
          <w:rFonts w:ascii="Arial" w:hAnsi="Arial" w:cs="Arial"/>
        </w:rPr>
        <w:t xml:space="preserve"> </w:t>
      </w:r>
      <w:r w:rsidR="00DD2704">
        <w:rPr>
          <w:rFonts w:ascii="Arial" w:hAnsi="Arial" w:cs="Arial"/>
        </w:rPr>
        <w:t xml:space="preserve">State v. </w:t>
      </w:r>
      <w:r w:rsidR="00DD2704">
        <w:rPr>
          <w:rFonts w:ascii="Arial" w:hAnsi="Arial" w:cs="Arial"/>
        </w:rPr>
        <w:lastRenderedPageBreak/>
        <w:t>Degraffenried, 262 N.C. App. 308, 311 (2018) (“Counsel is admonished for minimalizing and referring to Defendant’s exercise of his right to a trial by jury in a condescending manner</w:t>
      </w:r>
      <w:r w:rsidR="002C39AC">
        <w:rPr>
          <w:rFonts w:ascii="Arial" w:hAnsi="Arial" w:cs="Arial"/>
        </w:rPr>
        <w:t>.</w:t>
      </w:r>
      <w:r w:rsidR="00DD2704">
        <w:rPr>
          <w:rFonts w:ascii="Arial" w:hAnsi="Arial" w:cs="Arial"/>
        </w:rPr>
        <w:t>”)</w:t>
      </w:r>
      <w:r w:rsidRPr="00641284">
        <w:rPr>
          <w:rFonts w:ascii="Arial" w:hAnsi="Arial" w:cs="Arial"/>
        </w:rPr>
        <w:t xml:space="preserve">. </w:t>
      </w:r>
    </w:p>
    <w:p w14:paraId="6A39964A" w14:textId="70FE86A5" w:rsidR="007B6333" w:rsidRPr="00641284" w:rsidRDefault="007B6333" w:rsidP="00DB30BF">
      <w:pPr>
        <w:pStyle w:val="ListParagraph"/>
        <w:numPr>
          <w:ilvl w:val="2"/>
          <w:numId w:val="8"/>
        </w:numPr>
        <w:spacing w:after="0" w:line="240" w:lineRule="auto"/>
        <w:rPr>
          <w:rFonts w:ascii="Arial" w:hAnsi="Arial" w:cs="Arial"/>
        </w:rPr>
      </w:pPr>
      <w:bookmarkStart w:id="65" w:name="_Toc402880734"/>
      <w:bookmarkStart w:id="66" w:name="_Toc209539210"/>
      <w:r w:rsidRPr="00CF4FBE">
        <w:rPr>
          <w:rStyle w:val="Heading3Char"/>
        </w:rPr>
        <w:t>Comment on the Defendant’s Failure to Testify</w:t>
      </w:r>
      <w:bookmarkEnd w:id="65"/>
      <w:bookmarkEnd w:id="66"/>
      <w:r w:rsidRPr="00641284">
        <w:rPr>
          <w:rFonts w:ascii="Arial" w:hAnsi="Arial" w:cs="Arial"/>
          <w:b/>
          <w:bCs/>
        </w:rPr>
        <w:t xml:space="preserve">. </w:t>
      </w:r>
      <w:r w:rsidRPr="00641284">
        <w:rPr>
          <w:rFonts w:ascii="Arial" w:hAnsi="Arial" w:cs="Arial"/>
        </w:rPr>
        <w:t>A defendant has a constitutional right to refuse to testify at trial and exercise of this right may not be used against the defendant. State v. Mitchell, 353 N.C. 309, 326 (2001). As a result</w:t>
      </w:r>
      <w:r w:rsidR="002B3FED">
        <w:rPr>
          <w:rFonts w:ascii="Arial" w:hAnsi="Arial" w:cs="Arial"/>
        </w:rPr>
        <w:t>,</w:t>
      </w:r>
      <w:r w:rsidRPr="00641284">
        <w:rPr>
          <w:rFonts w:ascii="Arial" w:hAnsi="Arial" w:cs="Arial"/>
        </w:rPr>
        <w:t xml:space="preserve"> any reference to a defendant</w:t>
      </w:r>
      <w:r w:rsidR="008F3763">
        <w:rPr>
          <w:rFonts w:ascii="Arial" w:hAnsi="Arial" w:cs="Arial"/>
        </w:rPr>
        <w:t>’</w:t>
      </w:r>
      <w:r w:rsidRPr="00641284">
        <w:rPr>
          <w:rFonts w:ascii="Arial" w:hAnsi="Arial" w:cs="Arial"/>
        </w:rPr>
        <w:t>s failure to testify violates the defendant</w:t>
      </w:r>
      <w:r w:rsidR="008F3763">
        <w:rPr>
          <w:rFonts w:ascii="Arial" w:hAnsi="Arial" w:cs="Arial"/>
        </w:rPr>
        <w:t>’</w:t>
      </w:r>
      <w:r w:rsidRPr="00641284">
        <w:rPr>
          <w:rFonts w:ascii="Arial" w:hAnsi="Arial" w:cs="Arial"/>
        </w:rPr>
        <w:t xml:space="preserve">s constitutional rights. </w:t>
      </w:r>
      <w:r w:rsidRPr="00641284">
        <w:rPr>
          <w:rFonts w:ascii="Arial" w:hAnsi="Arial" w:cs="Arial"/>
          <w:i/>
          <w:iCs/>
        </w:rPr>
        <w:t>Id.; Kemmerlin</w:t>
      </w:r>
      <w:r w:rsidRPr="00641284">
        <w:rPr>
          <w:rFonts w:ascii="Arial" w:hAnsi="Arial" w:cs="Arial"/>
        </w:rPr>
        <w:t>, 356 N.C. at 481. A statement may be interpreted as commenting on a defendant</w:t>
      </w:r>
      <w:r w:rsidR="008F3763">
        <w:rPr>
          <w:rFonts w:ascii="Arial" w:hAnsi="Arial" w:cs="Arial"/>
        </w:rPr>
        <w:t>’</w:t>
      </w:r>
      <w:r w:rsidRPr="00641284">
        <w:rPr>
          <w:rFonts w:ascii="Arial" w:hAnsi="Arial" w:cs="Arial"/>
        </w:rPr>
        <w:t xml:space="preserve">s decision not to testify “if the jury would naturally and necessarily understand the statement to be a comment on the failure of the accused to testify.” </w:t>
      </w:r>
      <w:r w:rsidRPr="00641284">
        <w:rPr>
          <w:rFonts w:ascii="Arial" w:hAnsi="Arial" w:cs="Arial"/>
          <w:i/>
          <w:iCs/>
        </w:rPr>
        <w:t>Mitchell</w:t>
      </w:r>
      <w:r w:rsidRPr="00641284">
        <w:rPr>
          <w:rFonts w:ascii="Arial" w:hAnsi="Arial" w:cs="Arial"/>
        </w:rPr>
        <w:t xml:space="preserve">, 353 N.C. at 326. </w:t>
      </w:r>
      <w:r w:rsidR="00081070">
        <w:rPr>
          <w:rFonts w:ascii="Arial" w:hAnsi="Arial" w:cs="Arial"/>
        </w:rPr>
        <w:t xml:space="preserve">Beyond prohibiting comment on a defendant’s failure to testify, the rule </w:t>
      </w:r>
      <w:r w:rsidR="009A485B">
        <w:rPr>
          <w:rFonts w:ascii="Arial" w:hAnsi="Arial" w:cs="Arial"/>
        </w:rPr>
        <w:t xml:space="preserve">broadly </w:t>
      </w:r>
      <w:r w:rsidR="00081070">
        <w:rPr>
          <w:rFonts w:ascii="Arial" w:hAnsi="Arial" w:cs="Arial"/>
        </w:rPr>
        <w:t xml:space="preserve">prohibits </w:t>
      </w:r>
      <w:r w:rsidR="009A485B">
        <w:rPr>
          <w:rFonts w:ascii="Arial" w:hAnsi="Arial" w:cs="Arial"/>
        </w:rPr>
        <w:t xml:space="preserve">any </w:t>
      </w:r>
      <w:r w:rsidR="00081070">
        <w:rPr>
          <w:rFonts w:ascii="Arial" w:hAnsi="Arial" w:cs="Arial"/>
        </w:rPr>
        <w:t xml:space="preserve">comment </w:t>
      </w:r>
      <w:r w:rsidR="00EF5D37">
        <w:rPr>
          <w:rFonts w:ascii="Arial" w:hAnsi="Arial" w:cs="Arial"/>
        </w:rPr>
        <w:t xml:space="preserve">by the prosecutor </w:t>
      </w:r>
      <w:r w:rsidR="00081070">
        <w:rPr>
          <w:rFonts w:ascii="Arial" w:hAnsi="Arial" w:cs="Arial"/>
        </w:rPr>
        <w:t>on th</w:t>
      </w:r>
      <w:r w:rsidR="009A485B">
        <w:rPr>
          <w:rFonts w:ascii="Arial" w:hAnsi="Arial" w:cs="Arial"/>
        </w:rPr>
        <w:t>e</w:t>
      </w:r>
      <w:r w:rsidR="00081070">
        <w:rPr>
          <w:rFonts w:ascii="Arial" w:hAnsi="Arial" w:cs="Arial"/>
        </w:rPr>
        <w:t xml:space="preserve"> existence of the right. </w:t>
      </w:r>
      <w:r w:rsidR="007F0DED">
        <w:rPr>
          <w:rFonts w:ascii="Arial" w:hAnsi="Arial" w:cs="Arial"/>
        </w:rPr>
        <w:t>State v. Gilbert, ___ N.C. App. ___, 2025 WL 1813184 (July 2, 2025) (“</w:t>
      </w:r>
      <w:r w:rsidR="007F0DED" w:rsidRPr="000501DF">
        <w:rPr>
          <w:rFonts w:ascii="Arial" w:hAnsi="Arial" w:cs="Arial"/>
        </w:rPr>
        <w:t>[</w:t>
      </w:r>
      <w:r w:rsidR="007F0DED">
        <w:rPr>
          <w:rFonts w:ascii="Arial" w:hAnsi="Arial" w:cs="Arial"/>
        </w:rPr>
        <w:t>The p</w:t>
      </w:r>
      <w:r w:rsidR="007F0DED" w:rsidRPr="000501DF">
        <w:rPr>
          <w:rFonts w:ascii="Arial" w:hAnsi="Arial" w:cs="Arial"/>
        </w:rPr>
        <w:t>rosecutor's</w:t>
      </w:r>
      <w:r w:rsidR="007F0DED">
        <w:rPr>
          <w:rFonts w:ascii="Arial" w:hAnsi="Arial" w:cs="Arial"/>
        </w:rPr>
        <w:t>]</w:t>
      </w:r>
      <w:r w:rsidR="007F0DED" w:rsidRPr="000501DF">
        <w:rPr>
          <w:rFonts w:ascii="Arial" w:hAnsi="Arial" w:cs="Arial"/>
        </w:rPr>
        <w:t xml:space="preserve"> </w:t>
      </w:r>
      <w:r w:rsidR="007F0DED">
        <w:rPr>
          <w:rFonts w:ascii="Arial" w:hAnsi="Arial" w:cs="Arial"/>
        </w:rPr>
        <w:t>“</w:t>
      </w:r>
      <w:r w:rsidR="007F0DED" w:rsidRPr="000501DF">
        <w:rPr>
          <w:rFonts w:ascii="Arial" w:hAnsi="Arial" w:cs="Arial"/>
        </w:rPr>
        <w:t xml:space="preserve">specific and direct statement made during closing argument, that Defendant </w:t>
      </w:r>
      <w:r w:rsidR="007F0DED">
        <w:rPr>
          <w:rFonts w:ascii="Arial" w:hAnsi="Arial" w:cs="Arial"/>
        </w:rPr>
        <w:t>‘</w:t>
      </w:r>
      <w:r w:rsidR="007F0DED" w:rsidRPr="000501DF">
        <w:rPr>
          <w:rFonts w:ascii="Arial" w:hAnsi="Arial" w:cs="Arial"/>
        </w:rPr>
        <w:t>doesn't have to testify,</w:t>
      </w:r>
      <w:r w:rsidR="007F0DED">
        <w:rPr>
          <w:rFonts w:ascii="Arial" w:hAnsi="Arial" w:cs="Arial"/>
        </w:rPr>
        <w:t>’</w:t>
      </w:r>
      <w:r w:rsidR="007F0DED" w:rsidRPr="000501DF">
        <w:rPr>
          <w:rFonts w:ascii="Arial" w:hAnsi="Arial" w:cs="Arial"/>
        </w:rPr>
        <w:t xml:space="preserve"> violated Defendant's constitutional and statutory rights.</w:t>
      </w:r>
      <w:r w:rsidR="007F0DED">
        <w:rPr>
          <w:rFonts w:ascii="Arial" w:hAnsi="Arial" w:cs="Arial"/>
        </w:rPr>
        <w:t xml:space="preserve">”); </w:t>
      </w:r>
      <w:r w:rsidR="00081070">
        <w:rPr>
          <w:rFonts w:ascii="Arial" w:hAnsi="Arial" w:cs="Arial"/>
        </w:rPr>
        <w:t xml:space="preserve">State v. Branche, </w:t>
      </w:r>
      <w:r w:rsidR="0070382B">
        <w:rPr>
          <w:rFonts w:ascii="Arial" w:hAnsi="Arial" w:cs="Arial"/>
        </w:rPr>
        <w:t>291</w:t>
      </w:r>
      <w:r w:rsidR="0029747F">
        <w:rPr>
          <w:rFonts w:ascii="Arial" w:hAnsi="Arial" w:cs="Arial"/>
        </w:rPr>
        <w:t xml:space="preserve"> N.C. App. </w:t>
      </w:r>
      <w:r w:rsidR="0070382B">
        <w:rPr>
          <w:rFonts w:ascii="Arial" w:hAnsi="Arial" w:cs="Arial"/>
        </w:rPr>
        <w:t>214, 229-31</w:t>
      </w:r>
      <w:r w:rsidR="00081070">
        <w:rPr>
          <w:rFonts w:ascii="Arial" w:hAnsi="Arial" w:cs="Arial"/>
        </w:rPr>
        <w:t xml:space="preserve"> (2023) (stating that there was “no doubt” that it was improper for prosecutor to argue: “The Judge will tell you [the defendant] does not have to testify, and the fact that he does not testify cannot be used against him and I want you to make sure you don’t use it against him</w:t>
      </w:r>
      <w:r w:rsidR="00F46A85">
        <w:rPr>
          <w:rFonts w:ascii="Arial" w:hAnsi="Arial" w:cs="Arial"/>
        </w:rPr>
        <w:t>.</w:t>
      </w:r>
      <w:r w:rsidR="00081070">
        <w:rPr>
          <w:rFonts w:ascii="Arial" w:hAnsi="Arial" w:cs="Arial"/>
        </w:rPr>
        <w:t>”)</w:t>
      </w:r>
      <w:r w:rsidR="008F3763">
        <w:rPr>
          <w:rFonts w:ascii="Arial" w:hAnsi="Arial" w:cs="Arial"/>
        </w:rPr>
        <w:t>.</w:t>
      </w:r>
      <w:r w:rsidR="00B13AFD">
        <w:rPr>
          <w:rFonts w:ascii="Arial" w:hAnsi="Arial" w:cs="Arial"/>
        </w:rPr>
        <w:t xml:space="preserve"> </w:t>
      </w:r>
      <w:r w:rsidR="007F0DED">
        <w:rPr>
          <w:rFonts w:ascii="Arial" w:hAnsi="Arial" w:cs="Arial"/>
          <w:i/>
          <w:iCs/>
        </w:rPr>
        <w:t>But see</w:t>
      </w:r>
      <w:r w:rsidR="00880564">
        <w:rPr>
          <w:rFonts w:ascii="Arial" w:hAnsi="Arial" w:cs="Arial"/>
          <w:i/>
          <w:iCs/>
        </w:rPr>
        <w:t xml:space="preserve"> </w:t>
      </w:r>
      <w:r w:rsidR="00880564" w:rsidRPr="00B13AFD">
        <w:rPr>
          <w:rFonts w:ascii="Arial" w:hAnsi="Arial" w:cs="Arial"/>
        </w:rPr>
        <w:t>State v. Brown, ___ N.C. App. ___, ___, 916 S.E.2d 67, 72-73 (2025) (</w:t>
      </w:r>
      <w:r w:rsidR="00880564">
        <w:rPr>
          <w:rFonts w:ascii="Arial" w:hAnsi="Arial" w:cs="Arial"/>
        </w:rPr>
        <w:t xml:space="preserve">construing </w:t>
      </w:r>
      <w:r w:rsidR="00880564" w:rsidRPr="00B13AFD">
        <w:rPr>
          <w:rFonts w:ascii="Arial" w:hAnsi="Arial" w:cs="Arial"/>
        </w:rPr>
        <w:t>prosecutor</w:t>
      </w:r>
      <w:r w:rsidR="00880564">
        <w:rPr>
          <w:rFonts w:ascii="Arial" w:hAnsi="Arial" w:cs="Arial"/>
        </w:rPr>
        <w:t>’s</w:t>
      </w:r>
      <w:r w:rsidR="00880564" w:rsidRPr="00B13AFD">
        <w:rPr>
          <w:rFonts w:ascii="Arial" w:hAnsi="Arial" w:cs="Arial"/>
        </w:rPr>
        <w:t xml:space="preserve"> </w:t>
      </w:r>
      <w:r w:rsidR="00880564">
        <w:rPr>
          <w:rFonts w:ascii="Arial" w:hAnsi="Arial" w:cs="Arial"/>
        </w:rPr>
        <w:t>closing argument statements</w:t>
      </w:r>
      <w:r w:rsidR="00880564" w:rsidRPr="00B13AFD">
        <w:rPr>
          <w:rFonts w:ascii="Arial" w:hAnsi="Arial" w:cs="Arial"/>
        </w:rPr>
        <w:t xml:space="preserve"> that defendant “has the right to not testify” and that the jury is “not to consider that” </w:t>
      </w:r>
      <w:r w:rsidR="00880564">
        <w:rPr>
          <w:rFonts w:ascii="Arial" w:hAnsi="Arial" w:cs="Arial"/>
        </w:rPr>
        <w:t>as falling within</w:t>
      </w:r>
      <w:r w:rsidR="00880564" w:rsidRPr="00B13AFD">
        <w:rPr>
          <w:rFonts w:ascii="Arial" w:hAnsi="Arial" w:cs="Arial"/>
        </w:rPr>
        <w:t xml:space="preserve"> a broader, permissible argument that the defendant failed to produce other witnesses or evidence to rebut the </w:t>
      </w:r>
      <w:r w:rsidR="00330578">
        <w:rPr>
          <w:rFonts w:ascii="Arial" w:hAnsi="Arial" w:cs="Arial"/>
        </w:rPr>
        <w:t>S</w:t>
      </w:r>
      <w:r w:rsidR="00880564" w:rsidRPr="00B13AFD">
        <w:rPr>
          <w:rFonts w:ascii="Arial" w:hAnsi="Arial" w:cs="Arial"/>
        </w:rPr>
        <w:t>tate’s case)</w:t>
      </w:r>
      <w:r w:rsidR="00880564">
        <w:rPr>
          <w:rFonts w:ascii="Arial" w:hAnsi="Arial" w:cs="Arial"/>
        </w:rPr>
        <w:t>.</w:t>
      </w:r>
      <w:r w:rsidR="00783A24">
        <w:rPr>
          <w:rFonts w:ascii="Arial" w:hAnsi="Arial" w:cs="Arial"/>
        </w:rPr>
        <w:t xml:space="preserve"> </w:t>
      </w:r>
    </w:p>
    <w:p w14:paraId="3E4781C1" w14:textId="2D60E0F9" w:rsidR="007B6333" w:rsidRPr="00641284" w:rsidRDefault="007B6333" w:rsidP="00722EFE">
      <w:pPr>
        <w:pStyle w:val="ListParagraph"/>
        <w:spacing w:after="0" w:line="240" w:lineRule="auto"/>
        <w:ind w:left="2160" w:firstLine="720"/>
        <w:rPr>
          <w:rFonts w:ascii="Arial" w:hAnsi="Arial" w:cs="Arial"/>
        </w:rPr>
      </w:pPr>
      <w:r w:rsidRPr="00641284">
        <w:rPr>
          <w:rFonts w:ascii="Arial" w:hAnsi="Arial" w:cs="Arial"/>
        </w:rPr>
        <w:t xml:space="preserve">The rule prohibiting comment on a defendant’s failure to testify applies to both the prosecutor and the defense </w:t>
      </w:r>
      <w:r w:rsidR="00EF5D37">
        <w:rPr>
          <w:rFonts w:ascii="Arial" w:hAnsi="Arial" w:cs="Arial"/>
        </w:rPr>
        <w:t>attorney</w:t>
      </w:r>
      <w:r w:rsidRPr="00641284">
        <w:rPr>
          <w:rFonts w:ascii="Arial" w:hAnsi="Arial" w:cs="Arial"/>
        </w:rPr>
        <w:t xml:space="preserve">. </w:t>
      </w:r>
      <w:r w:rsidR="0029747F">
        <w:rPr>
          <w:rFonts w:ascii="Arial" w:hAnsi="Arial" w:cs="Arial"/>
        </w:rPr>
        <w:t xml:space="preserve">State v. Bovender, 233 N.C. 683, 689-90 (1951) (trial court did not err by sustaining objection to defense counsel’s </w:t>
      </w:r>
      <w:r w:rsidR="00F14954">
        <w:rPr>
          <w:rFonts w:ascii="Arial" w:hAnsi="Arial" w:cs="Arial"/>
        </w:rPr>
        <w:t>closing argument statement “the law says no man has to take the witness stand”</w:t>
      </w:r>
      <w:r w:rsidR="0029747F">
        <w:rPr>
          <w:rFonts w:ascii="Arial" w:hAnsi="Arial" w:cs="Arial"/>
        </w:rPr>
        <w:t>)</w:t>
      </w:r>
      <w:r w:rsidR="00B44866">
        <w:rPr>
          <w:rFonts w:ascii="Arial" w:hAnsi="Arial" w:cs="Arial"/>
        </w:rPr>
        <w:t xml:space="preserve">, </w:t>
      </w:r>
      <w:r w:rsidR="00B44866">
        <w:rPr>
          <w:rFonts w:ascii="Arial" w:hAnsi="Arial" w:cs="Arial"/>
          <w:i/>
          <w:iCs/>
        </w:rPr>
        <w:t>overruled in part on other grounds</w:t>
      </w:r>
      <w:r w:rsidR="00C13883">
        <w:rPr>
          <w:rFonts w:ascii="Arial" w:hAnsi="Arial" w:cs="Arial"/>
          <w:i/>
          <w:iCs/>
        </w:rPr>
        <w:t xml:space="preserve"> by</w:t>
      </w:r>
      <w:r w:rsidR="00B44866">
        <w:rPr>
          <w:rFonts w:ascii="Arial" w:hAnsi="Arial" w:cs="Arial"/>
        </w:rPr>
        <w:t xml:space="preserve"> </w:t>
      </w:r>
      <w:r w:rsidR="00C13883">
        <w:rPr>
          <w:rFonts w:ascii="Arial" w:hAnsi="Arial" w:cs="Arial"/>
        </w:rPr>
        <w:t xml:space="preserve">State v. Barnes, </w:t>
      </w:r>
      <w:r w:rsidR="00B44866">
        <w:rPr>
          <w:rFonts w:ascii="Arial" w:hAnsi="Arial" w:cs="Arial"/>
        </w:rPr>
        <w:t>324 N.C. 539 (1989)</w:t>
      </w:r>
      <w:r w:rsidR="0029747F">
        <w:rPr>
          <w:rFonts w:ascii="Arial" w:hAnsi="Arial" w:cs="Arial"/>
        </w:rPr>
        <w:t xml:space="preserve">; </w:t>
      </w:r>
      <w:r w:rsidRPr="00641284">
        <w:rPr>
          <w:rFonts w:ascii="Arial" w:hAnsi="Arial" w:cs="Arial"/>
        </w:rPr>
        <w:t xml:space="preserve">State v. Soloman, 40 N.C. App. 600, 603 (1979) (“It is a well-established rule that neither the district attorney nor counsel for the defendant may comment on the defendant's failure to testify.”). </w:t>
      </w:r>
      <w:r w:rsidR="009B0A05">
        <w:rPr>
          <w:rFonts w:ascii="Arial" w:hAnsi="Arial" w:cs="Arial"/>
        </w:rPr>
        <w:t xml:space="preserve">While some North Carolina appellate cases discussing the prohibition on comments concerning a defendant’s right not to testify state that the rule constrains the trial judge, a non-testifying defendant has </w:t>
      </w:r>
      <w:r w:rsidR="00DB46C4">
        <w:rPr>
          <w:rFonts w:ascii="Arial" w:hAnsi="Arial" w:cs="Arial"/>
        </w:rPr>
        <w:t>a</w:t>
      </w:r>
      <w:r w:rsidR="009B0A05">
        <w:rPr>
          <w:rFonts w:ascii="Arial" w:hAnsi="Arial" w:cs="Arial"/>
        </w:rPr>
        <w:t xml:space="preserve"> constitutional right</w:t>
      </w:r>
      <w:r w:rsidR="00DB46C4">
        <w:rPr>
          <w:rFonts w:ascii="Arial" w:hAnsi="Arial" w:cs="Arial"/>
        </w:rPr>
        <w:t>, upon request,</w:t>
      </w:r>
      <w:r w:rsidR="009B0A05">
        <w:rPr>
          <w:rFonts w:ascii="Arial" w:hAnsi="Arial" w:cs="Arial"/>
        </w:rPr>
        <w:t xml:space="preserve"> to have the trial judge instruct the jury that his or her failure to testify may not be held against the defendant. State v. Randolph, 312 N.C. 198, 205-06 (1984); </w:t>
      </w:r>
      <w:r w:rsidR="009B0A05">
        <w:rPr>
          <w:rFonts w:ascii="Arial" w:hAnsi="Arial" w:cs="Arial"/>
          <w:i/>
          <w:iCs/>
        </w:rPr>
        <w:t xml:space="preserve">see also </w:t>
      </w:r>
      <w:r w:rsidR="009B0A05">
        <w:rPr>
          <w:rFonts w:ascii="Arial" w:hAnsi="Arial" w:cs="Arial"/>
        </w:rPr>
        <w:t>N.C.P.I. Crim. 101.30 (Effect of the Defendant’s Decision not to Testify).</w:t>
      </w:r>
      <w:r w:rsidR="003A337A">
        <w:rPr>
          <w:rFonts w:ascii="Arial" w:hAnsi="Arial" w:cs="Arial"/>
        </w:rPr>
        <w:t xml:space="preserve"> </w:t>
      </w:r>
      <w:r w:rsidR="00CC70EE">
        <w:rPr>
          <w:rFonts w:ascii="Arial" w:hAnsi="Arial" w:cs="Arial"/>
        </w:rPr>
        <w:t>Though</w:t>
      </w:r>
      <w:r w:rsidR="003A337A">
        <w:rPr>
          <w:rFonts w:ascii="Arial" w:hAnsi="Arial" w:cs="Arial"/>
        </w:rPr>
        <w:t xml:space="preserve"> defense counsel may not comment on a defendant’s failure to testify, it is permissible for defense counsel to </w:t>
      </w:r>
      <w:r w:rsidR="00CC70EE">
        <w:rPr>
          <w:rFonts w:ascii="Arial" w:hAnsi="Arial" w:cs="Arial"/>
        </w:rPr>
        <w:t>argue that</w:t>
      </w:r>
      <w:r w:rsidR="003A337A">
        <w:rPr>
          <w:rFonts w:ascii="Arial" w:hAnsi="Arial" w:cs="Arial"/>
        </w:rPr>
        <w:t xml:space="preserve"> the </w:t>
      </w:r>
      <w:r w:rsidR="00CC70EE">
        <w:rPr>
          <w:rFonts w:ascii="Arial" w:hAnsi="Arial" w:cs="Arial"/>
        </w:rPr>
        <w:t xml:space="preserve">jury should not </w:t>
      </w:r>
      <w:r w:rsidR="00CC70EE" w:rsidRPr="00641284">
        <w:rPr>
          <w:rFonts w:ascii="Arial" w:hAnsi="Arial" w:cs="Arial"/>
        </w:rPr>
        <w:t xml:space="preserve">consider </w:t>
      </w:r>
      <w:r w:rsidR="00CC70EE">
        <w:rPr>
          <w:rFonts w:ascii="Arial" w:hAnsi="Arial" w:cs="Arial"/>
        </w:rPr>
        <w:t xml:space="preserve">against the defendant </w:t>
      </w:r>
      <w:r w:rsidR="00CC70EE" w:rsidRPr="00641284">
        <w:rPr>
          <w:rFonts w:ascii="Arial" w:hAnsi="Arial" w:cs="Arial"/>
        </w:rPr>
        <w:t xml:space="preserve">the defendant’s election not to testify. State v. Banks, 322 N.C. 753, 764 (1988) (error to preclude defense counsel from </w:t>
      </w:r>
      <w:r w:rsidR="00CC70EE">
        <w:rPr>
          <w:rFonts w:ascii="Arial" w:hAnsi="Arial" w:cs="Arial"/>
        </w:rPr>
        <w:t>reading relevant clause of Fifth Amendment and so arguing</w:t>
      </w:r>
      <w:r w:rsidR="00EF01C1">
        <w:rPr>
          <w:rFonts w:ascii="Arial" w:hAnsi="Arial" w:cs="Arial"/>
        </w:rPr>
        <w:t>; stating, however, that “[n]o further comment or explanation</w:t>
      </w:r>
      <w:r w:rsidR="00FC0C39">
        <w:rPr>
          <w:rFonts w:ascii="Arial" w:hAnsi="Arial" w:cs="Arial"/>
        </w:rPr>
        <w:t>”</w:t>
      </w:r>
      <w:r w:rsidR="00EF01C1">
        <w:rPr>
          <w:rFonts w:ascii="Arial" w:hAnsi="Arial" w:cs="Arial"/>
        </w:rPr>
        <w:t xml:space="preserve"> should </w:t>
      </w:r>
      <w:r w:rsidR="00FC0C39">
        <w:rPr>
          <w:rFonts w:ascii="Arial" w:hAnsi="Arial" w:cs="Arial"/>
        </w:rPr>
        <w:t>be</w:t>
      </w:r>
      <w:r w:rsidR="00EF01C1">
        <w:rPr>
          <w:rFonts w:ascii="Arial" w:hAnsi="Arial" w:cs="Arial"/>
        </w:rPr>
        <w:t xml:space="preserve"> permitted”</w:t>
      </w:r>
      <w:r w:rsidR="00CC70EE" w:rsidRPr="00641284">
        <w:rPr>
          <w:rFonts w:ascii="Arial" w:hAnsi="Arial" w:cs="Arial"/>
        </w:rPr>
        <w:t>)</w:t>
      </w:r>
      <w:r w:rsidR="00CC70EE">
        <w:rPr>
          <w:rFonts w:ascii="Arial" w:hAnsi="Arial" w:cs="Arial"/>
        </w:rPr>
        <w:t>.</w:t>
      </w:r>
    </w:p>
    <w:p w14:paraId="5849A007" w14:textId="75BF984E" w:rsidR="007B6333" w:rsidRPr="00A62999" w:rsidRDefault="00923B09" w:rsidP="00722EFE">
      <w:pPr>
        <w:pStyle w:val="ListParagraph"/>
        <w:spacing w:after="0" w:line="240" w:lineRule="auto"/>
        <w:ind w:left="2160" w:firstLine="720"/>
        <w:rPr>
          <w:rFonts w:ascii="Arial" w:hAnsi="Arial" w:cs="Arial"/>
          <w:i/>
          <w:iCs/>
        </w:rPr>
      </w:pPr>
      <w:r>
        <w:rPr>
          <w:rFonts w:ascii="Arial" w:hAnsi="Arial" w:cs="Arial"/>
        </w:rPr>
        <w:t>A</w:t>
      </w:r>
      <w:r w:rsidR="007B6333" w:rsidRPr="00641284">
        <w:rPr>
          <w:rFonts w:ascii="Arial" w:hAnsi="Arial" w:cs="Arial"/>
        </w:rPr>
        <w:t>s discussed in Section I</w:t>
      </w:r>
      <w:r w:rsidR="00F46A85">
        <w:rPr>
          <w:rFonts w:ascii="Arial" w:hAnsi="Arial" w:cs="Arial"/>
        </w:rPr>
        <w:t>V</w:t>
      </w:r>
      <w:r w:rsidR="007B6333" w:rsidRPr="00641284">
        <w:rPr>
          <w:rFonts w:ascii="Arial" w:hAnsi="Arial" w:cs="Arial"/>
        </w:rPr>
        <w:t>.F above, a comment on a failure by the defense to put on evidence</w:t>
      </w:r>
      <w:r w:rsidR="002863DE">
        <w:rPr>
          <w:rFonts w:ascii="Arial" w:hAnsi="Arial" w:cs="Arial"/>
        </w:rPr>
        <w:t xml:space="preserve"> or contradict the State’s evidence</w:t>
      </w:r>
      <w:r w:rsidR="007B6333" w:rsidRPr="00641284">
        <w:rPr>
          <w:rFonts w:ascii="Arial" w:hAnsi="Arial" w:cs="Arial"/>
        </w:rPr>
        <w:t xml:space="preserve"> is not a </w:t>
      </w:r>
      <w:r w:rsidR="007B6333" w:rsidRPr="00641284">
        <w:rPr>
          <w:rFonts w:ascii="Arial" w:hAnsi="Arial" w:cs="Arial"/>
        </w:rPr>
        <w:lastRenderedPageBreak/>
        <w:t>comment on the defendant’s failure to testify.</w:t>
      </w:r>
      <w:r w:rsidR="009D6F57">
        <w:rPr>
          <w:rFonts w:ascii="Arial" w:hAnsi="Arial" w:cs="Arial"/>
        </w:rPr>
        <w:t xml:space="preserve"> </w:t>
      </w:r>
      <w:r w:rsidR="009D6F57">
        <w:rPr>
          <w:rFonts w:ascii="Arial" w:hAnsi="Arial" w:cs="Arial"/>
          <w:i/>
          <w:iCs/>
        </w:rPr>
        <w:t>See</w:t>
      </w:r>
      <w:r w:rsidR="002863DE">
        <w:rPr>
          <w:rFonts w:ascii="Arial" w:hAnsi="Arial" w:cs="Arial"/>
          <w:i/>
          <w:iCs/>
        </w:rPr>
        <w:t>, e.g.</w:t>
      </w:r>
      <w:r w:rsidR="002863DE">
        <w:rPr>
          <w:rFonts w:ascii="Arial" w:hAnsi="Arial" w:cs="Arial"/>
        </w:rPr>
        <w:t xml:space="preserve">, </w:t>
      </w:r>
      <w:r w:rsidR="009D6F57">
        <w:rPr>
          <w:rFonts w:ascii="Arial" w:hAnsi="Arial" w:cs="Arial"/>
        </w:rPr>
        <w:t xml:space="preserve">State v. </w:t>
      </w:r>
      <w:r w:rsidR="00ED20F8">
        <w:rPr>
          <w:rFonts w:ascii="Arial" w:hAnsi="Arial" w:cs="Arial"/>
        </w:rPr>
        <w:t xml:space="preserve">Fabian, </w:t>
      </w:r>
      <w:r w:rsidR="009D6F57">
        <w:rPr>
          <w:rFonts w:ascii="Arial" w:hAnsi="Arial" w:cs="Arial"/>
        </w:rPr>
        <w:t>286 N.C. App. 712</w:t>
      </w:r>
      <w:r w:rsidR="003A337A">
        <w:rPr>
          <w:rFonts w:ascii="Arial" w:hAnsi="Arial" w:cs="Arial"/>
        </w:rPr>
        <w:t>, 726-27</w:t>
      </w:r>
      <w:r w:rsidR="009D6F57">
        <w:rPr>
          <w:rFonts w:ascii="Arial" w:hAnsi="Arial" w:cs="Arial"/>
        </w:rPr>
        <w:t xml:space="preserve"> (2022) (prosecutor’s statement that child sex abuse victim’</w:t>
      </w:r>
      <w:r w:rsidR="00ED20F8">
        <w:rPr>
          <w:rFonts w:ascii="Arial" w:hAnsi="Arial" w:cs="Arial"/>
        </w:rPr>
        <w:t>s parents</w:t>
      </w:r>
      <w:r w:rsidR="009D6F57">
        <w:rPr>
          <w:rFonts w:ascii="Arial" w:hAnsi="Arial" w:cs="Arial"/>
        </w:rPr>
        <w:t xml:space="preserve"> still w</w:t>
      </w:r>
      <w:r w:rsidR="00ED20F8">
        <w:rPr>
          <w:rFonts w:ascii="Arial" w:hAnsi="Arial" w:cs="Arial"/>
        </w:rPr>
        <w:t>ere</w:t>
      </w:r>
      <w:r w:rsidR="009D6F57">
        <w:rPr>
          <w:rFonts w:ascii="Arial" w:hAnsi="Arial" w:cs="Arial"/>
        </w:rPr>
        <w:t xml:space="preserve"> waiting on the defendant to “deny it” was not a comment on defendant’s failure to testify at trial but rather a comment on </w:t>
      </w:r>
      <w:r w:rsidR="002B3FED">
        <w:rPr>
          <w:rFonts w:ascii="Arial" w:hAnsi="Arial" w:cs="Arial"/>
        </w:rPr>
        <w:t>properly admitted evidence showing</w:t>
      </w:r>
      <w:r w:rsidR="009D6F57">
        <w:rPr>
          <w:rFonts w:ascii="Arial" w:hAnsi="Arial" w:cs="Arial"/>
        </w:rPr>
        <w:t xml:space="preserve"> that defendant did not deny the conduct when confronted by the </w:t>
      </w:r>
      <w:r w:rsidR="00ED20F8">
        <w:rPr>
          <w:rFonts w:ascii="Arial" w:hAnsi="Arial" w:cs="Arial"/>
        </w:rPr>
        <w:t>parents</w:t>
      </w:r>
      <w:r w:rsidR="009D6F57">
        <w:rPr>
          <w:rFonts w:ascii="Arial" w:hAnsi="Arial" w:cs="Arial"/>
        </w:rPr>
        <w:t>)</w:t>
      </w:r>
      <w:r w:rsidR="002863DE">
        <w:rPr>
          <w:rFonts w:ascii="Arial" w:hAnsi="Arial" w:cs="Arial"/>
        </w:rPr>
        <w:t>; State v. Foust, 220 N.C. App. 63, 75 (2012) (prosecutor’s argument that aspects of the State’s case had not been contradicted was not an improper comment on the defendant’s right not to testify)</w:t>
      </w:r>
      <w:r w:rsidR="009D6F57">
        <w:rPr>
          <w:rFonts w:ascii="Arial" w:hAnsi="Arial" w:cs="Arial"/>
        </w:rPr>
        <w:t>.</w:t>
      </w:r>
    </w:p>
    <w:p w14:paraId="1B8D215C" w14:textId="1EAF48D7" w:rsidR="007B6333" w:rsidRPr="00641284" w:rsidRDefault="007B6333" w:rsidP="00DB30BF">
      <w:pPr>
        <w:pStyle w:val="ListParagraph"/>
        <w:numPr>
          <w:ilvl w:val="2"/>
          <w:numId w:val="8"/>
        </w:numPr>
        <w:spacing w:after="0" w:line="240" w:lineRule="auto"/>
        <w:rPr>
          <w:rFonts w:ascii="Arial" w:hAnsi="Arial" w:cs="Arial"/>
        </w:rPr>
      </w:pPr>
      <w:bookmarkStart w:id="67" w:name="_Toc402880735"/>
      <w:bookmarkStart w:id="68" w:name="_Toc209539211"/>
      <w:r w:rsidRPr="00CF4FBE">
        <w:rPr>
          <w:rStyle w:val="Heading3Char"/>
        </w:rPr>
        <w:t>Failure To Call a Spouse</w:t>
      </w:r>
      <w:bookmarkEnd w:id="67"/>
      <w:bookmarkEnd w:id="68"/>
      <w:r w:rsidRPr="00641284">
        <w:rPr>
          <w:rFonts w:ascii="Arial" w:hAnsi="Arial" w:cs="Arial"/>
          <w:b/>
          <w:bCs/>
        </w:rPr>
        <w:t xml:space="preserve">. </w:t>
      </w:r>
      <w:r w:rsidRPr="00641284">
        <w:rPr>
          <w:rFonts w:ascii="Arial" w:hAnsi="Arial" w:cs="Arial"/>
        </w:rPr>
        <w:t>A defendant’s failure to call a spouse as a witness may not be used against the defendant. G.S. 8-57(a)</w:t>
      </w:r>
      <w:r w:rsidR="003143A7">
        <w:rPr>
          <w:rFonts w:ascii="Arial" w:hAnsi="Arial" w:cs="Arial"/>
        </w:rPr>
        <w:t xml:space="preserve"> (providing that “</w:t>
      </w:r>
      <w:r w:rsidR="003143A7" w:rsidRPr="003143A7">
        <w:rPr>
          <w:rFonts w:ascii="Arial" w:hAnsi="Arial" w:cs="Arial"/>
        </w:rPr>
        <w:t xml:space="preserve">the failure of the defendant to call </w:t>
      </w:r>
      <w:r w:rsidR="003143A7">
        <w:rPr>
          <w:rFonts w:ascii="Arial" w:hAnsi="Arial" w:cs="Arial"/>
        </w:rPr>
        <w:t>[his or her]</w:t>
      </w:r>
      <w:r w:rsidR="003143A7" w:rsidRPr="003143A7">
        <w:rPr>
          <w:rFonts w:ascii="Arial" w:hAnsi="Arial" w:cs="Arial"/>
        </w:rPr>
        <w:t xml:space="preserve"> spouse as a witness shall not be used against hi</w:t>
      </w:r>
      <w:r w:rsidR="003143A7">
        <w:rPr>
          <w:rFonts w:ascii="Arial" w:hAnsi="Arial" w:cs="Arial"/>
        </w:rPr>
        <w:t>m”)</w:t>
      </w:r>
      <w:r w:rsidRPr="00641284">
        <w:rPr>
          <w:rFonts w:ascii="Arial" w:hAnsi="Arial" w:cs="Arial"/>
        </w:rPr>
        <w:t xml:space="preserve">; State v. Barden, 356 N.C. 316, 380-81 (2002) (citing </w:t>
      </w:r>
      <w:r w:rsidR="00F74D0F">
        <w:rPr>
          <w:rFonts w:ascii="Arial" w:hAnsi="Arial" w:cs="Arial"/>
        </w:rPr>
        <w:t xml:space="preserve">the </w:t>
      </w:r>
      <w:r w:rsidRPr="00641284">
        <w:rPr>
          <w:rFonts w:ascii="Arial" w:hAnsi="Arial" w:cs="Arial"/>
        </w:rPr>
        <w:t>statute and holding that the prosecutor’s argument about why the defense did not call the defendant’s wife was improper).</w:t>
      </w:r>
    </w:p>
    <w:p w14:paraId="104580B8" w14:textId="77777777" w:rsidR="007B6333" w:rsidRPr="00641284" w:rsidRDefault="007B6333" w:rsidP="00DB30BF">
      <w:pPr>
        <w:pStyle w:val="ListParagraph"/>
        <w:numPr>
          <w:ilvl w:val="2"/>
          <w:numId w:val="8"/>
        </w:numPr>
        <w:spacing w:after="0" w:line="240" w:lineRule="auto"/>
        <w:rPr>
          <w:rFonts w:ascii="Arial" w:hAnsi="Arial" w:cs="Arial"/>
        </w:rPr>
      </w:pPr>
      <w:bookmarkStart w:id="69" w:name="_Toc402880736"/>
      <w:bookmarkStart w:id="70" w:name="_Toc209539212"/>
      <w:r w:rsidRPr="00CF4FBE">
        <w:rPr>
          <w:rStyle w:val="Heading3Char"/>
        </w:rPr>
        <w:t>Reading the Indictment</w:t>
      </w:r>
      <w:bookmarkEnd w:id="69"/>
      <w:bookmarkEnd w:id="70"/>
      <w:r w:rsidRPr="00641284">
        <w:rPr>
          <w:rFonts w:ascii="Arial" w:hAnsi="Arial" w:cs="Arial"/>
          <w:b/>
          <w:bCs/>
        </w:rPr>
        <w:t xml:space="preserve">. </w:t>
      </w:r>
      <w:r w:rsidRPr="00641284">
        <w:rPr>
          <w:rFonts w:ascii="Arial" w:hAnsi="Arial" w:cs="Arial"/>
        </w:rPr>
        <w:t>Neither lawyer may read the indictment to the jury. G.S. 15A-1221(b).</w:t>
      </w:r>
    </w:p>
    <w:p w14:paraId="5567D275" w14:textId="77777777" w:rsidR="007B6333" w:rsidRPr="00641284" w:rsidRDefault="007B6333" w:rsidP="00DB30BF">
      <w:pPr>
        <w:pStyle w:val="ListParagraph"/>
        <w:numPr>
          <w:ilvl w:val="2"/>
          <w:numId w:val="8"/>
        </w:numPr>
        <w:spacing w:after="0" w:line="240" w:lineRule="auto"/>
        <w:rPr>
          <w:rFonts w:ascii="Arial" w:hAnsi="Arial" w:cs="Arial"/>
        </w:rPr>
      </w:pPr>
      <w:bookmarkStart w:id="71" w:name="_Toc402880737"/>
      <w:bookmarkStart w:id="72" w:name="_Toc209539213"/>
      <w:r w:rsidRPr="00CF4FBE">
        <w:rPr>
          <w:rStyle w:val="Heading3Char"/>
        </w:rPr>
        <w:t>Religious Arguments</w:t>
      </w:r>
      <w:bookmarkEnd w:id="71"/>
      <w:bookmarkEnd w:id="72"/>
      <w:r w:rsidRPr="00641284">
        <w:rPr>
          <w:rFonts w:ascii="Arial" w:hAnsi="Arial" w:cs="Arial"/>
          <w:b/>
          <w:bCs/>
        </w:rPr>
        <w:t xml:space="preserve">. </w:t>
      </w:r>
      <w:r w:rsidRPr="00641284">
        <w:rPr>
          <w:rFonts w:ascii="Arial" w:hAnsi="Arial" w:cs="Arial"/>
        </w:rPr>
        <w:t xml:space="preserve">The North Carolina Supreme Court has repeatedly cautioned against the use of arguments based on religion. </w:t>
      </w:r>
      <w:r w:rsidRPr="00641284">
        <w:rPr>
          <w:rFonts w:ascii="Arial" w:hAnsi="Arial" w:cs="Arial"/>
          <w:i/>
          <w:iCs/>
        </w:rPr>
        <w:t xml:space="preserve">See, e.g., </w:t>
      </w:r>
      <w:r w:rsidRPr="00641284">
        <w:rPr>
          <w:rFonts w:ascii="Arial" w:hAnsi="Arial" w:cs="Arial"/>
        </w:rPr>
        <w:t>State v. Barden, 356 N.C. 316 (2002). It has explained:</w:t>
      </w:r>
    </w:p>
    <w:p w14:paraId="58F9248A" w14:textId="77777777" w:rsidR="00342ED1" w:rsidRDefault="00342ED1" w:rsidP="00DB30BF">
      <w:pPr>
        <w:pStyle w:val="ListParagraph"/>
        <w:spacing w:after="0" w:line="240" w:lineRule="auto"/>
        <w:ind w:left="2520" w:right="720"/>
        <w:rPr>
          <w:rFonts w:ascii="Arial" w:hAnsi="Arial" w:cs="Arial"/>
        </w:rPr>
      </w:pPr>
    </w:p>
    <w:p w14:paraId="0B01B483" w14:textId="36183013" w:rsidR="007B6333" w:rsidRPr="00641284" w:rsidRDefault="007B6333" w:rsidP="00DB30BF">
      <w:pPr>
        <w:pStyle w:val="ListParagraph"/>
        <w:spacing w:after="0" w:line="240" w:lineRule="auto"/>
        <w:ind w:left="2520" w:right="720"/>
        <w:rPr>
          <w:rFonts w:ascii="Arial" w:hAnsi="Arial" w:cs="Arial"/>
        </w:rPr>
      </w:pPr>
      <w:r w:rsidRPr="00641284">
        <w:rPr>
          <w:rFonts w:ascii="Arial" w:hAnsi="Arial" w:cs="Arial"/>
        </w:rPr>
        <w:t>Jury arguments based on any of the religions of the world inevitably pose a danger of distracting the jury from its sole and exclusive duty of applying secular law and unnecessarily risk reversal of otherwise error-free trials. Although we may believe that parts of our law are divinely inspired, it is the secular law of North Carolina which is to be applied in our courtrooms. Our trial courts must vigilantly ensure that counsel for the State and for defendant do not distract the jury from their sole and exclusive duty to apply secular law.</w:t>
      </w:r>
    </w:p>
    <w:p w14:paraId="1873076F" w14:textId="77777777" w:rsidR="00342ED1" w:rsidRDefault="00342ED1" w:rsidP="00DB30BF">
      <w:pPr>
        <w:pStyle w:val="ListParagraph"/>
        <w:spacing w:after="0" w:line="240" w:lineRule="auto"/>
        <w:ind w:left="2160"/>
        <w:rPr>
          <w:rFonts w:ascii="Arial" w:hAnsi="Arial" w:cs="Arial"/>
          <w:i/>
          <w:iCs/>
        </w:rPr>
      </w:pPr>
    </w:p>
    <w:p w14:paraId="5B76CF8B" w14:textId="58B7A1E3" w:rsidR="007B6333" w:rsidRPr="00641284" w:rsidRDefault="007B6333" w:rsidP="00DB30BF">
      <w:pPr>
        <w:pStyle w:val="ListParagraph"/>
        <w:spacing w:after="0" w:line="240" w:lineRule="auto"/>
        <w:ind w:left="2160"/>
        <w:rPr>
          <w:rFonts w:ascii="Arial" w:hAnsi="Arial" w:cs="Arial"/>
        </w:rPr>
      </w:pPr>
      <w:r w:rsidRPr="00641284">
        <w:rPr>
          <w:rFonts w:ascii="Arial" w:hAnsi="Arial" w:cs="Arial"/>
          <w:i/>
          <w:iCs/>
        </w:rPr>
        <w:t>Id.</w:t>
      </w:r>
      <w:r w:rsidRPr="00641284">
        <w:rPr>
          <w:rFonts w:ascii="Arial" w:hAnsi="Arial" w:cs="Arial"/>
        </w:rPr>
        <w:t xml:space="preserve"> at 358</w:t>
      </w:r>
      <w:r w:rsidRPr="00641284">
        <w:rPr>
          <w:rFonts w:ascii="Arial" w:hAnsi="Arial" w:cs="Arial"/>
          <w:i/>
          <w:iCs/>
        </w:rPr>
        <w:t xml:space="preserve"> </w:t>
      </w:r>
      <w:r w:rsidRPr="00641284">
        <w:rPr>
          <w:rFonts w:ascii="Arial" w:hAnsi="Arial" w:cs="Arial"/>
        </w:rPr>
        <w:t xml:space="preserve">(quoting State v. Williams, 350 N.C. 1, 27 (1999)); </w:t>
      </w:r>
      <w:r w:rsidRPr="00641284">
        <w:rPr>
          <w:rFonts w:ascii="Arial" w:hAnsi="Arial" w:cs="Arial"/>
          <w:i/>
          <w:iCs/>
        </w:rPr>
        <w:t xml:space="preserve">see also </w:t>
      </w:r>
      <w:r w:rsidRPr="00641284">
        <w:rPr>
          <w:rFonts w:ascii="Arial" w:hAnsi="Arial" w:cs="Arial"/>
        </w:rPr>
        <w:t xml:space="preserve">State v. Gell, 351 N.C. 192, 215 (2000) (quoting the same). Thus, for example, the North Carolina Supreme Court has disapproved of arguments citing Bible passages and arguing in effect that the powers of public officials, including the police, prosecutors and judges are ordained by God as his representatives on earth and that to resist these powers is to resist God, State v. Moose, 310 N.C. 482, 501 (1984), and of argument implying that if the defendant was guilty and the jurors convicted him that they would be blessed by God. State v. Bunning, 338 N.C. 483, 490 (1994). However, </w:t>
      </w:r>
      <w:r w:rsidR="00D3558A">
        <w:rPr>
          <w:rFonts w:ascii="Arial" w:hAnsi="Arial" w:cs="Arial"/>
        </w:rPr>
        <w:t>b</w:t>
      </w:r>
      <w:r w:rsidRPr="00641284">
        <w:rPr>
          <w:rFonts w:ascii="Arial" w:hAnsi="Arial" w:cs="Arial"/>
        </w:rPr>
        <w:t xml:space="preserve">iblical references are not always improper. </w:t>
      </w:r>
      <w:r w:rsidRPr="00641284">
        <w:rPr>
          <w:rFonts w:ascii="Arial" w:hAnsi="Arial" w:cs="Arial"/>
          <w:i/>
          <w:iCs/>
        </w:rPr>
        <w:t>See Barden</w:t>
      </w:r>
      <w:r w:rsidRPr="00641284">
        <w:rPr>
          <w:rFonts w:ascii="Arial" w:hAnsi="Arial" w:cs="Arial"/>
        </w:rPr>
        <w:t xml:space="preserve">, 356 N.C. at 358 (the court has “found biblical arguments to fall within permissible margins more often than not” (citation omitted)); </w:t>
      </w:r>
      <w:r w:rsidRPr="00641284">
        <w:rPr>
          <w:rFonts w:ascii="Arial" w:hAnsi="Arial" w:cs="Arial"/>
          <w:i/>
          <w:iCs/>
        </w:rPr>
        <w:t>Gell</w:t>
      </w:r>
      <w:r w:rsidRPr="00641284">
        <w:rPr>
          <w:rFonts w:ascii="Arial" w:hAnsi="Arial" w:cs="Arial"/>
        </w:rPr>
        <w:t xml:space="preserve">, 351 N.C. at 215 (same); State v. Call, 349 N.C. 382, 420-21 (1998) (it was not improper for the prosecutor, in closing argument, to use the Bible passage, “[t]he wicked flee when no man </w:t>
      </w:r>
      <w:proofErr w:type="spellStart"/>
      <w:r w:rsidRPr="00641284">
        <w:rPr>
          <w:rFonts w:ascii="Arial" w:hAnsi="Arial" w:cs="Arial"/>
        </w:rPr>
        <w:t>pursueth</w:t>
      </w:r>
      <w:proofErr w:type="spellEnd"/>
      <w:r w:rsidRPr="00641284">
        <w:rPr>
          <w:rFonts w:ascii="Arial" w:hAnsi="Arial" w:cs="Arial"/>
        </w:rPr>
        <w:t>, but the righteous are bold as a lion,” as explanation of significance of defendant's flight).</w:t>
      </w:r>
    </w:p>
    <w:p w14:paraId="7804EC0C" w14:textId="7C1108BF" w:rsidR="007B6333" w:rsidRPr="00641284" w:rsidRDefault="007B6333" w:rsidP="00DB30BF">
      <w:pPr>
        <w:pStyle w:val="ListParagraph"/>
        <w:numPr>
          <w:ilvl w:val="2"/>
          <w:numId w:val="8"/>
        </w:numPr>
        <w:spacing w:after="0" w:line="240" w:lineRule="auto"/>
        <w:rPr>
          <w:rFonts w:ascii="Arial" w:hAnsi="Arial" w:cs="Arial"/>
        </w:rPr>
      </w:pPr>
      <w:bookmarkStart w:id="73" w:name="_Toc402880738"/>
      <w:bookmarkStart w:id="74" w:name="_Toc209539214"/>
      <w:r w:rsidRPr="00CF4FBE">
        <w:rPr>
          <w:rStyle w:val="Heading3Char"/>
        </w:rPr>
        <w:t>Name Calling</w:t>
      </w:r>
      <w:bookmarkEnd w:id="73"/>
      <w:bookmarkEnd w:id="74"/>
      <w:r w:rsidRPr="00641284">
        <w:rPr>
          <w:rFonts w:ascii="Arial" w:hAnsi="Arial" w:cs="Arial"/>
          <w:b/>
          <w:bCs/>
        </w:rPr>
        <w:t xml:space="preserve">. </w:t>
      </w:r>
      <w:proofErr w:type="gramStart"/>
      <w:r w:rsidRPr="00641284">
        <w:rPr>
          <w:rFonts w:ascii="Arial" w:hAnsi="Arial" w:cs="Arial"/>
        </w:rPr>
        <w:t>As a general rule</w:t>
      </w:r>
      <w:proofErr w:type="gramEnd"/>
      <w:r w:rsidRPr="00641284">
        <w:rPr>
          <w:rFonts w:ascii="Arial" w:hAnsi="Arial" w:cs="Arial"/>
        </w:rPr>
        <w:t xml:space="preserve">, name calling should be avoided in jury argument. N.C. </w:t>
      </w:r>
      <w:r w:rsidRPr="00641284">
        <w:rPr>
          <w:rFonts w:ascii="Arial" w:hAnsi="Arial" w:cs="Arial"/>
          <w:smallCaps/>
        </w:rPr>
        <w:t xml:space="preserve">R. Super. and Dist. </w:t>
      </w:r>
      <w:proofErr w:type="spellStart"/>
      <w:r w:rsidRPr="00641284">
        <w:rPr>
          <w:rFonts w:ascii="Arial" w:hAnsi="Arial" w:cs="Arial"/>
          <w:smallCaps/>
        </w:rPr>
        <w:t>Cts</w:t>
      </w:r>
      <w:proofErr w:type="spellEnd"/>
      <w:r w:rsidR="005E3FB6">
        <w:rPr>
          <w:rFonts w:ascii="Arial" w:hAnsi="Arial" w:cs="Arial"/>
          <w:smallCaps/>
        </w:rPr>
        <w:t>.</w:t>
      </w:r>
      <w:r w:rsidRPr="00641284">
        <w:rPr>
          <w:rFonts w:ascii="Arial" w:hAnsi="Arial" w:cs="Arial"/>
          <w:smallCaps/>
        </w:rPr>
        <w:t xml:space="preserve"> </w:t>
      </w:r>
      <w:r w:rsidRPr="00641284">
        <w:rPr>
          <w:rFonts w:ascii="Arial" w:hAnsi="Arial" w:cs="Arial"/>
        </w:rPr>
        <w:t xml:space="preserve">Rule 12 (“offensive personal references are prohibited”); State v. Augustine, 359. N.C. 709, 736 (2005) (disapproving of a prosecutor’s reference to the defendant as a </w:t>
      </w:r>
      <w:r w:rsidRPr="00641284">
        <w:rPr>
          <w:rFonts w:ascii="Arial" w:hAnsi="Arial" w:cs="Arial"/>
        </w:rPr>
        <w:lastRenderedPageBreak/>
        <w:t xml:space="preserve">“despicable human being”); State v. Jones, 355 N.C. 117, 133-34 (2002) (prosecutor improperly engaged in name-calling when he said of the defendant: “You got this quitter, this loser, this worthless piece of-who's mean </w:t>
      </w:r>
      <w:proofErr w:type="gramStart"/>
      <w:r w:rsidRPr="00641284">
        <w:rPr>
          <w:rFonts w:ascii="Arial" w:hAnsi="Arial" w:cs="Arial"/>
        </w:rPr>
        <w:t>. . . .</w:t>
      </w:r>
      <w:proofErr w:type="gramEnd"/>
      <w:r w:rsidRPr="00641284">
        <w:rPr>
          <w:rFonts w:ascii="Arial" w:hAnsi="Arial" w:cs="Arial"/>
        </w:rPr>
        <w:t xml:space="preserve"> He's as mean as they come. He's lower than the dirt on a snake's belly.”); </w:t>
      </w:r>
      <w:r w:rsidR="00BA2330">
        <w:rPr>
          <w:rFonts w:ascii="Arial" w:hAnsi="Arial" w:cs="Arial"/>
        </w:rPr>
        <w:t xml:space="preserve">State v. Madonna, 256 N.C. App. 112, 118 (2017) (improperly abusive for prosecutor to state that the defendant “can’t keep her knees together or her mouth shut” and to refer to her as a “narcissist”); </w:t>
      </w:r>
      <w:r w:rsidRPr="00641284">
        <w:rPr>
          <w:rFonts w:ascii="Arial" w:hAnsi="Arial" w:cs="Arial"/>
        </w:rPr>
        <w:t xml:space="preserve">State v. Gillikin, </w:t>
      </w:r>
      <w:r w:rsidR="00051F40">
        <w:rPr>
          <w:rFonts w:ascii="Arial" w:hAnsi="Arial" w:cs="Arial"/>
        </w:rPr>
        <w:t>217</w:t>
      </w:r>
      <w:r w:rsidRPr="00641284">
        <w:rPr>
          <w:rFonts w:ascii="Arial" w:hAnsi="Arial" w:cs="Arial"/>
        </w:rPr>
        <w:t xml:space="preserve"> N.C. App. </w:t>
      </w:r>
      <w:r w:rsidR="00051F40">
        <w:rPr>
          <w:rFonts w:ascii="Arial" w:hAnsi="Arial" w:cs="Arial"/>
        </w:rPr>
        <w:t>256, 266-67</w:t>
      </w:r>
      <w:r w:rsidRPr="00641284">
        <w:rPr>
          <w:rFonts w:ascii="Arial" w:hAnsi="Arial" w:cs="Arial"/>
        </w:rPr>
        <w:t xml:space="preserve"> (2011) (gross</w:t>
      </w:r>
      <w:r w:rsidR="00051F40">
        <w:rPr>
          <w:rFonts w:ascii="Arial" w:hAnsi="Arial" w:cs="Arial"/>
        </w:rPr>
        <w:t>ly</w:t>
      </w:r>
      <w:r w:rsidRPr="00641284">
        <w:rPr>
          <w:rFonts w:ascii="Arial" w:hAnsi="Arial" w:cs="Arial"/>
        </w:rPr>
        <w:t xml:space="preserve"> </w:t>
      </w:r>
      <w:r w:rsidR="00BD04F8">
        <w:rPr>
          <w:rFonts w:ascii="Arial" w:hAnsi="Arial" w:cs="Arial"/>
        </w:rPr>
        <w:t xml:space="preserve">improper for </w:t>
      </w:r>
      <w:r w:rsidRPr="00641284">
        <w:rPr>
          <w:rFonts w:ascii="Arial" w:hAnsi="Arial" w:cs="Arial"/>
        </w:rPr>
        <w:t xml:space="preserve">prosecutor </w:t>
      </w:r>
      <w:r w:rsidR="00051F40">
        <w:rPr>
          <w:rFonts w:ascii="Arial" w:hAnsi="Arial" w:cs="Arial"/>
        </w:rPr>
        <w:t xml:space="preserve">to </w:t>
      </w:r>
      <w:r w:rsidRPr="00641284">
        <w:rPr>
          <w:rFonts w:ascii="Arial" w:hAnsi="Arial" w:cs="Arial"/>
        </w:rPr>
        <w:t xml:space="preserve">repeatedly engage in abusive name-calling of the defendant). Specific names are discussed in the subsections below. However, when certain appellations accurately reflect the evidence, use of them has been held not to be error. </w:t>
      </w:r>
      <w:r w:rsidRPr="00641284">
        <w:rPr>
          <w:rFonts w:ascii="Arial" w:hAnsi="Arial" w:cs="Arial"/>
          <w:i/>
          <w:iCs/>
        </w:rPr>
        <w:t xml:space="preserve">See, e.g., </w:t>
      </w:r>
      <w:r w:rsidRPr="00641284">
        <w:rPr>
          <w:rFonts w:ascii="Arial" w:hAnsi="Arial" w:cs="Arial"/>
        </w:rPr>
        <w:t>State v. Thomas, 350 N.C. 315, 361-62 (1999) (in a first-degree murder case, it was not improper for the prosecution to refer to the defendant as “a cold-blooded . . . killer”); State v. Harris, 338 N.C. 211, 229-30 (1994) (</w:t>
      </w:r>
      <w:r w:rsidR="004E09F9">
        <w:rPr>
          <w:rFonts w:ascii="Arial" w:hAnsi="Arial" w:cs="Arial"/>
        </w:rPr>
        <w:t>not improper to refer</w:t>
      </w:r>
      <w:r w:rsidR="004E09F9" w:rsidRPr="00641284">
        <w:rPr>
          <w:rFonts w:ascii="Arial" w:hAnsi="Arial" w:cs="Arial"/>
        </w:rPr>
        <w:t xml:space="preserve"> to the defendant as a “cold-blooded murderer” and a “doper”</w:t>
      </w:r>
      <w:r w:rsidR="004E09F9">
        <w:rPr>
          <w:rFonts w:ascii="Arial" w:hAnsi="Arial" w:cs="Arial"/>
        </w:rPr>
        <w:t xml:space="preserve"> where he was on trial for first-degree murder and evidence of his past drug use was introduced</w:t>
      </w:r>
      <w:r w:rsidR="00796186">
        <w:rPr>
          <w:rFonts w:ascii="Arial" w:hAnsi="Arial" w:cs="Arial"/>
        </w:rPr>
        <w:t>’’</w:t>
      </w:r>
      <w:r w:rsidRPr="00641284">
        <w:rPr>
          <w:rFonts w:ascii="Arial" w:hAnsi="Arial" w:cs="Arial"/>
        </w:rPr>
        <w:t>)</w:t>
      </w:r>
      <w:r w:rsidR="004E09F9">
        <w:rPr>
          <w:rFonts w:ascii="Arial" w:hAnsi="Arial" w:cs="Arial"/>
        </w:rPr>
        <w:t xml:space="preserve">; </w:t>
      </w:r>
      <w:r w:rsidR="006E40B7">
        <w:rPr>
          <w:rFonts w:ascii="Arial" w:hAnsi="Arial" w:cs="Arial"/>
        </w:rPr>
        <w:t>State v. Strickland, 283 N.C. App. 295, 307 (2022) (not improper to refer to the defendant as “unpredictable,” “impulsive,” “angry,” “obsessed,” “frustrated,” and “dangerous” because, while derogatory, all characterizations were supported by the evidence);</w:t>
      </w:r>
      <w:r w:rsidR="009876C2">
        <w:rPr>
          <w:rFonts w:ascii="Arial" w:hAnsi="Arial" w:cs="Arial"/>
        </w:rPr>
        <w:t xml:space="preserve"> </w:t>
      </w:r>
      <w:r w:rsidR="004E09F9">
        <w:rPr>
          <w:rFonts w:ascii="Arial" w:hAnsi="Arial" w:cs="Arial"/>
        </w:rPr>
        <w:t>State v. Wardrett, 261 N.C. App. 735, 741 (2018) (not improper to refer to the defendant as a “fool” where evidence showed he, while being a convicted felon, intervened in an argument between two other people, pointed a loaded firearm at a person, and enlisted the help of others to hide the firearm)</w:t>
      </w:r>
      <w:r w:rsidRPr="00641284">
        <w:rPr>
          <w:rFonts w:ascii="Arial" w:hAnsi="Arial" w:cs="Arial"/>
        </w:rPr>
        <w:t>.</w:t>
      </w:r>
    </w:p>
    <w:p w14:paraId="6FE07F6B" w14:textId="2247F515" w:rsidR="007B6333" w:rsidRPr="00641284" w:rsidRDefault="007B6333" w:rsidP="00DB77E7">
      <w:pPr>
        <w:pStyle w:val="ListParagraph"/>
        <w:numPr>
          <w:ilvl w:val="0"/>
          <w:numId w:val="10"/>
        </w:numPr>
        <w:spacing w:after="0" w:line="240" w:lineRule="auto"/>
        <w:ind w:left="2880" w:hanging="720"/>
        <w:rPr>
          <w:rFonts w:ascii="Arial" w:hAnsi="Arial" w:cs="Arial"/>
          <w:b/>
          <w:bCs/>
        </w:rPr>
      </w:pPr>
      <w:r w:rsidRPr="00641284">
        <w:rPr>
          <w:rFonts w:ascii="Arial" w:hAnsi="Arial" w:cs="Arial"/>
          <w:b/>
          <w:bCs/>
        </w:rPr>
        <w:t xml:space="preserve">Liar. </w:t>
      </w:r>
      <w:r w:rsidRPr="00641284">
        <w:rPr>
          <w:rFonts w:ascii="Arial" w:hAnsi="Arial" w:cs="Arial"/>
        </w:rPr>
        <w:t>It is improper for a lawyer to call a defendant, a witness, or opposing counsel a liar. State v. Gell, 351 N.C. 192, 211 (2000) (prosecutor’s argument was improper); State v. Sexton, 336 N.C. 321, 363 (1994) (same). Likewise</w:t>
      </w:r>
      <w:r w:rsidR="00051F40">
        <w:rPr>
          <w:rFonts w:ascii="Arial" w:hAnsi="Arial" w:cs="Arial"/>
        </w:rPr>
        <w:t xml:space="preserve">, as discussed below in Section </w:t>
      </w:r>
      <w:r w:rsidR="00A20A6B">
        <w:rPr>
          <w:rFonts w:ascii="Arial" w:hAnsi="Arial" w:cs="Arial"/>
        </w:rPr>
        <w:t>V</w:t>
      </w:r>
      <w:r w:rsidR="00051F40">
        <w:rPr>
          <w:rFonts w:ascii="Arial" w:hAnsi="Arial" w:cs="Arial"/>
        </w:rPr>
        <w:t>.B.18,</w:t>
      </w:r>
      <w:r w:rsidRPr="00641284">
        <w:rPr>
          <w:rFonts w:ascii="Arial" w:hAnsi="Arial" w:cs="Arial"/>
        </w:rPr>
        <w:t xml:space="preserve"> it is improper for a lawyer to express the opinion that either the defendant or a witness is a liar or is lying. State v. Miller, 271 N.C. 646, 659 (1967) (witness);</w:t>
      </w:r>
      <w:r w:rsidR="008B7EF6">
        <w:rPr>
          <w:rFonts w:ascii="Arial" w:hAnsi="Arial" w:cs="Arial"/>
        </w:rPr>
        <w:t xml:space="preserve"> State v. Wright, ___ N.C. App. ___, 2025 WL 2232361 (Aug. 6, 2025) (</w:t>
      </w:r>
      <w:r w:rsidR="008B7EF6" w:rsidRPr="00641284">
        <w:rPr>
          <w:rFonts w:ascii="Arial" w:hAnsi="Arial" w:cs="Arial"/>
        </w:rPr>
        <w:t>defendant</w:t>
      </w:r>
      <w:r w:rsidR="008B7EF6">
        <w:rPr>
          <w:rFonts w:ascii="Arial" w:hAnsi="Arial" w:cs="Arial"/>
        </w:rPr>
        <w:t xml:space="preserve"> who testified);</w:t>
      </w:r>
      <w:r w:rsidRPr="00641284">
        <w:rPr>
          <w:rFonts w:ascii="Arial" w:hAnsi="Arial" w:cs="Arial"/>
        </w:rPr>
        <w:t xml:space="preserve"> </w:t>
      </w:r>
      <w:r w:rsidRPr="00641284">
        <w:rPr>
          <w:rFonts w:ascii="Arial" w:hAnsi="Arial" w:cs="Arial"/>
          <w:i/>
          <w:iCs/>
        </w:rPr>
        <w:t>Gillikin</w:t>
      </w:r>
      <w:r w:rsidRPr="00641284">
        <w:rPr>
          <w:rFonts w:ascii="Arial" w:hAnsi="Arial" w:cs="Arial"/>
        </w:rPr>
        <w:t xml:space="preserve">, </w:t>
      </w:r>
      <w:r w:rsidR="00051F40">
        <w:rPr>
          <w:rFonts w:ascii="Arial" w:hAnsi="Arial" w:cs="Arial"/>
        </w:rPr>
        <w:t>217</w:t>
      </w:r>
      <w:r w:rsidRPr="00641284">
        <w:rPr>
          <w:rFonts w:ascii="Arial" w:hAnsi="Arial" w:cs="Arial"/>
        </w:rPr>
        <w:t xml:space="preserve"> N.C. App. </w:t>
      </w:r>
      <w:r w:rsidR="00051F40">
        <w:rPr>
          <w:rFonts w:ascii="Arial" w:hAnsi="Arial" w:cs="Arial"/>
        </w:rPr>
        <w:t>at 267</w:t>
      </w:r>
      <w:r w:rsidRPr="00641284">
        <w:rPr>
          <w:rFonts w:ascii="Arial" w:hAnsi="Arial" w:cs="Arial"/>
        </w:rPr>
        <w:t xml:space="preserve"> (defendant</w:t>
      </w:r>
      <w:r w:rsidR="00051F40">
        <w:rPr>
          <w:rFonts w:ascii="Arial" w:hAnsi="Arial" w:cs="Arial"/>
        </w:rPr>
        <w:t xml:space="preserve"> who testified</w:t>
      </w:r>
      <w:r w:rsidRPr="00641284">
        <w:rPr>
          <w:rFonts w:ascii="Arial" w:hAnsi="Arial" w:cs="Arial"/>
        </w:rPr>
        <w:t xml:space="preserve">). </w:t>
      </w:r>
    </w:p>
    <w:p w14:paraId="12851DD7" w14:textId="21F4A1D9" w:rsidR="007B6333" w:rsidRPr="00641284" w:rsidRDefault="007B6333" w:rsidP="00DB77E7">
      <w:pPr>
        <w:spacing w:after="0" w:line="240" w:lineRule="auto"/>
        <w:ind w:left="2880" w:firstLine="720"/>
        <w:rPr>
          <w:rFonts w:ascii="Arial" w:hAnsi="Arial" w:cs="Arial"/>
        </w:rPr>
      </w:pPr>
      <w:r w:rsidRPr="00641284">
        <w:rPr>
          <w:rFonts w:ascii="Arial" w:hAnsi="Arial" w:cs="Arial"/>
        </w:rPr>
        <w:t xml:space="preserve">One exception to this rule is when the defendant is charged with a crime involving falsehoods and the evidence supports the appellation. In </w:t>
      </w:r>
      <w:r w:rsidRPr="00641284">
        <w:rPr>
          <w:rFonts w:ascii="Arial" w:hAnsi="Arial" w:cs="Arial"/>
          <w:i/>
          <w:iCs/>
        </w:rPr>
        <w:t>State v. Twitty</w:t>
      </w:r>
      <w:r w:rsidRPr="00641284">
        <w:rPr>
          <w:rFonts w:ascii="Arial" w:hAnsi="Arial" w:cs="Arial"/>
        </w:rPr>
        <w:t xml:space="preserve">, </w:t>
      </w:r>
      <w:r w:rsidR="00123A37">
        <w:rPr>
          <w:rFonts w:ascii="Arial" w:hAnsi="Arial" w:cs="Arial"/>
        </w:rPr>
        <w:t>212</w:t>
      </w:r>
      <w:r w:rsidRPr="00641284">
        <w:rPr>
          <w:rFonts w:ascii="Arial" w:hAnsi="Arial" w:cs="Arial"/>
        </w:rPr>
        <w:t xml:space="preserve"> N.C. App. </w:t>
      </w:r>
      <w:r w:rsidR="00123A37">
        <w:rPr>
          <w:rFonts w:ascii="Arial" w:hAnsi="Arial" w:cs="Arial"/>
        </w:rPr>
        <w:t>100</w:t>
      </w:r>
      <w:r w:rsidRPr="00641284">
        <w:rPr>
          <w:rFonts w:ascii="Arial" w:hAnsi="Arial" w:cs="Arial"/>
        </w:rPr>
        <w:t>,</w:t>
      </w:r>
      <w:r w:rsidR="00123A37">
        <w:rPr>
          <w:rFonts w:ascii="Arial" w:hAnsi="Arial" w:cs="Arial"/>
        </w:rPr>
        <w:t xml:space="preserve"> 104</w:t>
      </w:r>
      <w:r w:rsidRPr="00641284">
        <w:rPr>
          <w:rFonts w:ascii="Arial" w:hAnsi="Arial" w:cs="Arial"/>
        </w:rPr>
        <w:t xml:space="preserve"> (2011), for example, the defendant was charged with obtaining property by false pretenses, an offense committed by deceiving or lying to win the confidence of victims. In jury argument the prosecutor referred to the defendant as a con man and a liar. The court concluded that because the defendant lied to a church congregation </w:t>
      </w:r>
      <w:proofErr w:type="gramStart"/>
      <w:r w:rsidRPr="00641284">
        <w:rPr>
          <w:rFonts w:ascii="Arial" w:hAnsi="Arial" w:cs="Arial"/>
        </w:rPr>
        <w:t>in order to</w:t>
      </w:r>
      <w:proofErr w:type="gramEnd"/>
      <w:r w:rsidRPr="00641284">
        <w:rPr>
          <w:rFonts w:ascii="Arial" w:hAnsi="Arial" w:cs="Arial"/>
        </w:rPr>
        <w:t xml:space="preserve"> convince them to give him money, there was no impropriety, reasoning that the terms accurately characterized the charged offense and the evidence presented at trial. </w:t>
      </w:r>
    </w:p>
    <w:p w14:paraId="17D67F39" w14:textId="2915E590" w:rsidR="007B6333" w:rsidRPr="00641284" w:rsidRDefault="007B6333" w:rsidP="00DB77E7">
      <w:pPr>
        <w:spacing w:after="0" w:line="240" w:lineRule="auto"/>
        <w:ind w:left="2880" w:firstLine="720"/>
        <w:rPr>
          <w:rFonts w:ascii="Arial" w:hAnsi="Arial" w:cs="Arial"/>
        </w:rPr>
      </w:pPr>
      <w:r w:rsidRPr="00641284">
        <w:rPr>
          <w:rFonts w:ascii="Arial" w:hAnsi="Arial" w:cs="Arial"/>
        </w:rPr>
        <w:t xml:space="preserve">Also, it is not improper for a lawyer to submit to the jury that the defendant or a witness has lied </w:t>
      </w:r>
      <w:proofErr w:type="gramStart"/>
      <w:r w:rsidRPr="00641284">
        <w:rPr>
          <w:rFonts w:ascii="Arial" w:hAnsi="Arial" w:cs="Arial"/>
        </w:rPr>
        <w:t>on the basis of</w:t>
      </w:r>
      <w:proofErr w:type="gramEnd"/>
      <w:r w:rsidRPr="00641284">
        <w:rPr>
          <w:rFonts w:ascii="Arial" w:hAnsi="Arial" w:cs="Arial"/>
        </w:rPr>
        <w:t xml:space="preserve"> the evidence presented. State v. Bunning, 338 N.C. 483, 489 (1994) (“[The prosecutor] asked the jury to conclude the defendant was lying because he had lied about his name and other things. There </w:t>
      </w:r>
      <w:r w:rsidRPr="00641284">
        <w:rPr>
          <w:rFonts w:ascii="Arial" w:hAnsi="Arial" w:cs="Arial"/>
        </w:rPr>
        <w:lastRenderedPageBreak/>
        <w:t>was evidence that the defendant had used several aliases and had used his dead brother's social security card to obtain f</w:t>
      </w:r>
      <w:r w:rsidR="00796186" w:rsidRPr="00641284">
        <w:rPr>
          <w:rFonts w:ascii="Arial" w:hAnsi="Arial" w:cs="Arial"/>
        </w:rPr>
        <w:t>o</w:t>
      </w:r>
      <w:r w:rsidRPr="00641284">
        <w:rPr>
          <w:rFonts w:ascii="Arial" w:hAnsi="Arial" w:cs="Arial"/>
        </w:rPr>
        <w:t xml:space="preserve">od stamps. This was evidence from which the prosecuting attorney could argue that the defendant had not told the truth on several occasions and the jury could find from this that he had not told the truth at his trial.”); </w:t>
      </w:r>
      <w:r w:rsidR="00E52D67">
        <w:rPr>
          <w:rFonts w:ascii="Arial" w:hAnsi="Arial" w:cs="Arial"/>
        </w:rPr>
        <w:t>State v. Mumma, 257 N.C. App. 829, 840 (2018) (not improper for prosecutor to state “[a]re you kidding me?” and “give me a break” when recounting defendant’s inconsistent statements and testimony during closing argument)</w:t>
      </w:r>
      <w:r w:rsidR="00B7711A">
        <w:rPr>
          <w:rFonts w:ascii="Arial" w:hAnsi="Arial" w:cs="Arial"/>
        </w:rPr>
        <w:t>,</w:t>
      </w:r>
      <w:r w:rsidR="00B7711A" w:rsidRPr="00B7711A">
        <w:rPr>
          <w:rFonts w:ascii="Arial" w:hAnsi="Arial" w:cs="Arial"/>
          <w:i/>
          <w:iCs/>
        </w:rPr>
        <w:t xml:space="preserve"> </w:t>
      </w:r>
      <w:r w:rsidR="00B7711A">
        <w:rPr>
          <w:rFonts w:ascii="Arial" w:hAnsi="Arial" w:cs="Arial"/>
          <w:i/>
          <w:iCs/>
        </w:rPr>
        <w:t>aff’d as modified on other grounds</w:t>
      </w:r>
      <w:r w:rsidR="00B7711A">
        <w:rPr>
          <w:rFonts w:ascii="Arial" w:hAnsi="Arial" w:cs="Arial"/>
        </w:rPr>
        <w:t>, 372 N.C. 226 (2019)</w:t>
      </w:r>
      <w:r w:rsidRPr="00641284">
        <w:rPr>
          <w:rFonts w:ascii="Arial" w:hAnsi="Arial" w:cs="Arial"/>
        </w:rPr>
        <w:t>.</w:t>
      </w:r>
    </w:p>
    <w:p w14:paraId="1ADB7770" w14:textId="45AFC699" w:rsidR="007B6333" w:rsidRPr="00641284" w:rsidRDefault="007B6333" w:rsidP="00DB77E7">
      <w:pPr>
        <w:pStyle w:val="ListParagraph"/>
        <w:numPr>
          <w:ilvl w:val="0"/>
          <w:numId w:val="10"/>
        </w:numPr>
        <w:spacing w:after="0" w:line="240" w:lineRule="auto"/>
        <w:ind w:left="2880" w:hanging="720"/>
        <w:rPr>
          <w:rFonts w:ascii="Arial" w:hAnsi="Arial" w:cs="Arial"/>
        </w:rPr>
      </w:pPr>
      <w:r w:rsidRPr="00641284">
        <w:rPr>
          <w:rFonts w:ascii="Arial" w:hAnsi="Arial" w:cs="Arial"/>
          <w:b/>
          <w:bCs/>
        </w:rPr>
        <w:t xml:space="preserve">Parasite. </w:t>
      </w:r>
      <w:r w:rsidRPr="00641284">
        <w:rPr>
          <w:rFonts w:ascii="Arial" w:hAnsi="Arial" w:cs="Arial"/>
        </w:rPr>
        <w:t xml:space="preserve">Counsel should not refer to the defendant as a parasite. </w:t>
      </w:r>
      <w:r w:rsidRPr="00641284">
        <w:rPr>
          <w:rFonts w:ascii="Arial" w:hAnsi="Arial" w:cs="Arial"/>
          <w:i/>
          <w:iCs/>
        </w:rPr>
        <w:t>Twitty</w:t>
      </w:r>
      <w:r w:rsidRPr="00641284">
        <w:rPr>
          <w:rFonts w:ascii="Arial" w:hAnsi="Arial" w:cs="Arial"/>
        </w:rPr>
        <w:t xml:space="preserve">, </w:t>
      </w:r>
      <w:r w:rsidR="00123A37">
        <w:rPr>
          <w:rFonts w:ascii="Arial" w:hAnsi="Arial" w:cs="Arial"/>
        </w:rPr>
        <w:t>212</w:t>
      </w:r>
      <w:r w:rsidRPr="00641284">
        <w:rPr>
          <w:rFonts w:ascii="Arial" w:hAnsi="Arial" w:cs="Arial"/>
        </w:rPr>
        <w:t xml:space="preserve"> N.C. App. at </w:t>
      </w:r>
      <w:r w:rsidR="00123A37">
        <w:rPr>
          <w:rFonts w:ascii="Arial" w:hAnsi="Arial" w:cs="Arial"/>
        </w:rPr>
        <w:t>104</w:t>
      </w:r>
      <w:r w:rsidRPr="00641284">
        <w:rPr>
          <w:rFonts w:ascii="Arial" w:hAnsi="Arial" w:cs="Arial"/>
        </w:rPr>
        <w:t xml:space="preserve"> (prosecutor’s use of the term “parasite” constituted unnecessary and unprofessional name-calling).</w:t>
      </w:r>
    </w:p>
    <w:p w14:paraId="7081D355" w14:textId="06079709" w:rsidR="007B6333" w:rsidRPr="00641284" w:rsidRDefault="007B6333" w:rsidP="00DB77E7">
      <w:pPr>
        <w:pStyle w:val="ListParagraph"/>
        <w:numPr>
          <w:ilvl w:val="0"/>
          <w:numId w:val="10"/>
        </w:numPr>
        <w:spacing w:after="0" w:line="240" w:lineRule="auto"/>
        <w:ind w:left="2880" w:hanging="720"/>
        <w:rPr>
          <w:rFonts w:ascii="Arial" w:hAnsi="Arial" w:cs="Arial"/>
        </w:rPr>
      </w:pPr>
      <w:r w:rsidRPr="00641284">
        <w:rPr>
          <w:rFonts w:ascii="Arial" w:hAnsi="Arial" w:cs="Arial"/>
          <w:b/>
          <w:bCs/>
        </w:rPr>
        <w:t>The Devil and Related Terms.</w:t>
      </w:r>
      <w:r w:rsidRPr="00641284">
        <w:rPr>
          <w:rFonts w:ascii="Arial" w:hAnsi="Arial" w:cs="Arial"/>
        </w:rPr>
        <w:t xml:space="preserve"> Counsel should avoid referring to the defendant as the devil, </w:t>
      </w:r>
      <w:r w:rsidR="00DE2F1C" w:rsidRPr="00641284">
        <w:rPr>
          <w:rFonts w:ascii="Arial" w:hAnsi="Arial" w:cs="Arial"/>
        </w:rPr>
        <w:t>Satan</w:t>
      </w:r>
      <w:r w:rsidRPr="00641284">
        <w:rPr>
          <w:rFonts w:ascii="Arial" w:hAnsi="Arial" w:cs="Arial"/>
        </w:rPr>
        <w:t xml:space="preserve">, or a demon. </w:t>
      </w:r>
      <w:r w:rsidRPr="00641284">
        <w:rPr>
          <w:rFonts w:ascii="Arial" w:hAnsi="Arial" w:cs="Arial"/>
          <w:i/>
          <w:iCs/>
        </w:rPr>
        <w:t xml:space="preserve">See, e.g., </w:t>
      </w:r>
      <w:r w:rsidRPr="00641284">
        <w:rPr>
          <w:rFonts w:ascii="Arial" w:hAnsi="Arial" w:cs="Arial"/>
        </w:rPr>
        <w:t xml:space="preserve">State v. Matthews, 358 N.C. 102, 111 (2004) (“During closing argument the prosecutor characterized defendant as a ‘monster,’ ‘demon,’ ‘devil,’ ‘a man without morals’ and as having a ‘monster mind.’ Such improper characterizations of defendant amounted to no more than name-calling and did not serve the State because the prosecutor was not arguing the evidence and the conclusions that can be inferred therefrom.”). However, not all arguments using these terms are improper. Thus, the courts have held it not improper to argue that “when you try the devil, you have to go to hell to find your witnesses.” State v. Willis, 332 N.C. 151, 171 (1992) (“At one point the district attorney argued, ‘when you try the devil, you have to go to hell to find your witnesses.’ Defendant . . . says it was prejudicial error to characterize him as the devil. We do not believe the district attorney was characterizing [the defendant] as the devil. He used this phrase to illustrate the type of witnesses which were available in a case such as this one.”); State v. Bell, 359 N.C. 1, 21-22 (2004) (same; citing </w:t>
      </w:r>
      <w:r w:rsidRPr="00641284">
        <w:rPr>
          <w:rFonts w:ascii="Arial" w:hAnsi="Arial" w:cs="Arial"/>
          <w:i/>
          <w:iCs/>
        </w:rPr>
        <w:t>Willis</w:t>
      </w:r>
      <w:r w:rsidRPr="00641284">
        <w:rPr>
          <w:rFonts w:ascii="Arial" w:hAnsi="Arial" w:cs="Arial"/>
        </w:rPr>
        <w:t xml:space="preserve">); State v. Johnson, </w:t>
      </w:r>
      <w:r w:rsidR="00141CBA">
        <w:rPr>
          <w:rFonts w:ascii="Arial" w:hAnsi="Arial" w:cs="Arial"/>
        </w:rPr>
        <w:t>217</w:t>
      </w:r>
      <w:r w:rsidRPr="00641284">
        <w:rPr>
          <w:rFonts w:ascii="Arial" w:hAnsi="Arial" w:cs="Arial"/>
        </w:rPr>
        <w:t xml:space="preserve"> N.C. App. </w:t>
      </w:r>
      <w:r w:rsidR="00141CBA">
        <w:rPr>
          <w:rFonts w:ascii="Arial" w:hAnsi="Arial" w:cs="Arial"/>
        </w:rPr>
        <w:t>605</w:t>
      </w:r>
      <w:r w:rsidRPr="00641284">
        <w:rPr>
          <w:rFonts w:ascii="Arial" w:hAnsi="Arial" w:cs="Arial"/>
        </w:rPr>
        <w:t xml:space="preserve">, </w:t>
      </w:r>
      <w:r w:rsidR="00141CBA">
        <w:rPr>
          <w:rFonts w:ascii="Arial" w:hAnsi="Arial" w:cs="Arial"/>
        </w:rPr>
        <w:t>611</w:t>
      </w:r>
      <w:r w:rsidRPr="00641284">
        <w:rPr>
          <w:rFonts w:ascii="Arial" w:hAnsi="Arial" w:cs="Arial"/>
        </w:rPr>
        <w:t xml:space="preserve"> (2011) (same; citing </w:t>
      </w:r>
      <w:r w:rsidRPr="00641284">
        <w:rPr>
          <w:rFonts w:ascii="Arial" w:hAnsi="Arial" w:cs="Arial"/>
          <w:i/>
          <w:iCs/>
        </w:rPr>
        <w:t>Willis</w:t>
      </w:r>
      <w:r w:rsidRPr="00641284">
        <w:rPr>
          <w:rFonts w:ascii="Arial" w:hAnsi="Arial" w:cs="Arial"/>
        </w:rPr>
        <w:t>).</w:t>
      </w:r>
    </w:p>
    <w:p w14:paraId="3F95674E" w14:textId="77777777" w:rsidR="007B6333" w:rsidRPr="00641284" w:rsidRDefault="007B6333" w:rsidP="00DB77E7">
      <w:pPr>
        <w:pStyle w:val="ListParagraph"/>
        <w:numPr>
          <w:ilvl w:val="0"/>
          <w:numId w:val="10"/>
        </w:numPr>
        <w:spacing w:after="0" w:line="240" w:lineRule="auto"/>
        <w:ind w:left="2880" w:hanging="720"/>
        <w:rPr>
          <w:rFonts w:ascii="Arial" w:hAnsi="Arial" w:cs="Arial"/>
        </w:rPr>
      </w:pPr>
      <w:r w:rsidRPr="00641284">
        <w:rPr>
          <w:rFonts w:ascii="Arial" w:hAnsi="Arial" w:cs="Arial"/>
          <w:b/>
          <w:bCs/>
        </w:rPr>
        <w:t xml:space="preserve">Monster. </w:t>
      </w:r>
      <w:r w:rsidRPr="00641284">
        <w:rPr>
          <w:rFonts w:ascii="Arial" w:hAnsi="Arial" w:cs="Arial"/>
        </w:rPr>
        <w:t>The prosecutor should not refer to the defendant as a monster. State v. Matthews, 358 N.C. 102, 111 (2004) (“During closing argument the prosecutor characterized defendant as a ‘monster,’ ‘demon,’ ‘devil,’ ‘a man without morals’ and as having a ‘monster mind.’ Such improper characterizations of defendant amounted to no more than name-calling and did not serve the State because the prosecutor was not arguing the evidence and the conclusions that can be inferred therefrom.”).</w:t>
      </w:r>
    </w:p>
    <w:p w14:paraId="61A8E5BD" w14:textId="211944F2" w:rsidR="007B6333" w:rsidRPr="00641284" w:rsidRDefault="007B6333" w:rsidP="00DB77E7">
      <w:pPr>
        <w:pStyle w:val="ListParagraph"/>
        <w:numPr>
          <w:ilvl w:val="0"/>
          <w:numId w:val="10"/>
        </w:numPr>
        <w:spacing w:after="0" w:line="240" w:lineRule="auto"/>
        <w:ind w:left="2880" w:hanging="720"/>
        <w:rPr>
          <w:rFonts w:ascii="Arial" w:hAnsi="Arial" w:cs="Arial"/>
        </w:rPr>
      </w:pPr>
      <w:r w:rsidRPr="00641284">
        <w:rPr>
          <w:rFonts w:ascii="Arial" w:hAnsi="Arial" w:cs="Arial"/>
          <w:b/>
          <w:bCs/>
        </w:rPr>
        <w:t xml:space="preserve">S.O.B. </w:t>
      </w:r>
      <w:r w:rsidRPr="00641284">
        <w:rPr>
          <w:rFonts w:ascii="Arial" w:hAnsi="Arial" w:cs="Arial"/>
        </w:rPr>
        <w:t>Referring to the defendant as a S.O.B. is improper. State v. Davis, 45 N.C. App. 113</w:t>
      </w:r>
      <w:r w:rsidR="00B119E0">
        <w:rPr>
          <w:rFonts w:ascii="Arial" w:hAnsi="Arial" w:cs="Arial"/>
        </w:rPr>
        <w:t>, 115</w:t>
      </w:r>
      <w:r w:rsidRPr="00641284">
        <w:rPr>
          <w:rFonts w:ascii="Arial" w:hAnsi="Arial" w:cs="Arial"/>
        </w:rPr>
        <w:t xml:space="preserve"> (1980) (ordering a new trial where the prosecutor referred to the defendant as a “mean S.O.B.”). </w:t>
      </w:r>
    </w:p>
    <w:p w14:paraId="27826BAA" w14:textId="77777777" w:rsidR="007B6333" w:rsidRPr="00641284" w:rsidRDefault="007B6333" w:rsidP="00DB77E7">
      <w:pPr>
        <w:pStyle w:val="ListParagraph"/>
        <w:numPr>
          <w:ilvl w:val="0"/>
          <w:numId w:val="10"/>
        </w:numPr>
        <w:spacing w:after="0" w:line="240" w:lineRule="auto"/>
        <w:ind w:left="2880" w:hanging="720"/>
        <w:rPr>
          <w:rFonts w:ascii="Arial" w:hAnsi="Arial" w:cs="Arial"/>
        </w:rPr>
      </w:pPr>
      <w:r w:rsidRPr="00641284">
        <w:rPr>
          <w:rFonts w:ascii="Arial" w:hAnsi="Arial" w:cs="Arial"/>
          <w:b/>
          <w:bCs/>
        </w:rPr>
        <w:t>Hitler and other Nazis.</w:t>
      </w:r>
      <w:r w:rsidRPr="00641284">
        <w:rPr>
          <w:rFonts w:ascii="Arial" w:hAnsi="Arial" w:cs="Arial"/>
        </w:rPr>
        <w:t xml:space="preserve"> It is improper to compare the defendant to Hitler or to a Nazi. State v. Walters, 357 N.C. 68, 102-05 (2003) (prosecutor’s argument comparing the defendant to Hitler was improper); State v. Frink, 158 N.C. App. 581, 593-94 (2003) (prosecutor’s references to the Nazis and Heinrich Himmler were improper). </w:t>
      </w:r>
    </w:p>
    <w:p w14:paraId="516910BA" w14:textId="4CCD764C" w:rsidR="007B6333" w:rsidRPr="00641284" w:rsidRDefault="007B6333" w:rsidP="00DB30BF">
      <w:pPr>
        <w:pStyle w:val="ListParagraph"/>
        <w:numPr>
          <w:ilvl w:val="2"/>
          <w:numId w:val="8"/>
        </w:numPr>
        <w:spacing w:after="0" w:line="240" w:lineRule="auto"/>
        <w:rPr>
          <w:rFonts w:ascii="Arial" w:hAnsi="Arial" w:cs="Arial"/>
        </w:rPr>
      </w:pPr>
      <w:bookmarkStart w:id="75" w:name="_Toc402880739"/>
      <w:bookmarkStart w:id="76" w:name="_Toc209539215"/>
      <w:r w:rsidRPr="00CF4FBE">
        <w:rPr>
          <w:rStyle w:val="Heading3Char"/>
        </w:rPr>
        <w:lastRenderedPageBreak/>
        <w:t>Referring to the Defendant as a Criminal</w:t>
      </w:r>
      <w:bookmarkEnd w:id="75"/>
      <w:bookmarkEnd w:id="76"/>
      <w:r w:rsidRPr="00641284">
        <w:rPr>
          <w:rFonts w:ascii="Arial" w:hAnsi="Arial" w:cs="Arial"/>
          <w:b/>
          <w:bCs/>
        </w:rPr>
        <w:t>.</w:t>
      </w:r>
      <w:r w:rsidRPr="00641284">
        <w:rPr>
          <w:rFonts w:ascii="Arial" w:hAnsi="Arial" w:cs="Arial"/>
        </w:rPr>
        <w:t xml:space="preserve"> </w:t>
      </w:r>
      <w:proofErr w:type="gramStart"/>
      <w:r w:rsidRPr="00641284">
        <w:rPr>
          <w:rFonts w:ascii="Arial" w:hAnsi="Arial" w:cs="Arial"/>
        </w:rPr>
        <w:t>As a general rule</w:t>
      </w:r>
      <w:proofErr w:type="gramEnd"/>
      <w:r w:rsidRPr="00641284">
        <w:rPr>
          <w:rFonts w:ascii="Arial" w:hAnsi="Arial" w:cs="Arial"/>
        </w:rPr>
        <w:t xml:space="preserve">, </w:t>
      </w:r>
      <w:r w:rsidR="00292894">
        <w:rPr>
          <w:rFonts w:ascii="Arial" w:hAnsi="Arial" w:cs="Arial"/>
        </w:rPr>
        <w:t xml:space="preserve">it </w:t>
      </w:r>
      <w:r w:rsidRPr="00641284">
        <w:rPr>
          <w:rFonts w:ascii="Arial" w:hAnsi="Arial" w:cs="Arial"/>
        </w:rPr>
        <w:t>is improper to refer to the defendant as a criminal</w:t>
      </w:r>
      <w:r w:rsidR="00292894">
        <w:rPr>
          <w:rFonts w:ascii="Arial" w:hAnsi="Arial" w:cs="Arial"/>
        </w:rPr>
        <w:t xml:space="preserve"> </w:t>
      </w:r>
      <w:proofErr w:type="gramStart"/>
      <w:r w:rsidR="00292894">
        <w:rPr>
          <w:rFonts w:ascii="Arial" w:hAnsi="Arial" w:cs="Arial"/>
        </w:rPr>
        <w:t>on the basis of</w:t>
      </w:r>
      <w:proofErr w:type="gramEnd"/>
      <w:r w:rsidR="00292894">
        <w:rPr>
          <w:rFonts w:ascii="Arial" w:hAnsi="Arial" w:cs="Arial"/>
        </w:rPr>
        <w:t xml:space="preserve"> conduct which is not the subject of the trial absent evidence in the record establishing that fact</w:t>
      </w:r>
      <w:r w:rsidRPr="00641284">
        <w:rPr>
          <w:rFonts w:ascii="Arial" w:hAnsi="Arial" w:cs="Arial"/>
        </w:rPr>
        <w:t>. State v. Miller, 271 N.C. 646, 660-61 (1967) (</w:t>
      </w:r>
      <w:r w:rsidR="00DE563A">
        <w:rPr>
          <w:rFonts w:ascii="Arial" w:hAnsi="Arial" w:cs="Arial"/>
        </w:rPr>
        <w:t xml:space="preserve">improper to refer to defendants as “habitual </w:t>
      </w:r>
      <w:proofErr w:type="spellStart"/>
      <w:r w:rsidR="00DE563A">
        <w:rPr>
          <w:rFonts w:ascii="Arial" w:hAnsi="Arial" w:cs="Arial"/>
        </w:rPr>
        <w:t>storebreakers</w:t>
      </w:r>
      <w:proofErr w:type="spellEnd"/>
      <w:r w:rsidR="00DE563A">
        <w:rPr>
          <w:rFonts w:ascii="Arial" w:hAnsi="Arial" w:cs="Arial"/>
        </w:rPr>
        <w:t>” where</w:t>
      </w:r>
      <w:r w:rsidR="00292894">
        <w:rPr>
          <w:rFonts w:ascii="Arial" w:hAnsi="Arial" w:cs="Arial"/>
        </w:rPr>
        <w:t xml:space="preserve"> there was no evidence in the record </w:t>
      </w:r>
      <w:r w:rsidR="00DE563A">
        <w:rPr>
          <w:rFonts w:ascii="Arial" w:hAnsi="Arial" w:cs="Arial"/>
        </w:rPr>
        <w:t>of any previous break-ins by the</w:t>
      </w:r>
      <w:r w:rsidR="00292894">
        <w:rPr>
          <w:rFonts w:ascii="Arial" w:hAnsi="Arial" w:cs="Arial"/>
        </w:rPr>
        <w:t xml:space="preserve"> defendants</w:t>
      </w:r>
      <w:r w:rsidRPr="00641284">
        <w:rPr>
          <w:rFonts w:ascii="Arial" w:hAnsi="Arial" w:cs="Arial"/>
        </w:rPr>
        <w:t xml:space="preserve">); State v. Wyatt, 254 N.C. 220, 222 (1961) (prosecutor’s reference to the defendants as “two of the slickest confidence men we have had in this court for a long time” </w:t>
      </w:r>
      <w:r w:rsidR="00DE563A">
        <w:rPr>
          <w:rFonts w:ascii="Arial" w:hAnsi="Arial" w:cs="Arial"/>
        </w:rPr>
        <w:t xml:space="preserve">and speculating that they had stolen more money than charged in the indictment </w:t>
      </w:r>
      <w:r w:rsidRPr="00641284">
        <w:rPr>
          <w:rFonts w:ascii="Arial" w:hAnsi="Arial" w:cs="Arial"/>
        </w:rPr>
        <w:t xml:space="preserve">was “highly improper and objectionable”); State v. Correll, 229 N.C. 640, 643 (1948) (improper to refer to the defendant as “a small-time racketeering gangster”); </w:t>
      </w:r>
      <w:r w:rsidRPr="00641284">
        <w:rPr>
          <w:rFonts w:ascii="Arial" w:hAnsi="Arial" w:cs="Arial"/>
          <w:i/>
          <w:iCs/>
        </w:rPr>
        <w:t xml:space="preserve">see also </w:t>
      </w:r>
      <w:r w:rsidRPr="00641284">
        <w:rPr>
          <w:rFonts w:ascii="Arial" w:hAnsi="Arial" w:cs="Arial"/>
        </w:rPr>
        <w:t xml:space="preserve">State v. Bowen, 230 N.C. 710, 711 (1949) (disapproving of the prosecutor’s argument referring to the defendants as “these two thieves”). However, such argument may be proper when </w:t>
      </w:r>
      <w:r w:rsidR="00292894">
        <w:rPr>
          <w:rFonts w:ascii="Arial" w:hAnsi="Arial" w:cs="Arial"/>
        </w:rPr>
        <w:t xml:space="preserve">referring to the conduct at issue at trial or when </w:t>
      </w:r>
      <w:r w:rsidR="00A60800">
        <w:rPr>
          <w:rFonts w:ascii="Arial" w:hAnsi="Arial" w:cs="Arial"/>
        </w:rPr>
        <w:t xml:space="preserve">criminal </w:t>
      </w:r>
      <w:r w:rsidR="00292894">
        <w:rPr>
          <w:rFonts w:ascii="Arial" w:hAnsi="Arial" w:cs="Arial"/>
        </w:rPr>
        <w:t xml:space="preserve">conduct not at issue is </w:t>
      </w:r>
      <w:r w:rsidRPr="00641284">
        <w:rPr>
          <w:rFonts w:ascii="Arial" w:hAnsi="Arial" w:cs="Arial"/>
        </w:rPr>
        <w:t>supported by facts</w:t>
      </w:r>
      <w:r w:rsidR="00292894">
        <w:rPr>
          <w:rFonts w:ascii="Arial" w:hAnsi="Arial" w:cs="Arial"/>
        </w:rPr>
        <w:t xml:space="preserve"> in the record</w:t>
      </w:r>
      <w:r w:rsidRPr="00641284">
        <w:rPr>
          <w:rFonts w:ascii="Arial" w:hAnsi="Arial" w:cs="Arial"/>
        </w:rPr>
        <w:t>. State v. Harris, 338 N.C. 211, 229-30 (1994) (</w:t>
      </w:r>
      <w:r w:rsidR="00292894">
        <w:rPr>
          <w:rFonts w:ascii="Arial" w:hAnsi="Arial" w:cs="Arial"/>
        </w:rPr>
        <w:t>not improper to refer</w:t>
      </w:r>
      <w:r w:rsidRPr="00641284">
        <w:rPr>
          <w:rFonts w:ascii="Arial" w:hAnsi="Arial" w:cs="Arial"/>
        </w:rPr>
        <w:t xml:space="preserve"> to the defendant as a “cold-blooded murderer” and a “doper”</w:t>
      </w:r>
      <w:r w:rsidR="00292894">
        <w:rPr>
          <w:rFonts w:ascii="Arial" w:hAnsi="Arial" w:cs="Arial"/>
        </w:rPr>
        <w:t xml:space="preserve"> where he was on trial for first-degree murder and evidence of his past drug use was introduced</w:t>
      </w:r>
      <w:r w:rsidRPr="00641284">
        <w:rPr>
          <w:rFonts w:ascii="Arial" w:hAnsi="Arial" w:cs="Arial"/>
        </w:rPr>
        <w:t>)</w:t>
      </w:r>
      <w:r w:rsidR="00292894">
        <w:rPr>
          <w:rFonts w:ascii="Arial" w:hAnsi="Arial" w:cs="Arial"/>
        </w:rPr>
        <w:t>; State v. Guy, 262 N.C. App. 313, 325 (2018) (not improper to refer to defendant and codefendants as “gang members” where defendant called codefendants as witnesses and they testified to their collective gang involvement)</w:t>
      </w:r>
      <w:r w:rsidRPr="00641284">
        <w:rPr>
          <w:rFonts w:ascii="Arial" w:hAnsi="Arial" w:cs="Arial"/>
        </w:rPr>
        <w:t>.</w:t>
      </w:r>
    </w:p>
    <w:p w14:paraId="65B2D3D8" w14:textId="77777777" w:rsidR="00201C05" w:rsidRDefault="007B6333" w:rsidP="00DB30BF">
      <w:pPr>
        <w:pStyle w:val="ListParagraph"/>
        <w:numPr>
          <w:ilvl w:val="2"/>
          <w:numId w:val="8"/>
        </w:numPr>
        <w:spacing w:after="0" w:line="240" w:lineRule="auto"/>
        <w:rPr>
          <w:rFonts w:ascii="Arial" w:hAnsi="Arial" w:cs="Arial"/>
        </w:rPr>
      </w:pPr>
      <w:bookmarkStart w:id="77" w:name="_Toc402880740"/>
      <w:bookmarkStart w:id="78" w:name="_Toc209539216"/>
      <w:r w:rsidRPr="00CF4FBE">
        <w:rPr>
          <w:rStyle w:val="Heading3Char"/>
        </w:rPr>
        <w:t>Comparing the Defendant to an Animal</w:t>
      </w:r>
      <w:bookmarkEnd w:id="77"/>
      <w:bookmarkEnd w:id="78"/>
      <w:r w:rsidRPr="00641284">
        <w:rPr>
          <w:rFonts w:ascii="Arial" w:hAnsi="Arial" w:cs="Arial"/>
          <w:b/>
          <w:bCs/>
        </w:rPr>
        <w:t xml:space="preserve">. </w:t>
      </w:r>
      <w:r w:rsidR="004B6F5F">
        <w:rPr>
          <w:rFonts w:ascii="Arial" w:hAnsi="Arial" w:cs="Arial"/>
        </w:rPr>
        <w:t xml:space="preserve">The appellate courts have repeatedly stated that comparisons between the defendant and an animal are disfavored and have held such comparisons to be improper argument in many cases. </w:t>
      </w:r>
      <w:r w:rsidR="004B6F5F">
        <w:rPr>
          <w:rFonts w:ascii="Arial" w:hAnsi="Arial" w:cs="Arial"/>
          <w:i/>
          <w:iCs/>
        </w:rPr>
        <w:t>See, e.g.</w:t>
      </w:r>
      <w:r w:rsidR="004B6F5F">
        <w:rPr>
          <w:rFonts w:ascii="Arial" w:hAnsi="Arial" w:cs="Arial"/>
        </w:rPr>
        <w:t xml:space="preserve">, </w:t>
      </w:r>
      <w:r w:rsidR="004B6F5F" w:rsidRPr="00641284">
        <w:rPr>
          <w:rFonts w:ascii="Arial" w:hAnsi="Arial" w:cs="Arial"/>
        </w:rPr>
        <w:t>State v. Roache, 358 N.C. 243, 297-98 (2004) (prosecutor’s argument characterizing the defendant and his accomplice as wild dogs “high on the taste of blood and power over their victims” and stating that “just like wild dogs, if you run with the pack you are responsible for the kill” was improper</w:t>
      </w:r>
      <w:r w:rsidR="004B6F5F">
        <w:rPr>
          <w:rFonts w:ascii="Arial" w:hAnsi="Arial" w:cs="Arial"/>
        </w:rPr>
        <w:t>; stating generally that “this Court does not condone comparisons of defendants and animals”</w:t>
      </w:r>
      <w:r w:rsidR="004B6F5F" w:rsidRPr="00641284">
        <w:rPr>
          <w:rFonts w:ascii="Arial" w:hAnsi="Arial" w:cs="Arial"/>
        </w:rPr>
        <w:t>)</w:t>
      </w:r>
      <w:r w:rsidR="004B6F5F">
        <w:rPr>
          <w:rFonts w:ascii="Arial" w:hAnsi="Arial" w:cs="Arial"/>
        </w:rPr>
        <w:t>;</w:t>
      </w:r>
      <w:r w:rsidR="004B6F5F">
        <w:rPr>
          <w:rFonts w:ascii="Arial" w:hAnsi="Arial" w:cs="Arial"/>
          <w:i/>
          <w:iCs/>
        </w:rPr>
        <w:t xml:space="preserve"> </w:t>
      </w:r>
      <w:r w:rsidR="004B6F5F" w:rsidRPr="00641284">
        <w:rPr>
          <w:rFonts w:ascii="Arial" w:hAnsi="Arial" w:cs="Arial"/>
        </w:rPr>
        <w:t>State v. Jones, 355 N.C. 117, 134 (2002) (improper to refer to the defendant as “lower than the dirt on a snake’s belly”); State v. Smith, 279 N.C. 163, 165-67 (1971) (improper to argue that the defendant was “lower than the bone belly of a cur dog”); State v. Ballard, 191 N.C. 122, 124-25 (1926) (improper to call the defendant a “human hyena”)</w:t>
      </w:r>
      <w:r w:rsidR="004B6F5F">
        <w:rPr>
          <w:rFonts w:ascii="Arial" w:hAnsi="Arial" w:cs="Arial"/>
        </w:rPr>
        <w:t>.</w:t>
      </w:r>
    </w:p>
    <w:p w14:paraId="46B3A3B6" w14:textId="6A1E3A4E" w:rsidR="007B6333" w:rsidRPr="00641284" w:rsidRDefault="004B6F5F" w:rsidP="00DB30BF">
      <w:pPr>
        <w:pStyle w:val="ListParagraph"/>
        <w:spacing w:after="0" w:line="240" w:lineRule="auto"/>
        <w:ind w:left="2160" w:firstLine="720"/>
        <w:rPr>
          <w:rFonts w:ascii="Arial" w:hAnsi="Arial" w:cs="Arial"/>
        </w:rPr>
      </w:pPr>
      <w:r>
        <w:rPr>
          <w:rFonts w:ascii="Arial" w:hAnsi="Arial" w:cs="Arial"/>
        </w:rPr>
        <w:t>In a few cases, t</w:t>
      </w:r>
      <w:r w:rsidR="007B6333" w:rsidRPr="00641284">
        <w:rPr>
          <w:rFonts w:ascii="Arial" w:hAnsi="Arial" w:cs="Arial"/>
        </w:rPr>
        <w:t xml:space="preserve">he courts have held that it </w:t>
      </w:r>
      <w:r>
        <w:rPr>
          <w:rFonts w:ascii="Arial" w:hAnsi="Arial" w:cs="Arial"/>
        </w:rPr>
        <w:t>was</w:t>
      </w:r>
      <w:r w:rsidR="007B6333" w:rsidRPr="00641284">
        <w:rPr>
          <w:rFonts w:ascii="Arial" w:hAnsi="Arial" w:cs="Arial"/>
        </w:rPr>
        <w:t xml:space="preserve"> not improper for </w:t>
      </w:r>
      <w:r>
        <w:rPr>
          <w:rFonts w:ascii="Arial" w:hAnsi="Arial" w:cs="Arial"/>
        </w:rPr>
        <w:t>a</w:t>
      </w:r>
      <w:r w:rsidR="007B6333" w:rsidRPr="00641284">
        <w:rPr>
          <w:rFonts w:ascii="Arial" w:hAnsi="Arial" w:cs="Arial"/>
        </w:rPr>
        <w:t xml:space="preserve"> prosecutor to</w:t>
      </w:r>
      <w:r>
        <w:rPr>
          <w:rFonts w:ascii="Arial" w:hAnsi="Arial" w:cs="Arial"/>
        </w:rPr>
        <w:t xml:space="preserve"> analogize a</w:t>
      </w:r>
      <w:r w:rsidR="00160F2D">
        <w:rPr>
          <w:rFonts w:ascii="Arial" w:hAnsi="Arial" w:cs="Arial"/>
        </w:rPr>
        <w:t xml:space="preserve"> </w:t>
      </w:r>
      <w:r>
        <w:rPr>
          <w:rFonts w:ascii="Arial" w:hAnsi="Arial" w:cs="Arial"/>
        </w:rPr>
        <w:t xml:space="preserve">legal </w:t>
      </w:r>
      <w:r w:rsidR="00160F2D">
        <w:rPr>
          <w:rFonts w:ascii="Arial" w:hAnsi="Arial" w:cs="Arial"/>
        </w:rPr>
        <w:t xml:space="preserve">or factual </w:t>
      </w:r>
      <w:r>
        <w:rPr>
          <w:rFonts w:ascii="Arial" w:hAnsi="Arial" w:cs="Arial"/>
        </w:rPr>
        <w:t xml:space="preserve">theory of the case to situations involving animals where the analogy was presented in a non-inflammatory manner. </w:t>
      </w:r>
      <w:r>
        <w:rPr>
          <w:rFonts w:ascii="Arial" w:hAnsi="Arial" w:cs="Arial"/>
          <w:i/>
          <w:iCs/>
        </w:rPr>
        <w:t>See, e.g.</w:t>
      </w:r>
      <w:r>
        <w:rPr>
          <w:rFonts w:ascii="Arial" w:hAnsi="Arial" w:cs="Arial"/>
        </w:rPr>
        <w:t xml:space="preserve">, </w:t>
      </w:r>
      <w:r w:rsidRPr="00641284">
        <w:rPr>
          <w:rFonts w:ascii="Arial" w:hAnsi="Arial" w:cs="Arial"/>
        </w:rPr>
        <w:t>State v. Bell, 359 N.C. 1, 20-21 (2004)</w:t>
      </w:r>
      <w:r w:rsidR="007B6333" w:rsidRPr="00641284">
        <w:rPr>
          <w:rFonts w:ascii="Arial" w:hAnsi="Arial" w:cs="Arial"/>
        </w:rPr>
        <w:t xml:space="preserve"> </w:t>
      </w:r>
      <w:r>
        <w:rPr>
          <w:rFonts w:ascii="Arial" w:hAnsi="Arial" w:cs="Arial"/>
        </w:rPr>
        <w:t xml:space="preserve">(not improper to </w:t>
      </w:r>
      <w:r w:rsidR="007B6333" w:rsidRPr="00641284">
        <w:rPr>
          <w:rFonts w:ascii="Arial" w:hAnsi="Arial" w:cs="Arial"/>
        </w:rPr>
        <w:t>use the phrase “he who hunts with the pack is responsible for the kill” to illustrate the legal theory of acting in concert</w:t>
      </w:r>
      <w:r>
        <w:rPr>
          <w:rFonts w:ascii="Arial" w:hAnsi="Arial" w:cs="Arial"/>
        </w:rPr>
        <w:t>)</w:t>
      </w:r>
      <w:r w:rsidR="007B6333" w:rsidRPr="00641284">
        <w:rPr>
          <w:rFonts w:ascii="Arial" w:hAnsi="Arial" w:cs="Arial"/>
        </w:rPr>
        <w:t xml:space="preserve">; </w:t>
      </w:r>
      <w:r w:rsidR="007B6333" w:rsidRPr="00641284">
        <w:rPr>
          <w:rFonts w:ascii="Arial" w:hAnsi="Arial" w:cs="Arial"/>
          <w:i/>
          <w:iCs/>
        </w:rPr>
        <w:t>see also</w:t>
      </w:r>
      <w:r w:rsidR="007B6333" w:rsidRPr="00641284">
        <w:rPr>
          <w:rFonts w:ascii="Arial" w:hAnsi="Arial" w:cs="Arial"/>
        </w:rPr>
        <w:t xml:space="preserve"> State v. Craig, 308 N.C. 446, 457-58 (1983) (not </w:t>
      </w:r>
      <w:r w:rsidR="00F01BC4">
        <w:rPr>
          <w:rFonts w:ascii="Arial" w:hAnsi="Arial" w:cs="Arial"/>
        </w:rPr>
        <w:t xml:space="preserve">grossly </w:t>
      </w:r>
      <w:r w:rsidR="007B6333" w:rsidRPr="00641284">
        <w:rPr>
          <w:rFonts w:ascii="Arial" w:hAnsi="Arial" w:cs="Arial"/>
        </w:rPr>
        <w:t>improper to refer to the defendants as a pack of wolves when stated in a non-inflammatory manner to illustrate concert of action)</w:t>
      </w:r>
      <w:r w:rsidR="00E74A6E">
        <w:rPr>
          <w:rFonts w:ascii="Arial" w:hAnsi="Arial" w:cs="Arial"/>
        </w:rPr>
        <w:t>; State v. Foust, 220 N.C. App. 63, 72-73 (2012) (not grossly improper in a rape case to analogize defendant to a “beast in the field . . . stalking the prey” in a non-inflammatory manner to illustrate theory of the crime)</w:t>
      </w:r>
      <w:r w:rsidR="00160F2D">
        <w:rPr>
          <w:rFonts w:ascii="Arial" w:hAnsi="Arial" w:cs="Arial"/>
        </w:rPr>
        <w:t>; State v. Oakes, 209 N.C. App. 18, 25 (2011) (noting that animal comparisons are “</w:t>
      </w:r>
      <w:r w:rsidR="00160F2D">
        <w:rPr>
          <w:rFonts w:ascii="Arial" w:hAnsi="Arial" w:cs="Arial"/>
          <w:i/>
          <w:iCs/>
        </w:rPr>
        <w:t>strongly</w:t>
      </w:r>
      <w:r w:rsidR="00160F2D">
        <w:rPr>
          <w:rFonts w:ascii="Arial" w:hAnsi="Arial" w:cs="Arial"/>
        </w:rPr>
        <w:t xml:space="preserve"> disfavored” but finding analogy of defendant to tiger hunting a </w:t>
      </w:r>
      <w:r w:rsidR="00160F2D">
        <w:rPr>
          <w:rFonts w:ascii="Arial" w:hAnsi="Arial" w:cs="Arial"/>
        </w:rPr>
        <w:lastRenderedPageBreak/>
        <w:t xml:space="preserve">gazelle not grossly improper as to require intervention </w:t>
      </w:r>
      <w:r w:rsidR="00160F2D">
        <w:rPr>
          <w:rFonts w:ascii="Arial" w:hAnsi="Arial" w:cs="Arial"/>
          <w:i/>
          <w:iCs/>
        </w:rPr>
        <w:t xml:space="preserve">ex </w:t>
      </w:r>
      <w:proofErr w:type="spellStart"/>
      <w:r w:rsidR="00160F2D">
        <w:rPr>
          <w:rFonts w:ascii="Arial" w:hAnsi="Arial" w:cs="Arial"/>
          <w:i/>
          <w:iCs/>
        </w:rPr>
        <w:t>mero</w:t>
      </w:r>
      <w:proofErr w:type="spellEnd"/>
      <w:r w:rsidR="00160F2D">
        <w:rPr>
          <w:rFonts w:ascii="Arial" w:hAnsi="Arial" w:cs="Arial"/>
          <w:i/>
          <w:iCs/>
        </w:rPr>
        <w:t xml:space="preserve"> motu</w:t>
      </w:r>
      <w:r w:rsidR="00160F2D">
        <w:rPr>
          <w:rFonts w:ascii="Arial" w:hAnsi="Arial" w:cs="Arial"/>
        </w:rPr>
        <w:t xml:space="preserve"> where used to explain legal theory of premeditation and deliberation in first-degree murder case)</w:t>
      </w:r>
      <w:r w:rsidR="007B6333" w:rsidRPr="00641284">
        <w:rPr>
          <w:rFonts w:ascii="Arial" w:hAnsi="Arial" w:cs="Arial"/>
        </w:rPr>
        <w:t xml:space="preserve">. However, </w:t>
      </w:r>
      <w:r>
        <w:rPr>
          <w:rFonts w:ascii="Arial" w:hAnsi="Arial" w:cs="Arial"/>
        </w:rPr>
        <w:t xml:space="preserve">because of the general rule disfavoring such comparisons, </w:t>
      </w:r>
      <w:r w:rsidR="007B6333" w:rsidRPr="00641284">
        <w:rPr>
          <w:rFonts w:ascii="Arial" w:hAnsi="Arial" w:cs="Arial"/>
        </w:rPr>
        <w:t xml:space="preserve">caution should be exercised </w:t>
      </w:r>
      <w:proofErr w:type="gramStart"/>
      <w:r w:rsidR="007B6333" w:rsidRPr="00641284">
        <w:rPr>
          <w:rFonts w:ascii="Arial" w:hAnsi="Arial" w:cs="Arial"/>
        </w:rPr>
        <w:t>with regard to</w:t>
      </w:r>
      <w:proofErr w:type="gramEnd"/>
      <w:r w:rsidR="007B6333" w:rsidRPr="00641284">
        <w:rPr>
          <w:rFonts w:ascii="Arial" w:hAnsi="Arial" w:cs="Arial"/>
        </w:rPr>
        <w:t xml:space="preserve"> all comparisons between the defendant and an animal</w:t>
      </w:r>
      <w:r>
        <w:rPr>
          <w:rFonts w:ascii="Arial" w:hAnsi="Arial" w:cs="Arial"/>
        </w:rPr>
        <w:t>.</w:t>
      </w:r>
      <w:r w:rsidR="007B6333" w:rsidRPr="00641284">
        <w:rPr>
          <w:rFonts w:ascii="Arial" w:hAnsi="Arial" w:cs="Arial"/>
        </w:rPr>
        <w:t xml:space="preserve"> </w:t>
      </w:r>
      <w:r>
        <w:rPr>
          <w:rFonts w:ascii="Arial" w:hAnsi="Arial" w:cs="Arial"/>
        </w:rPr>
        <w:t xml:space="preserve">For example, </w:t>
      </w:r>
      <w:r w:rsidR="007B6333" w:rsidRPr="00641284">
        <w:rPr>
          <w:rFonts w:ascii="Arial" w:hAnsi="Arial" w:cs="Arial"/>
        </w:rPr>
        <w:t xml:space="preserve">the “hunts with the pack” argument has been held improper when used in a way that goes beyond “noninflammatory remarks.” </w:t>
      </w:r>
      <w:r w:rsidR="007B6333" w:rsidRPr="001D3148">
        <w:rPr>
          <w:rFonts w:ascii="Arial" w:hAnsi="Arial" w:cs="Arial"/>
          <w:i/>
          <w:iCs/>
        </w:rPr>
        <w:t>Roache</w:t>
      </w:r>
      <w:r w:rsidR="007B6333" w:rsidRPr="00641284">
        <w:rPr>
          <w:rFonts w:ascii="Arial" w:hAnsi="Arial" w:cs="Arial"/>
        </w:rPr>
        <w:t xml:space="preserve">, 358 N.C. </w:t>
      </w:r>
      <w:r>
        <w:rPr>
          <w:rFonts w:ascii="Arial" w:hAnsi="Arial" w:cs="Arial"/>
        </w:rPr>
        <w:t>at</w:t>
      </w:r>
      <w:r w:rsidR="007B6333" w:rsidRPr="00641284">
        <w:rPr>
          <w:rFonts w:ascii="Arial" w:hAnsi="Arial" w:cs="Arial"/>
        </w:rPr>
        <w:t xml:space="preserve"> 297-98; State v. Sims, 161 N.C. App. 183, 194-95 (2003) (prosecutor improperly went beyond the “he who hunts with the pack is responsible for the kill” a</w:t>
      </w:r>
      <w:r w:rsidR="00F74D0F">
        <w:rPr>
          <w:rFonts w:ascii="Arial" w:hAnsi="Arial" w:cs="Arial"/>
        </w:rPr>
        <w:t xml:space="preserve">nalogy where the defendant was </w:t>
      </w:r>
      <w:r w:rsidR="007B6333" w:rsidRPr="00641284">
        <w:rPr>
          <w:rFonts w:ascii="Arial" w:hAnsi="Arial" w:cs="Arial"/>
        </w:rPr>
        <w:t xml:space="preserve">African-American and the prosecutor also referred to “wild dogs or hyenas hunting on the African plain” and used the term “alpha male”). </w:t>
      </w:r>
    </w:p>
    <w:p w14:paraId="749C456C" w14:textId="77777777" w:rsidR="007B6333" w:rsidRPr="00641284" w:rsidRDefault="007B6333" w:rsidP="00DB30BF">
      <w:pPr>
        <w:pStyle w:val="ListParagraph"/>
        <w:numPr>
          <w:ilvl w:val="2"/>
          <w:numId w:val="8"/>
        </w:numPr>
        <w:spacing w:after="0" w:line="240" w:lineRule="auto"/>
        <w:rPr>
          <w:rFonts w:ascii="Arial" w:hAnsi="Arial" w:cs="Arial"/>
          <w:b/>
          <w:bCs/>
        </w:rPr>
      </w:pPr>
      <w:bookmarkStart w:id="79" w:name="_Toc402880741"/>
      <w:bookmarkStart w:id="80" w:name="_Toc209539217"/>
      <w:r w:rsidRPr="00CF4FBE">
        <w:rPr>
          <w:rStyle w:val="Heading3Char"/>
        </w:rPr>
        <w:t>Argument Regarding the Defendant’s Appearance</w:t>
      </w:r>
      <w:bookmarkEnd w:id="79"/>
      <w:bookmarkEnd w:id="80"/>
      <w:r w:rsidRPr="00641284">
        <w:rPr>
          <w:rFonts w:ascii="Arial" w:hAnsi="Arial" w:cs="Arial"/>
          <w:b/>
          <w:bCs/>
        </w:rPr>
        <w:t xml:space="preserve">. </w:t>
      </w:r>
      <w:r w:rsidRPr="00641284">
        <w:rPr>
          <w:rFonts w:ascii="Arial" w:hAnsi="Arial" w:cs="Arial"/>
        </w:rPr>
        <w:t xml:space="preserve">It is improper to argue that a defendant should be convicted because of how he or she looks. State v. Murdock, 183 N.C. 779, 780-82 (1922) (prosecutor improperly argued: “I do not know when I have seen a more typical blockader. Look at him, his red nose, his red face, his red hair and moustache. They are the sure signs. He has the earmarks of a blockader.”); State v. Tucker, 190 N.C. 708 (1925) (improper to argue: “Gentlemen of the jury, look at the defendants, they look like professed (professional) bootleggers; their looks alone are enough to convict them”). However, certain arguments as to the defendant’s demeanor may be proper. </w:t>
      </w:r>
      <w:r w:rsidRPr="00641284">
        <w:rPr>
          <w:rFonts w:ascii="Arial" w:hAnsi="Arial" w:cs="Arial"/>
          <w:i/>
          <w:iCs/>
        </w:rPr>
        <w:t>See, e.g.</w:t>
      </w:r>
      <w:r w:rsidRPr="00641284">
        <w:rPr>
          <w:rFonts w:ascii="Arial" w:hAnsi="Arial" w:cs="Arial"/>
        </w:rPr>
        <w:t>, State v. Augustine, 359 N.C. 709, 734-35 (2005) (not improper for prosecutor to urge jurors to consider the defendant’s courtroom demeanor as showing a lack of remorse); State v. Nicholson, 355 N.C. 1, 42-43 (2002) (not improper for prosecutor to argue that the defendant looked bored during even emotional points of the trial as this pertained to his demeanor at trial); State v. Brown, 320 N.C. 179, 198-99 (1987) (not improper for prosecutor to assert that the defendant’s demeanor in court showed a lack of remorse).</w:t>
      </w:r>
      <w:r w:rsidRPr="00641284">
        <w:rPr>
          <w:rFonts w:ascii="Arial" w:hAnsi="Arial" w:cs="Arial"/>
          <w:b/>
          <w:bCs/>
        </w:rPr>
        <w:t xml:space="preserve"> </w:t>
      </w:r>
    </w:p>
    <w:p w14:paraId="2A2024F1" w14:textId="3E07B998" w:rsidR="007B6333" w:rsidRPr="00641284" w:rsidRDefault="007B6333" w:rsidP="00DB30BF">
      <w:pPr>
        <w:pStyle w:val="ListParagraph"/>
        <w:numPr>
          <w:ilvl w:val="2"/>
          <w:numId w:val="8"/>
        </w:numPr>
        <w:spacing w:after="0" w:line="240" w:lineRule="auto"/>
        <w:rPr>
          <w:rFonts w:ascii="Arial" w:hAnsi="Arial" w:cs="Arial"/>
        </w:rPr>
      </w:pPr>
      <w:bookmarkStart w:id="81" w:name="_Toc402880742"/>
      <w:bookmarkStart w:id="82" w:name="_Toc209539218"/>
      <w:r w:rsidRPr="00CF4FBE">
        <w:rPr>
          <w:rStyle w:val="Heading3Char"/>
        </w:rPr>
        <w:t>Racial References</w:t>
      </w:r>
      <w:bookmarkEnd w:id="81"/>
      <w:bookmarkEnd w:id="82"/>
      <w:r w:rsidRPr="00641284">
        <w:rPr>
          <w:rFonts w:ascii="Arial" w:hAnsi="Arial" w:cs="Arial"/>
          <w:b/>
          <w:bCs/>
        </w:rPr>
        <w:t xml:space="preserve">. </w:t>
      </w:r>
      <w:r w:rsidRPr="00641284">
        <w:rPr>
          <w:rFonts w:ascii="Arial" w:hAnsi="Arial" w:cs="Arial"/>
        </w:rPr>
        <w:t>Racial references should be avoided unless relevant to the facts of the case. State v. Diehl, 353 N.C. 433, 436 (2001) (“Although it is improper gratuitously to interject race into a jury argument where race is otherwise irrelevant to the case being tried, argument acknowledging race as a motive or factor in a crime may be entirely appropriate.”)</w:t>
      </w:r>
      <w:r w:rsidR="00E330D2">
        <w:rPr>
          <w:rFonts w:ascii="Arial" w:hAnsi="Arial" w:cs="Arial"/>
        </w:rPr>
        <w:t xml:space="preserve">; </w:t>
      </w:r>
      <w:r w:rsidR="00E330D2">
        <w:rPr>
          <w:rFonts w:ascii="Arial" w:hAnsi="Arial" w:cs="Arial"/>
          <w:i/>
          <w:iCs/>
        </w:rPr>
        <w:t xml:space="preserve">see also </w:t>
      </w:r>
      <w:r w:rsidR="00E330D2">
        <w:rPr>
          <w:rFonts w:ascii="Arial" w:hAnsi="Arial" w:cs="Arial"/>
        </w:rPr>
        <w:t>State v. Copley, 374 N.C. 224, 228-29 (2020) (assuming without deciding that prosecutor’s</w:t>
      </w:r>
      <w:r w:rsidR="002D6989">
        <w:rPr>
          <w:rFonts w:ascii="Arial" w:hAnsi="Arial" w:cs="Arial"/>
        </w:rPr>
        <w:t xml:space="preserve"> closing argument comments</w:t>
      </w:r>
      <w:r w:rsidR="00E330D2">
        <w:rPr>
          <w:rFonts w:ascii="Arial" w:hAnsi="Arial" w:cs="Arial"/>
        </w:rPr>
        <w:t xml:space="preserve"> concerning race were improper in a murder case involving a Black victim and a white defendant)</w:t>
      </w:r>
      <w:r w:rsidR="001D2460">
        <w:rPr>
          <w:rFonts w:ascii="Arial" w:hAnsi="Arial" w:cs="Arial"/>
        </w:rPr>
        <w:t>;</w:t>
      </w:r>
      <w:r w:rsidR="00E330D2">
        <w:rPr>
          <w:rFonts w:ascii="Arial" w:hAnsi="Arial" w:cs="Arial"/>
        </w:rPr>
        <w:t xml:space="preserve"> </w:t>
      </w:r>
      <w:r w:rsidR="00E330D2">
        <w:rPr>
          <w:rFonts w:ascii="Arial" w:hAnsi="Arial" w:cs="Arial"/>
          <w:i/>
          <w:iCs/>
        </w:rPr>
        <w:t>Copley</w:t>
      </w:r>
      <w:r w:rsidR="00E330D2">
        <w:rPr>
          <w:rFonts w:ascii="Arial" w:hAnsi="Arial" w:cs="Arial"/>
        </w:rPr>
        <w:t xml:space="preserve">, 374 N.C. 224, 232-238 (Earls, J., concurring) (setting out case law relevant to </w:t>
      </w:r>
      <w:r w:rsidR="002D6989">
        <w:rPr>
          <w:rFonts w:ascii="Arial" w:hAnsi="Arial" w:cs="Arial"/>
        </w:rPr>
        <w:t>analysis of propriety of jury arguments concerning race</w:t>
      </w:r>
      <w:r w:rsidR="00E330D2">
        <w:rPr>
          <w:rFonts w:ascii="Arial" w:hAnsi="Arial" w:cs="Arial"/>
        </w:rPr>
        <w:t>)</w:t>
      </w:r>
      <w:r w:rsidRPr="00641284">
        <w:rPr>
          <w:rFonts w:ascii="Arial" w:hAnsi="Arial" w:cs="Arial"/>
        </w:rPr>
        <w:t xml:space="preserve">. </w:t>
      </w:r>
    </w:p>
    <w:p w14:paraId="2E35E9D3" w14:textId="6A4EED48" w:rsidR="007B6333" w:rsidRPr="00641284" w:rsidRDefault="007B6333" w:rsidP="00DB30BF">
      <w:pPr>
        <w:pStyle w:val="ListParagraph"/>
        <w:numPr>
          <w:ilvl w:val="2"/>
          <w:numId w:val="8"/>
        </w:numPr>
        <w:spacing w:after="0" w:line="240" w:lineRule="auto"/>
        <w:rPr>
          <w:rFonts w:ascii="Arial" w:hAnsi="Arial" w:cs="Arial"/>
          <w:b/>
          <w:bCs/>
        </w:rPr>
      </w:pPr>
      <w:bookmarkStart w:id="83" w:name="_Toc402880743"/>
      <w:bookmarkStart w:id="84" w:name="_Toc209539219"/>
      <w:r w:rsidRPr="00CF4FBE">
        <w:rPr>
          <w:rStyle w:val="Heading3Char"/>
        </w:rPr>
        <w:t>Referring to Tragic National Events</w:t>
      </w:r>
      <w:bookmarkEnd w:id="83"/>
      <w:bookmarkEnd w:id="84"/>
      <w:r w:rsidRPr="00641284">
        <w:rPr>
          <w:rFonts w:ascii="Arial" w:hAnsi="Arial" w:cs="Arial"/>
          <w:b/>
          <w:bCs/>
        </w:rPr>
        <w:t xml:space="preserve">. </w:t>
      </w:r>
      <w:r w:rsidRPr="00641284">
        <w:rPr>
          <w:rFonts w:ascii="Arial" w:hAnsi="Arial" w:cs="Arial"/>
        </w:rPr>
        <w:t xml:space="preserve">It is improper for the prosecutor to make a reference to national tragedies such as the Columbine school killings, State v. Jones, 355 N.C. 117, 132-33 (2002), the 9/11 terrorist attacks, State v. Millsaps, 169 N.C. App. 340, 348-49 (2005), or the Oklahoma City federal building bombing, </w:t>
      </w:r>
      <w:r w:rsidRPr="00641284">
        <w:rPr>
          <w:rFonts w:ascii="Arial" w:hAnsi="Arial" w:cs="Arial"/>
          <w:i/>
          <w:iCs/>
        </w:rPr>
        <w:t xml:space="preserve">Jones, </w:t>
      </w:r>
      <w:r w:rsidRPr="00641284">
        <w:rPr>
          <w:rFonts w:ascii="Arial" w:hAnsi="Arial" w:cs="Arial"/>
        </w:rPr>
        <w:t xml:space="preserve">355 N.C. at 132-33. The North Carolina Supreme Court has explained that such remarks are improper because they refer to matters outside the record, urge the jurors to compare the defendant’s acts to the infamous acts of others, and attempt to lead the jurors away from the evidence by appealing to their sense of passion and prejudice. </w:t>
      </w:r>
      <w:r w:rsidRPr="00641284">
        <w:rPr>
          <w:rFonts w:ascii="Arial" w:hAnsi="Arial" w:cs="Arial"/>
          <w:i/>
          <w:iCs/>
        </w:rPr>
        <w:t>Jones</w:t>
      </w:r>
      <w:r w:rsidRPr="00641284">
        <w:rPr>
          <w:rFonts w:ascii="Arial" w:hAnsi="Arial" w:cs="Arial"/>
        </w:rPr>
        <w:t>, 355 N.C. at 132</w:t>
      </w:r>
      <w:r w:rsidR="000D7E68">
        <w:rPr>
          <w:rFonts w:ascii="Arial" w:hAnsi="Arial" w:cs="Arial"/>
        </w:rPr>
        <w:t xml:space="preserve">; </w:t>
      </w:r>
      <w:r w:rsidR="000D7E68">
        <w:rPr>
          <w:rFonts w:ascii="Arial" w:hAnsi="Arial" w:cs="Arial"/>
          <w:i/>
          <w:iCs/>
        </w:rPr>
        <w:t xml:space="preserve">see also </w:t>
      </w:r>
      <w:r w:rsidR="000D7E68">
        <w:rPr>
          <w:rFonts w:ascii="Arial" w:hAnsi="Arial" w:cs="Arial"/>
        </w:rPr>
        <w:t xml:space="preserve">State v. </w:t>
      </w:r>
      <w:r w:rsidR="000D7E68">
        <w:rPr>
          <w:rFonts w:ascii="Arial" w:hAnsi="Arial" w:cs="Arial"/>
        </w:rPr>
        <w:lastRenderedPageBreak/>
        <w:t xml:space="preserve">Norris, 287 N.C. App. 302, 319-20 (2022) (citing </w:t>
      </w:r>
      <w:r w:rsidR="000D7E68">
        <w:rPr>
          <w:rFonts w:ascii="Arial" w:hAnsi="Arial" w:cs="Arial"/>
          <w:i/>
          <w:iCs/>
        </w:rPr>
        <w:t xml:space="preserve">Jones </w:t>
      </w:r>
      <w:r w:rsidR="000D7E68">
        <w:rPr>
          <w:rFonts w:ascii="Arial" w:hAnsi="Arial" w:cs="Arial"/>
        </w:rPr>
        <w:t>and finding prosecutor’s argument improper where it referenced nationally salient acts of mass violence in a murder solicitation prosecution involving a defendant who was a high school student)</w:t>
      </w:r>
      <w:r w:rsidRPr="00641284">
        <w:rPr>
          <w:rFonts w:ascii="Arial" w:hAnsi="Arial" w:cs="Arial"/>
        </w:rPr>
        <w:t>.</w:t>
      </w:r>
    </w:p>
    <w:p w14:paraId="655806F0" w14:textId="77777777" w:rsidR="007B6333" w:rsidRPr="00641284" w:rsidRDefault="007B6333" w:rsidP="00DB30BF">
      <w:pPr>
        <w:pStyle w:val="ListParagraph"/>
        <w:numPr>
          <w:ilvl w:val="2"/>
          <w:numId w:val="8"/>
        </w:numPr>
        <w:spacing w:after="0" w:line="240" w:lineRule="auto"/>
        <w:rPr>
          <w:rFonts w:ascii="Arial" w:hAnsi="Arial" w:cs="Arial"/>
          <w:b/>
          <w:bCs/>
        </w:rPr>
      </w:pPr>
      <w:bookmarkStart w:id="85" w:name="_Toc402880744"/>
      <w:bookmarkStart w:id="86" w:name="_Toc209539220"/>
      <w:r w:rsidRPr="00CF4FBE">
        <w:rPr>
          <w:rStyle w:val="Heading3Char"/>
        </w:rPr>
        <w:t>Personal Experiences</w:t>
      </w:r>
      <w:bookmarkEnd w:id="85"/>
      <w:bookmarkEnd w:id="86"/>
      <w:r w:rsidRPr="00641284">
        <w:rPr>
          <w:rFonts w:ascii="Arial" w:hAnsi="Arial" w:cs="Arial"/>
          <w:b/>
          <w:bCs/>
        </w:rPr>
        <w:t xml:space="preserve">. </w:t>
      </w:r>
      <w:r w:rsidRPr="00641284">
        <w:rPr>
          <w:rFonts w:ascii="Arial" w:hAnsi="Arial" w:cs="Arial"/>
        </w:rPr>
        <w:t xml:space="preserve">During a closing argument a lawyer may not inject his or her personal experiences. G.S. 15A-1230(a); </w:t>
      </w:r>
      <w:r w:rsidRPr="00641284">
        <w:rPr>
          <w:rFonts w:ascii="Arial" w:hAnsi="Arial" w:cs="Arial"/>
          <w:i/>
          <w:iCs/>
        </w:rPr>
        <w:t>Jones</w:t>
      </w:r>
      <w:r w:rsidRPr="00641284">
        <w:rPr>
          <w:rFonts w:ascii="Arial" w:hAnsi="Arial" w:cs="Arial"/>
        </w:rPr>
        <w:t>, 355 N.C. at 127 (citing the statute).</w:t>
      </w:r>
    </w:p>
    <w:p w14:paraId="38779006" w14:textId="1DB8E1EB" w:rsidR="004E09F9" w:rsidRPr="004E09F9" w:rsidRDefault="007B6333" w:rsidP="00DB30BF">
      <w:pPr>
        <w:pStyle w:val="ListParagraph"/>
        <w:numPr>
          <w:ilvl w:val="2"/>
          <w:numId w:val="8"/>
        </w:numPr>
        <w:spacing w:after="0" w:line="240" w:lineRule="auto"/>
        <w:rPr>
          <w:rFonts w:ascii="Arial" w:hAnsi="Arial" w:cs="Arial"/>
          <w:b/>
          <w:bCs/>
        </w:rPr>
      </w:pPr>
      <w:bookmarkStart w:id="87" w:name="_Toc402880745"/>
      <w:bookmarkStart w:id="88" w:name="_Toc209539221"/>
      <w:r w:rsidRPr="00CF4FBE">
        <w:rPr>
          <w:rStyle w:val="Heading3Char"/>
        </w:rPr>
        <w:t>Personal Beliefs</w:t>
      </w:r>
      <w:bookmarkEnd w:id="87"/>
      <w:bookmarkEnd w:id="88"/>
      <w:r w:rsidRPr="00641284">
        <w:rPr>
          <w:rFonts w:ascii="Arial" w:hAnsi="Arial" w:cs="Arial"/>
          <w:b/>
          <w:bCs/>
        </w:rPr>
        <w:t>.</w:t>
      </w:r>
      <w:r w:rsidRPr="00641284">
        <w:rPr>
          <w:rFonts w:ascii="Arial" w:hAnsi="Arial" w:cs="Arial"/>
        </w:rPr>
        <w:t xml:space="preserve"> During a closing argument a lawyer may not express his or her personal belief as to the truth or falsity of the evidence or as to the guilt or innocence of the defendant. G.S. 15A-1230(a)</w:t>
      </w:r>
      <w:r w:rsidR="004E09F9">
        <w:rPr>
          <w:rFonts w:ascii="Arial" w:hAnsi="Arial" w:cs="Arial"/>
        </w:rPr>
        <w:t xml:space="preserve">. </w:t>
      </w:r>
      <w:r w:rsidR="004E09F9">
        <w:rPr>
          <w:rFonts w:ascii="Arial" w:hAnsi="Arial" w:cs="Arial"/>
          <w:i/>
          <w:iCs/>
        </w:rPr>
        <w:t xml:space="preserve">Compare </w:t>
      </w:r>
      <w:r w:rsidRPr="00641284">
        <w:rPr>
          <w:rFonts w:ascii="Arial" w:hAnsi="Arial" w:cs="Arial"/>
        </w:rPr>
        <w:t>State v. Waring, 364 N.C. 443, 500-01, 515 (2010) (the prosecutor improperly injected his personal beliefs by stating, “I think</w:t>
      </w:r>
      <w:r w:rsidR="004E09F9">
        <w:rPr>
          <w:rFonts w:ascii="Arial" w:hAnsi="Arial" w:cs="Arial"/>
        </w:rPr>
        <w:t xml:space="preserve"> the evidence is overwhelming [and] the defendant is guilty</w:t>
      </w:r>
      <w:r w:rsidRPr="00641284">
        <w:rPr>
          <w:rFonts w:ascii="Arial" w:hAnsi="Arial" w:cs="Arial"/>
        </w:rPr>
        <w:t>” and “I believe</w:t>
      </w:r>
      <w:r w:rsidR="004E09F9">
        <w:rPr>
          <w:rFonts w:ascii="Arial" w:hAnsi="Arial" w:cs="Arial"/>
        </w:rPr>
        <w:t xml:space="preserve"> the evidence is overwhelming that the defendant is guilty</w:t>
      </w:r>
      <w:r w:rsidRPr="00641284">
        <w:rPr>
          <w:rFonts w:ascii="Arial" w:hAnsi="Arial" w:cs="Arial"/>
        </w:rPr>
        <w:t>”)</w:t>
      </w:r>
      <w:r w:rsidR="004E09F9">
        <w:rPr>
          <w:rFonts w:ascii="Arial" w:hAnsi="Arial" w:cs="Arial"/>
        </w:rPr>
        <w:t xml:space="preserve">, </w:t>
      </w:r>
      <w:r w:rsidR="004E09F9">
        <w:rPr>
          <w:rFonts w:ascii="Arial" w:hAnsi="Arial" w:cs="Arial"/>
          <w:i/>
          <w:iCs/>
        </w:rPr>
        <w:t xml:space="preserve">and </w:t>
      </w:r>
      <w:r w:rsidR="004E09F9">
        <w:rPr>
          <w:rFonts w:ascii="Arial" w:hAnsi="Arial" w:cs="Arial"/>
        </w:rPr>
        <w:t>State v. Wardrett, 261 N.C. App. 735, 744 (2018</w:t>
      </w:r>
      <w:r w:rsidR="0037143E">
        <w:rPr>
          <w:rFonts w:ascii="Arial" w:hAnsi="Arial" w:cs="Arial"/>
        </w:rPr>
        <w:t>)</w:t>
      </w:r>
      <w:r w:rsidR="004E09F9">
        <w:rPr>
          <w:rFonts w:ascii="Arial" w:hAnsi="Arial" w:cs="Arial"/>
        </w:rPr>
        <w:t xml:space="preserve"> ("obviously improper” for prosecutor to argue that the defendant was “absolutely guilty of the crime he’s charged with” and there was “just no question about it”), </w:t>
      </w:r>
      <w:r w:rsidR="004E09F9">
        <w:rPr>
          <w:rFonts w:ascii="Arial" w:hAnsi="Arial" w:cs="Arial"/>
          <w:i/>
          <w:iCs/>
        </w:rPr>
        <w:t>with</w:t>
      </w:r>
      <w:r w:rsidR="004E09F9">
        <w:rPr>
          <w:rFonts w:ascii="Arial" w:hAnsi="Arial" w:cs="Arial"/>
        </w:rPr>
        <w:t xml:space="preserve"> State v. Peace, 256 N.C. App. 590, 593-95 (2017) (prosecutor’s argument in DWI case that “[t]he State has proven beyond a reasonable doubt that this man was under the influence of some impairing substance” was not improper</w:t>
      </w:r>
      <w:r w:rsidR="009D6840">
        <w:rPr>
          <w:rFonts w:ascii="Arial" w:hAnsi="Arial" w:cs="Arial"/>
        </w:rPr>
        <w:t xml:space="preserve"> personal belief</w:t>
      </w:r>
      <w:r w:rsidR="004E09F9">
        <w:rPr>
          <w:rFonts w:ascii="Arial" w:hAnsi="Arial" w:cs="Arial"/>
        </w:rPr>
        <w:t xml:space="preserve"> as it merely summarized the evidence, argued that the State had proven what is required by law, and attempted to persuade the jury to a particular verdict)</w:t>
      </w:r>
      <w:r w:rsidRPr="00641284">
        <w:rPr>
          <w:rFonts w:ascii="Arial" w:hAnsi="Arial" w:cs="Arial"/>
        </w:rPr>
        <w:t xml:space="preserve">. </w:t>
      </w:r>
    </w:p>
    <w:p w14:paraId="7D0F035E" w14:textId="1EEF34F2" w:rsidR="007B6333" w:rsidRPr="00641284" w:rsidRDefault="007B6333" w:rsidP="00DB30BF">
      <w:pPr>
        <w:pStyle w:val="ListParagraph"/>
        <w:spacing w:after="0" w:line="240" w:lineRule="auto"/>
        <w:ind w:left="2160" w:firstLine="720"/>
        <w:rPr>
          <w:rFonts w:ascii="Arial" w:hAnsi="Arial" w:cs="Arial"/>
          <w:b/>
          <w:bCs/>
        </w:rPr>
      </w:pPr>
      <w:proofErr w:type="gramStart"/>
      <w:r w:rsidRPr="00641284">
        <w:rPr>
          <w:rFonts w:ascii="Arial" w:hAnsi="Arial" w:cs="Arial"/>
        </w:rPr>
        <w:t xml:space="preserve">A number </w:t>
      </w:r>
      <w:r w:rsidR="00D231DE">
        <w:rPr>
          <w:rFonts w:ascii="Arial" w:hAnsi="Arial" w:cs="Arial"/>
        </w:rPr>
        <w:t>o</w:t>
      </w:r>
      <w:r w:rsidRPr="00641284">
        <w:rPr>
          <w:rFonts w:ascii="Arial" w:hAnsi="Arial" w:cs="Arial"/>
        </w:rPr>
        <w:t>f</w:t>
      </w:r>
      <w:proofErr w:type="gramEnd"/>
      <w:r w:rsidRPr="00641284">
        <w:rPr>
          <w:rFonts w:ascii="Arial" w:hAnsi="Arial" w:cs="Arial"/>
        </w:rPr>
        <w:t xml:space="preserve"> cases have held that it is improper for a lawyer to state a personal belief that a witness is lying or telling the truth. </w:t>
      </w:r>
      <w:r w:rsidR="008C79DA">
        <w:rPr>
          <w:rFonts w:ascii="Arial" w:hAnsi="Arial" w:cs="Arial"/>
        </w:rPr>
        <w:t xml:space="preserve">State v. Huey, 370 N.C. 174, 182 (2017) (improper for prosecutor to </w:t>
      </w:r>
      <w:r w:rsidR="00E67F90">
        <w:rPr>
          <w:rFonts w:ascii="Arial" w:hAnsi="Arial" w:cs="Arial"/>
        </w:rPr>
        <w:t>assert opinion</w:t>
      </w:r>
      <w:r w:rsidR="008C79DA">
        <w:rPr>
          <w:rFonts w:ascii="Arial" w:hAnsi="Arial" w:cs="Arial"/>
        </w:rPr>
        <w:t xml:space="preserve"> that defendant lied while testifying); State v. Hembree, 368 N.C. 2 (2015) (</w:t>
      </w:r>
      <w:r w:rsidR="00E130A7">
        <w:rPr>
          <w:rFonts w:ascii="Arial" w:hAnsi="Arial" w:cs="Arial"/>
        </w:rPr>
        <w:t>same</w:t>
      </w:r>
      <w:r w:rsidR="008C79DA">
        <w:rPr>
          <w:rFonts w:ascii="Arial" w:hAnsi="Arial" w:cs="Arial"/>
        </w:rPr>
        <w:t>)</w:t>
      </w:r>
      <w:r w:rsidR="00E52D67">
        <w:rPr>
          <w:rFonts w:ascii="Arial" w:hAnsi="Arial" w:cs="Arial"/>
        </w:rPr>
        <w:t>;</w:t>
      </w:r>
      <w:r w:rsidR="008C79DA">
        <w:rPr>
          <w:rFonts w:ascii="Arial" w:hAnsi="Arial" w:cs="Arial"/>
        </w:rPr>
        <w:t xml:space="preserve"> </w:t>
      </w:r>
      <w:r w:rsidRPr="00641284">
        <w:rPr>
          <w:rFonts w:ascii="Arial" w:hAnsi="Arial" w:cs="Arial"/>
        </w:rPr>
        <w:t>State v. Phillips, 365 N.C. 103, 139 (2011) (improper for prosecutor to assert that a defense expert’s testimony was “wholly unbelievable”); State v. Wilkerson, 363 N.C. 382, 424-25 (2009) (prosecutor's statement that he believed that a State’s witness was telling the truth was improper vouching); State v. Miller, 271 N.C. 646, 659 (1967) (improper to argue: “I knew he was lying”);</w:t>
      </w:r>
      <w:r w:rsidR="008A3A76">
        <w:rPr>
          <w:rFonts w:ascii="Arial" w:hAnsi="Arial" w:cs="Arial"/>
        </w:rPr>
        <w:t xml:space="preserve"> </w:t>
      </w:r>
      <w:r w:rsidR="008B7EF6">
        <w:rPr>
          <w:rFonts w:ascii="Arial" w:hAnsi="Arial" w:cs="Arial"/>
        </w:rPr>
        <w:t xml:space="preserve">State v. Wright, ___ N.C. App. ___, 2025 WL 2232361 (Aug. 6, 2025) (improper for prosecutor to insinuate that testifying defendant was a liar </w:t>
      </w:r>
      <w:r w:rsidR="00DC639C">
        <w:rPr>
          <w:rFonts w:ascii="Arial" w:hAnsi="Arial" w:cs="Arial"/>
        </w:rPr>
        <w:t xml:space="preserve">and to </w:t>
      </w:r>
      <w:r w:rsidR="008B7EF6">
        <w:rPr>
          <w:rFonts w:ascii="Arial" w:hAnsi="Arial" w:cs="Arial"/>
        </w:rPr>
        <w:t xml:space="preserve">express </w:t>
      </w:r>
      <w:r w:rsidR="00544384">
        <w:rPr>
          <w:rFonts w:ascii="Arial" w:hAnsi="Arial" w:cs="Arial"/>
        </w:rPr>
        <w:t xml:space="preserve">the </w:t>
      </w:r>
      <w:r w:rsidR="008B7EF6">
        <w:rPr>
          <w:rFonts w:ascii="Arial" w:hAnsi="Arial" w:cs="Arial"/>
        </w:rPr>
        <w:t xml:space="preserve">personal opinion that </w:t>
      </w:r>
      <w:r w:rsidR="00544384">
        <w:rPr>
          <w:rFonts w:ascii="Arial" w:hAnsi="Arial" w:cs="Arial"/>
        </w:rPr>
        <w:t xml:space="preserve">defendant’s </w:t>
      </w:r>
      <w:r w:rsidR="008B7EF6">
        <w:rPr>
          <w:rFonts w:ascii="Arial" w:hAnsi="Arial" w:cs="Arial"/>
        </w:rPr>
        <w:t>testimony was “[n]</w:t>
      </w:r>
      <w:proofErr w:type="spellStart"/>
      <w:r w:rsidR="008B7EF6">
        <w:rPr>
          <w:rFonts w:ascii="Arial" w:hAnsi="Arial" w:cs="Arial"/>
        </w:rPr>
        <w:t>ot</w:t>
      </w:r>
      <w:proofErr w:type="spellEnd"/>
      <w:r w:rsidR="008B7EF6">
        <w:rPr>
          <w:rFonts w:ascii="Arial" w:hAnsi="Arial" w:cs="Arial"/>
        </w:rPr>
        <w:t xml:space="preserve"> true”); </w:t>
      </w:r>
      <w:r w:rsidR="00905286">
        <w:rPr>
          <w:rFonts w:ascii="Arial" w:hAnsi="Arial" w:cs="Arial"/>
        </w:rPr>
        <w:t>State v. Hensley, 277 N.C. App. 308, 312-13 (2021) (</w:t>
      </w:r>
      <w:r w:rsidR="00085792">
        <w:rPr>
          <w:rFonts w:ascii="Arial" w:hAnsi="Arial" w:cs="Arial"/>
        </w:rPr>
        <w:t>improper for prosecutor to describe defendant’s testimony as “a ridiculous excuse” as this expressed personal belief that the testimony was false</w:t>
      </w:r>
      <w:r w:rsidR="00905286">
        <w:rPr>
          <w:rFonts w:ascii="Arial" w:hAnsi="Arial" w:cs="Arial"/>
        </w:rPr>
        <w:t>);</w:t>
      </w:r>
      <w:r w:rsidRPr="00641284">
        <w:rPr>
          <w:rFonts w:ascii="Arial" w:hAnsi="Arial" w:cs="Arial"/>
        </w:rPr>
        <w:t xml:space="preserve"> State v. Gillikin, </w:t>
      </w:r>
      <w:r w:rsidR="0056336C">
        <w:rPr>
          <w:rFonts w:ascii="Arial" w:hAnsi="Arial" w:cs="Arial"/>
        </w:rPr>
        <w:t>217</w:t>
      </w:r>
      <w:r w:rsidRPr="00641284">
        <w:rPr>
          <w:rFonts w:ascii="Arial" w:hAnsi="Arial" w:cs="Arial"/>
        </w:rPr>
        <w:t xml:space="preserve"> N.C. App. </w:t>
      </w:r>
      <w:r w:rsidR="0056336C">
        <w:rPr>
          <w:rFonts w:ascii="Arial" w:hAnsi="Arial" w:cs="Arial"/>
        </w:rPr>
        <w:t>256, 266-67</w:t>
      </w:r>
      <w:r w:rsidRPr="00641284">
        <w:rPr>
          <w:rFonts w:ascii="Arial" w:hAnsi="Arial" w:cs="Arial"/>
        </w:rPr>
        <w:t xml:space="preserve"> (2011) (the prosecutor improperly expressed his opinion that the defendant was a liar and was guilty); </w:t>
      </w:r>
      <w:r w:rsidRPr="00641284">
        <w:rPr>
          <w:rFonts w:ascii="Arial" w:hAnsi="Arial" w:cs="Arial"/>
          <w:i/>
          <w:iCs/>
        </w:rPr>
        <w:t>see also</w:t>
      </w:r>
      <w:r w:rsidRPr="00641284">
        <w:rPr>
          <w:rFonts w:ascii="Arial" w:hAnsi="Arial" w:cs="Arial"/>
        </w:rPr>
        <w:t xml:space="preserve"> N.C. </w:t>
      </w:r>
      <w:r w:rsidRPr="00641284">
        <w:rPr>
          <w:rFonts w:ascii="Arial" w:hAnsi="Arial" w:cs="Arial"/>
          <w:smallCaps/>
        </w:rPr>
        <w:t xml:space="preserve">R. </w:t>
      </w:r>
      <w:proofErr w:type="spellStart"/>
      <w:r w:rsidRPr="00641284">
        <w:rPr>
          <w:rFonts w:ascii="Arial" w:hAnsi="Arial" w:cs="Arial"/>
          <w:smallCaps/>
        </w:rPr>
        <w:t>Prof’l</w:t>
      </w:r>
      <w:proofErr w:type="spellEnd"/>
      <w:r w:rsidRPr="00641284">
        <w:rPr>
          <w:rFonts w:ascii="Arial" w:hAnsi="Arial" w:cs="Arial"/>
          <w:smallCaps/>
        </w:rPr>
        <w:t xml:space="preserve"> Conduct</w:t>
      </w:r>
      <w:r w:rsidRPr="00641284">
        <w:rPr>
          <w:rFonts w:ascii="Arial" w:hAnsi="Arial" w:cs="Arial"/>
        </w:rPr>
        <w:t xml:space="preserve"> Rule 3.4(e) (a lawyer may not “state a personal opinion as to the justness of a cause, the credibility of a witness . . . or the guilt or innocence of an accused”).</w:t>
      </w:r>
      <w:r w:rsidR="006F2A87">
        <w:rPr>
          <w:rFonts w:ascii="Arial" w:hAnsi="Arial" w:cs="Arial"/>
        </w:rPr>
        <w:t xml:space="preserve"> A</w:t>
      </w:r>
      <w:r w:rsidR="00E52D67">
        <w:rPr>
          <w:rFonts w:ascii="Arial" w:hAnsi="Arial" w:cs="Arial"/>
        </w:rPr>
        <w:t xml:space="preserve">s discussed above, </w:t>
      </w:r>
      <w:r w:rsidR="00022A7B">
        <w:rPr>
          <w:rFonts w:ascii="Arial" w:hAnsi="Arial" w:cs="Arial"/>
        </w:rPr>
        <w:t xml:space="preserve">it is not improper for </w:t>
      </w:r>
      <w:r w:rsidR="00E52D67">
        <w:rPr>
          <w:rFonts w:ascii="Arial" w:hAnsi="Arial" w:cs="Arial"/>
        </w:rPr>
        <w:t>a</w:t>
      </w:r>
      <w:r w:rsidR="006F2A87">
        <w:rPr>
          <w:rFonts w:ascii="Arial" w:hAnsi="Arial" w:cs="Arial"/>
        </w:rPr>
        <w:t xml:space="preserve"> lawyer </w:t>
      </w:r>
      <w:r w:rsidR="00022A7B">
        <w:rPr>
          <w:rFonts w:ascii="Arial" w:hAnsi="Arial" w:cs="Arial"/>
        </w:rPr>
        <w:t>to</w:t>
      </w:r>
      <w:r w:rsidR="00E52D67">
        <w:rPr>
          <w:rFonts w:ascii="Arial" w:hAnsi="Arial" w:cs="Arial"/>
        </w:rPr>
        <w:t xml:space="preserve"> make arguments </w:t>
      </w:r>
      <w:r w:rsidR="006F2A87">
        <w:rPr>
          <w:rFonts w:ascii="Arial" w:hAnsi="Arial" w:cs="Arial"/>
        </w:rPr>
        <w:t>undermin</w:t>
      </w:r>
      <w:r w:rsidR="00E52D67">
        <w:rPr>
          <w:rFonts w:ascii="Arial" w:hAnsi="Arial" w:cs="Arial"/>
        </w:rPr>
        <w:t>ing</w:t>
      </w:r>
      <w:r w:rsidR="006F2A87">
        <w:rPr>
          <w:rFonts w:ascii="Arial" w:hAnsi="Arial" w:cs="Arial"/>
        </w:rPr>
        <w:t xml:space="preserve"> a witness’s credibility </w:t>
      </w:r>
      <w:r w:rsidR="00022A7B">
        <w:rPr>
          <w:rFonts w:ascii="Arial" w:hAnsi="Arial" w:cs="Arial"/>
        </w:rPr>
        <w:t>when there is an evidentiary basis to do so</w:t>
      </w:r>
      <w:r w:rsidR="006F2A87">
        <w:rPr>
          <w:rFonts w:ascii="Arial" w:hAnsi="Arial" w:cs="Arial"/>
        </w:rPr>
        <w:t xml:space="preserve">. State v. Mumma, 257 N.C. App. 829, 840 (2018) (prosecutor’s </w:t>
      </w:r>
      <w:r w:rsidR="00E52D67">
        <w:rPr>
          <w:rFonts w:ascii="Arial" w:hAnsi="Arial" w:cs="Arial"/>
        </w:rPr>
        <w:t>statements</w:t>
      </w:r>
      <w:r w:rsidR="006F2A87">
        <w:rPr>
          <w:rFonts w:ascii="Arial" w:hAnsi="Arial" w:cs="Arial"/>
        </w:rPr>
        <w:t xml:space="preserve"> during closing argument</w:t>
      </w:r>
      <w:r w:rsidR="00E52D67">
        <w:rPr>
          <w:rFonts w:ascii="Arial" w:hAnsi="Arial" w:cs="Arial"/>
        </w:rPr>
        <w:t xml:space="preserve"> including</w:t>
      </w:r>
      <w:r w:rsidR="006F2A87">
        <w:rPr>
          <w:rFonts w:ascii="Arial" w:hAnsi="Arial" w:cs="Arial"/>
        </w:rPr>
        <w:t xml:space="preserve"> “[a]re you kidding me?” and “give me a break” when recounting defendant’s inconsistent statements and testimony were not impermissible personal opinions)</w:t>
      </w:r>
      <w:r w:rsidR="00B7711A">
        <w:rPr>
          <w:rFonts w:ascii="Arial" w:hAnsi="Arial" w:cs="Arial"/>
        </w:rPr>
        <w:t xml:space="preserve">, </w:t>
      </w:r>
      <w:r w:rsidR="00B7711A">
        <w:rPr>
          <w:rFonts w:ascii="Arial" w:hAnsi="Arial" w:cs="Arial"/>
          <w:i/>
          <w:iCs/>
        </w:rPr>
        <w:t>aff’d as modified on other grounds</w:t>
      </w:r>
      <w:r w:rsidR="00B7711A">
        <w:rPr>
          <w:rFonts w:ascii="Arial" w:hAnsi="Arial" w:cs="Arial"/>
        </w:rPr>
        <w:t>, 372 N.C. 226 (2019)</w:t>
      </w:r>
      <w:r w:rsidR="006F2A87">
        <w:rPr>
          <w:rFonts w:ascii="Arial" w:hAnsi="Arial" w:cs="Arial"/>
        </w:rPr>
        <w:t>.</w:t>
      </w:r>
      <w:r w:rsidRPr="00641284">
        <w:rPr>
          <w:rFonts w:ascii="Arial" w:hAnsi="Arial" w:cs="Arial"/>
        </w:rPr>
        <w:t xml:space="preserve"> </w:t>
      </w:r>
      <w:r w:rsidR="006F2A87">
        <w:rPr>
          <w:rFonts w:ascii="Arial" w:hAnsi="Arial" w:cs="Arial"/>
        </w:rPr>
        <w:t>It is</w:t>
      </w:r>
      <w:r w:rsidRPr="00641284">
        <w:rPr>
          <w:rFonts w:ascii="Arial" w:hAnsi="Arial" w:cs="Arial"/>
        </w:rPr>
        <w:t xml:space="preserve"> improper </w:t>
      </w:r>
      <w:r w:rsidR="006F2A87">
        <w:rPr>
          <w:rFonts w:ascii="Arial" w:hAnsi="Arial" w:cs="Arial"/>
        </w:rPr>
        <w:t>to</w:t>
      </w:r>
      <w:r w:rsidRPr="00641284">
        <w:rPr>
          <w:rFonts w:ascii="Arial" w:hAnsi="Arial" w:cs="Arial"/>
        </w:rPr>
        <w:t xml:space="preserve"> express </w:t>
      </w:r>
      <w:r w:rsidR="006F2A87">
        <w:rPr>
          <w:rFonts w:ascii="Arial" w:hAnsi="Arial" w:cs="Arial"/>
        </w:rPr>
        <w:t>a</w:t>
      </w:r>
      <w:r w:rsidRPr="00641284">
        <w:rPr>
          <w:rFonts w:ascii="Arial" w:hAnsi="Arial" w:cs="Arial"/>
        </w:rPr>
        <w:t xml:space="preserve"> personal belief as to the strength of the State’s </w:t>
      </w:r>
      <w:r w:rsidRPr="00641284">
        <w:rPr>
          <w:rFonts w:ascii="Arial" w:hAnsi="Arial" w:cs="Arial"/>
        </w:rPr>
        <w:lastRenderedPageBreak/>
        <w:t xml:space="preserve">case or of a defense. </w:t>
      </w:r>
      <w:r w:rsidRPr="00641284">
        <w:rPr>
          <w:rFonts w:ascii="Arial" w:hAnsi="Arial" w:cs="Arial"/>
          <w:i/>
          <w:iCs/>
        </w:rPr>
        <w:t xml:space="preserve">See, e.g., </w:t>
      </w:r>
      <w:r w:rsidRPr="00641284">
        <w:rPr>
          <w:rFonts w:ascii="Arial" w:hAnsi="Arial" w:cs="Arial"/>
        </w:rPr>
        <w:t xml:space="preserve">State v. Matthews, 358 N.C. 102, 110-12 (2004) (prosecutor's comment during closing argument that the defendant's theory of case was “bull crap” constituted an impermissible </w:t>
      </w:r>
      <w:proofErr w:type="gramStart"/>
      <w:r w:rsidRPr="00641284">
        <w:rPr>
          <w:rFonts w:ascii="Arial" w:hAnsi="Arial" w:cs="Arial"/>
        </w:rPr>
        <w:t>personal opinion</w:t>
      </w:r>
      <w:proofErr w:type="gramEnd"/>
      <w:r w:rsidRPr="00641284">
        <w:rPr>
          <w:rFonts w:ascii="Arial" w:hAnsi="Arial" w:cs="Arial"/>
        </w:rPr>
        <w:t xml:space="preserve"> and exceeded bounds of civility).</w:t>
      </w:r>
    </w:p>
    <w:p w14:paraId="440139B7" w14:textId="3CB86874" w:rsidR="007B6333" w:rsidRPr="00641284" w:rsidRDefault="007B6333" w:rsidP="00DB30BF">
      <w:pPr>
        <w:pStyle w:val="ListParagraph"/>
        <w:numPr>
          <w:ilvl w:val="2"/>
          <w:numId w:val="8"/>
        </w:numPr>
        <w:spacing w:after="0" w:line="240" w:lineRule="auto"/>
        <w:rPr>
          <w:rFonts w:ascii="Arial" w:hAnsi="Arial" w:cs="Arial"/>
        </w:rPr>
      </w:pPr>
      <w:bookmarkStart w:id="89" w:name="_Toc402880746"/>
      <w:bookmarkStart w:id="90" w:name="_Toc209539222"/>
      <w:r w:rsidRPr="00CF4FBE">
        <w:rPr>
          <w:rStyle w:val="Heading3Char"/>
        </w:rPr>
        <w:t>Personal Attacks on Opposing Counsel</w:t>
      </w:r>
      <w:bookmarkEnd w:id="89"/>
      <w:bookmarkEnd w:id="90"/>
      <w:r w:rsidRPr="00641284">
        <w:rPr>
          <w:rFonts w:ascii="Arial" w:hAnsi="Arial" w:cs="Arial"/>
          <w:b/>
          <w:bCs/>
        </w:rPr>
        <w:t xml:space="preserve">. </w:t>
      </w:r>
      <w:r w:rsidRPr="00641284">
        <w:rPr>
          <w:rFonts w:ascii="Arial" w:hAnsi="Arial" w:cs="Arial"/>
        </w:rPr>
        <w:t xml:space="preserve">In argument to the jury, lawyers should not engage in personal attacks on opposing counsel. N.C. </w:t>
      </w:r>
      <w:r w:rsidRPr="00641284">
        <w:rPr>
          <w:rFonts w:ascii="Arial" w:hAnsi="Arial" w:cs="Arial"/>
          <w:smallCaps/>
        </w:rPr>
        <w:t xml:space="preserve">R. Super and Dist. </w:t>
      </w:r>
      <w:proofErr w:type="spellStart"/>
      <w:r w:rsidRPr="00641284">
        <w:rPr>
          <w:rFonts w:ascii="Arial" w:hAnsi="Arial" w:cs="Arial"/>
          <w:smallCaps/>
        </w:rPr>
        <w:t>Cts</w:t>
      </w:r>
      <w:proofErr w:type="spellEnd"/>
      <w:r w:rsidRPr="00641284">
        <w:rPr>
          <w:rFonts w:ascii="Arial" w:hAnsi="Arial" w:cs="Arial"/>
          <w:smallCaps/>
        </w:rPr>
        <w:t>.</w:t>
      </w:r>
      <w:r w:rsidRPr="00641284">
        <w:rPr>
          <w:rFonts w:ascii="Arial" w:hAnsi="Arial" w:cs="Arial"/>
        </w:rPr>
        <w:t xml:space="preserve"> Rule 12 (“All personalities between counsel should be avoided. The personal history or peculiarities of counsel on the opposing side should not be alluded to.”); </w:t>
      </w:r>
      <w:r w:rsidR="008C79DA" w:rsidRPr="00BF4ED7">
        <w:rPr>
          <w:rFonts w:ascii="Arial" w:hAnsi="Arial" w:cs="Arial"/>
          <w:i/>
          <w:iCs/>
        </w:rPr>
        <w:t>Huey</w:t>
      </w:r>
      <w:r w:rsidR="008C79DA">
        <w:rPr>
          <w:rFonts w:ascii="Arial" w:hAnsi="Arial" w:cs="Arial"/>
        </w:rPr>
        <w:t xml:space="preserve">, 370 N.C. at 182 (improper for prosecutor to accuse defense counsel of suborning perjury without evidence); </w:t>
      </w:r>
      <w:r w:rsidR="008C79DA" w:rsidRPr="00BF4ED7">
        <w:rPr>
          <w:rFonts w:ascii="Arial" w:hAnsi="Arial" w:cs="Arial"/>
          <w:i/>
          <w:iCs/>
        </w:rPr>
        <w:t>Hembree</w:t>
      </w:r>
      <w:r w:rsidR="008C79DA">
        <w:rPr>
          <w:rFonts w:ascii="Arial" w:hAnsi="Arial" w:cs="Arial"/>
        </w:rPr>
        <w:t xml:space="preserve">, 368 N.C. 2 (same); </w:t>
      </w:r>
      <w:r w:rsidRPr="00641284">
        <w:rPr>
          <w:rFonts w:ascii="Arial" w:hAnsi="Arial" w:cs="Arial"/>
        </w:rPr>
        <w:t>State v. Grooms, 353 N.C. 50</w:t>
      </w:r>
      <w:r w:rsidR="00040C1D">
        <w:rPr>
          <w:rFonts w:ascii="Arial" w:hAnsi="Arial" w:cs="Arial"/>
        </w:rPr>
        <w:t>, 83</w:t>
      </w:r>
      <w:r w:rsidRPr="00641284">
        <w:rPr>
          <w:rFonts w:ascii="Arial" w:hAnsi="Arial" w:cs="Arial"/>
        </w:rPr>
        <w:t xml:space="preserve"> (2000) (“[A] trial attorney may not make uncomplimentary comments about opposing counsel.” (citation omitted)); State v. Rivera, 350 N.C. 285, 290-91 (1999) (disapproving of a remark that defense counsel displayed “one of the best poker faces” when a State’s witness contradicted the defendant’s alibi defense); State v. Miller, 271 N.C. 646, 659 (1967) (disapproving of the following comment by the prosecutor about defense counsel: “There is something in this case that is not very pretty. Mr. Walker, himself a former solicitor of this court until other things tempted him to the place where he now is”); State v. Riley, 202 N.C. App. 299, 304-06 (2010) (the prosecutor’s jury argument was improper where it attacked the integrity of defense counsel and was based on speculation that the defendant changed his story after speaking with his lawyer); State v. Jordan, 149 N.C. App. 838, 843-44 (2002) (comparing defense counsel to Joseph McCarthy “thoroughly undermined [the] defense by casting unsupported doubt on counsel's credibility and erroneously painting defendant's defense as purely obstructionist.”).</w:t>
      </w:r>
    </w:p>
    <w:p w14:paraId="7E0FF206" w14:textId="77777777" w:rsidR="007B6333" w:rsidRPr="00641284" w:rsidRDefault="007B6333" w:rsidP="00DB30BF">
      <w:pPr>
        <w:pStyle w:val="ListParagraph"/>
        <w:numPr>
          <w:ilvl w:val="2"/>
          <w:numId w:val="8"/>
        </w:numPr>
        <w:spacing w:after="0" w:line="240" w:lineRule="auto"/>
        <w:rPr>
          <w:rFonts w:ascii="Arial" w:hAnsi="Arial" w:cs="Arial"/>
          <w:b/>
          <w:bCs/>
        </w:rPr>
      </w:pPr>
      <w:bookmarkStart w:id="91" w:name="_Toc402880747"/>
      <w:bookmarkStart w:id="92" w:name="_Toc209539223"/>
      <w:r w:rsidRPr="00CF4FBE">
        <w:rPr>
          <w:rStyle w:val="Heading3Char"/>
        </w:rPr>
        <w:t>Personal Attacks on Witnesses</w:t>
      </w:r>
      <w:bookmarkEnd w:id="91"/>
      <w:bookmarkEnd w:id="92"/>
      <w:r w:rsidRPr="00641284">
        <w:rPr>
          <w:rFonts w:ascii="Arial" w:hAnsi="Arial" w:cs="Arial"/>
          <w:b/>
          <w:bCs/>
        </w:rPr>
        <w:t>.</w:t>
      </w:r>
      <w:r w:rsidRPr="00641284">
        <w:rPr>
          <w:rFonts w:ascii="Arial" w:hAnsi="Arial" w:cs="Arial"/>
        </w:rPr>
        <w:t xml:space="preserve"> </w:t>
      </w:r>
    </w:p>
    <w:p w14:paraId="44C4DA7F" w14:textId="11C51841" w:rsidR="007B6333" w:rsidRPr="00641284" w:rsidRDefault="007B6333" w:rsidP="00DB77E7">
      <w:pPr>
        <w:pStyle w:val="ListParagraph"/>
        <w:numPr>
          <w:ilvl w:val="0"/>
          <w:numId w:val="22"/>
        </w:numPr>
        <w:spacing w:after="0" w:line="240" w:lineRule="auto"/>
        <w:ind w:hanging="720"/>
        <w:rPr>
          <w:rFonts w:ascii="Arial" w:hAnsi="Arial" w:cs="Arial"/>
          <w:b/>
          <w:bCs/>
        </w:rPr>
      </w:pPr>
      <w:r w:rsidRPr="00641284">
        <w:rPr>
          <w:rFonts w:ascii="Arial" w:hAnsi="Arial" w:cs="Arial"/>
          <w:b/>
          <w:bCs/>
        </w:rPr>
        <w:t>Generally.</w:t>
      </w:r>
      <w:r w:rsidRPr="00641284">
        <w:rPr>
          <w:rFonts w:ascii="Arial" w:hAnsi="Arial" w:cs="Arial"/>
        </w:rPr>
        <w:t xml:space="preserve"> “Adverse witnesses and suitors should be treated with fairness and due consideration. Abusive language or offensive personal references are prohibited.” N.C. R. </w:t>
      </w:r>
      <w:r w:rsidRPr="00641284">
        <w:rPr>
          <w:rFonts w:ascii="Arial" w:hAnsi="Arial" w:cs="Arial"/>
          <w:smallCaps/>
        </w:rPr>
        <w:t xml:space="preserve">Super. and Dist. </w:t>
      </w:r>
      <w:proofErr w:type="spellStart"/>
      <w:r w:rsidRPr="00641284">
        <w:rPr>
          <w:rFonts w:ascii="Arial" w:hAnsi="Arial" w:cs="Arial"/>
          <w:smallCaps/>
        </w:rPr>
        <w:t>Cts</w:t>
      </w:r>
      <w:proofErr w:type="spellEnd"/>
      <w:r w:rsidRPr="00641284">
        <w:rPr>
          <w:rFonts w:ascii="Arial" w:hAnsi="Arial" w:cs="Arial"/>
          <w:smallCaps/>
        </w:rPr>
        <w:t xml:space="preserve">. </w:t>
      </w:r>
      <w:r w:rsidRPr="00641284">
        <w:rPr>
          <w:rFonts w:ascii="Arial" w:hAnsi="Arial" w:cs="Arial"/>
        </w:rPr>
        <w:t>Rule 12. Thus, for example, scatological references to a witness'</w:t>
      </w:r>
      <w:r w:rsidR="001D2460">
        <w:rPr>
          <w:rFonts w:ascii="Arial" w:hAnsi="Arial" w:cs="Arial"/>
        </w:rPr>
        <w:t>s</w:t>
      </w:r>
      <w:r w:rsidRPr="00641284">
        <w:rPr>
          <w:rFonts w:ascii="Arial" w:hAnsi="Arial" w:cs="Arial"/>
        </w:rPr>
        <w:t xml:space="preserve"> testimony are improper. State v. Smith, 352 N.C. 531, 560-61 (2000)</w:t>
      </w:r>
      <w:r w:rsidR="00ED614B" w:rsidRPr="00641284">
        <w:rPr>
          <w:rFonts w:ascii="Arial" w:hAnsi="Arial" w:cs="Arial"/>
        </w:rPr>
        <w:t xml:space="preserve"> </w:t>
      </w:r>
      <w:r w:rsidRPr="00641284">
        <w:rPr>
          <w:rFonts w:ascii="Arial" w:hAnsi="Arial" w:cs="Arial"/>
        </w:rPr>
        <w:t>(</w:t>
      </w:r>
      <w:r w:rsidR="00D3374A">
        <w:rPr>
          <w:rFonts w:ascii="Arial" w:hAnsi="Arial" w:cs="Arial"/>
        </w:rPr>
        <w:t xml:space="preserve">improper to characterize expert witness’s testimony as </w:t>
      </w:r>
      <w:r w:rsidRPr="00641284">
        <w:rPr>
          <w:rFonts w:ascii="Arial" w:hAnsi="Arial" w:cs="Arial"/>
        </w:rPr>
        <w:t>“manure”).</w:t>
      </w:r>
    </w:p>
    <w:p w14:paraId="4EFF1FD0" w14:textId="1E5C678B" w:rsidR="007B6333" w:rsidRPr="00641284" w:rsidRDefault="007B6333" w:rsidP="00DB77E7">
      <w:pPr>
        <w:pStyle w:val="ListParagraph"/>
        <w:numPr>
          <w:ilvl w:val="0"/>
          <w:numId w:val="22"/>
        </w:numPr>
        <w:spacing w:after="0" w:line="240" w:lineRule="auto"/>
        <w:ind w:hanging="720"/>
        <w:rPr>
          <w:rFonts w:ascii="Arial" w:hAnsi="Arial" w:cs="Arial"/>
          <w:b/>
          <w:bCs/>
        </w:rPr>
      </w:pPr>
      <w:r w:rsidRPr="00641284">
        <w:rPr>
          <w:rFonts w:ascii="Arial" w:hAnsi="Arial" w:cs="Arial"/>
          <w:b/>
          <w:bCs/>
        </w:rPr>
        <w:t>Experts.</w:t>
      </w:r>
      <w:r w:rsidRPr="00641284">
        <w:rPr>
          <w:rFonts w:ascii="Arial" w:hAnsi="Arial" w:cs="Arial"/>
        </w:rPr>
        <w:t xml:space="preserve"> It is not improper for the prosecutor to impeach the credibility of an expert during closing argument. </w:t>
      </w:r>
      <w:r w:rsidRPr="00641284">
        <w:rPr>
          <w:rFonts w:ascii="Arial" w:hAnsi="Arial" w:cs="Arial"/>
          <w:i/>
          <w:iCs/>
        </w:rPr>
        <w:t xml:space="preserve">See, e.g., </w:t>
      </w:r>
      <w:r w:rsidRPr="00641284">
        <w:rPr>
          <w:rFonts w:ascii="Arial" w:hAnsi="Arial" w:cs="Arial"/>
        </w:rPr>
        <w:t>State v. Phillips, 365 N.C. 103, 139 (2011); State v. Campbell, 359 N.C. 644, 677 (2005). Thus, it is proper for a lawyer to point out that the witness'</w:t>
      </w:r>
      <w:r w:rsidR="001D2460">
        <w:rPr>
          <w:rFonts w:ascii="Arial" w:hAnsi="Arial" w:cs="Arial"/>
        </w:rPr>
        <w:t>s</w:t>
      </w:r>
      <w:r w:rsidRPr="00641284">
        <w:rPr>
          <w:rFonts w:ascii="Arial" w:hAnsi="Arial" w:cs="Arial"/>
        </w:rPr>
        <w:t xml:space="preserve"> compensation may be a source of bias. State v. Taylor, 362 N.C. 514, 555 (2008); State v. Nicholson, 355 N.C. 1, 44 (2002); State v. Walls, 342 N.C. 1, 63 (1995) (prosecutor’s statement referring to a defense expert as a “paid psychiatrist” was not improper). However, a prosecutor should not insinuate that a witness would perjure himself or herself for pay. </w:t>
      </w:r>
      <w:r w:rsidR="008C79DA">
        <w:rPr>
          <w:rFonts w:ascii="Arial" w:hAnsi="Arial" w:cs="Arial"/>
          <w:i/>
          <w:iCs/>
        </w:rPr>
        <w:t>Huey</w:t>
      </w:r>
      <w:r w:rsidR="008C79DA">
        <w:rPr>
          <w:rFonts w:ascii="Arial" w:hAnsi="Arial" w:cs="Arial"/>
        </w:rPr>
        <w:t xml:space="preserve">, 370 N.C. at 183 (improper to refer to defendant’s expert witness as an “excuse man”); </w:t>
      </w:r>
      <w:r w:rsidR="004E09F9">
        <w:rPr>
          <w:rFonts w:ascii="Arial" w:hAnsi="Arial" w:cs="Arial"/>
        </w:rPr>
        <w:t xml:space="preserve">State v. Bowman, 274 N.C. App. 214, 222 (2020) (“clearly improper” for prosecutor to argue that forensic psychology expert was paid to fabricate an excuse for defendant’s conduct); </w:t>
      </w:r>
      <w:r w:rsidRPr="00641284">
        <w:rPr>
          <w:rFonts w:ascii="Arial" w:hAnsi="Arial" w:cs="Arial"/>
        </w:rPr>
        <w:t xml:space="preserve">State v. Vines, 105 N.C. App. 147, 156 (1992) (the prosecutor improperly stated the following regarding the </w:t>
      </w:r>
      <w:r w:rsidRPr="00641284">
        <w:rPr>
          <w:rFonts w:ascii="Arial" w:hAnsi="Arial" w:cs="Arial"/>
        </w:rPr>
        <w:lastRenderedPageBreak/>
        <w:t>defendant’s expert witness, Dr. Leshner: “And here comes Dr. Leshner. . . . You can get a doctor to say just about anything these days” and went on to imply or suggest that Dr. Leshner's testimony was motivated by “pay.”).</w:t>
      </w:r>
    </w:p>
    <w:p w14:paraId="2C745B0F" w14:textId="3C8B3473" w:rsidR="007B6333" w:rsidRPr="00641284" w:rsidRDefault="007B6333" w:rsidP="00DB77E7">
      <w:pPr>
        <w:pStyle w:val="ListParagraph"/>
        <w:spacing w:after="0" w:line="240" w:lineRule="auto"/>
        <w:ind w:left="2880" w:firstLine="720"/>
        <w:rPr>
          <w:rFonts w:ascii="Arial" w:hAnsi="Arial" w:cs="Arial"/>
        </w:rPr>
      </w:pPr>
      <w:r w:rsidRPr="00641284">
        <w:rPr>
          <w:rFonts w:ascii="Arial" w:hAnsi="Arial" w:cs="Arial"/>
        </w:rPr>
        <w:t xml:space="preserve">It is also improper to malign the expert's profession. </w:t>
      </w:r>
      <w:r w:rsidRPr="00641284">
        <w:rPr>
          <w:rFonts w:ascii="Arial" w:hAnsi="Arial" w:cs="Arial"/>
          <w:i/>
          <w:iCs/>
        </w:rPr>
        <w:t xml:space="preserve">Compare </w:t>
      </w:r>
      <w:r w:rsidRPr="00641284">
        <w:rPr>
          <w:rFonts w:ascii="Arial" w:hAnsi="Arial" w:cs="Arial"/>
        </w:rPr>
        <w:t>State v. Smith, 352 N.C. 531, 561 (2000) (so stating the law</w:t>
      </w:r>
      <w:r w:rsidR="004C7650">
        <w:rPr>
          <w:rFonts w:ascii="Arial" w:hAnsi="Arial" w:cs="Arial"/>
        </w:rPr>
        <w:t>; improper to analogize psychologists that testify as experts to animals “flocking to what they perceive to be the public trough of the criminal justice system”</w:t>
      </w:r>
      <w:r w:rsidRPr="00641284">
        <w:rPr>
          <w:rFonts w:ascii="Arial" w:hAnsi="Arial" w:cs="Arial"/>
        </w:rPr>
        <w:t xml:space="preserve">), </w:t>
      </w:r>
      <w:r w:rsidRPr="00641284">
        <w:rPr>
          <w:rFonts w:ascii="Arial" w:hAnsi="Arial" w:cs="Arial"/>
          <w:i/>
          <w:iCs/>
        </w:rPr>
        <w:t xml:space="preserve">with </w:t>
      </w:r>
      <w:r w:rsidRPr="00641284">
        <w:rPr>
          <w:rFonts w:ascii="Arial" w:hAnsi="Arial" w:cs="Arial"/>
        </w:rPr>
        <w:t>State v. Womble, 343 N.C. 667, 692-93 (1996) (prosecutor’s argument that one of the defendant’s experts, a psychiatrist, was a medical doctor who dealt with facts but the other, a psychologist, dealt with theory and was not a medical doctor was not improper; the prosecutor did not ridicule the psychologist but merely pointed out differences between psychiatrists and psychologists).</w:t>
      </w:r>
    </w:p>
    <w:p w14:paraId="06D628E4" w14:textId="77777777" w:rsidR="007B6333" w:rsidRPr="00641284" w:rsidRDefault="007B6333" w:rsidP="00DB30BF">
      <w:pPr>
        <w:pStyle w:val="ListParagraph"/>
        <w:numPr>
          <w:ilvl w:val="2"/>
          <w:numId w:val="8"/>
        </w:numPr>
        <w:spacing w:after="0" w:line="240" w:lineRule="auto"/>
        <w:rPr>
          <w:rFonts w:ascii="Arial" w:hAnsi="Arial" w:cs="Arial"/>
        </w:rPr>
      </w:pPr>
      <w:bookmarkStart w:id="93" w:name="_Toc402880748"/>
      <w:bookmarkStart w:id="94" w:name="_Toc209539224"/>
      <w:r w:rsidRPr="00CF4FBE">
        <w:rPr>
          <w:rStyle w:val="Heading3Char"/>
        </w:rPr>
        <w:t>Asking Jurors to Put Themselves in the Victim’s Position</w:t>
      </w:r>
      <w:bookmarkEnd w:id="93"/>
      <w:bookmarkEnd w:id="94"/>
      <w:r w:rsidRPr="00641284">
        <w:rPr>
          <w:rFonts w:ascii="Arial" w:hAnsi="Arial" w:cs="Arial"/>
          <w:b/>
          <w:bCs/>
        </w:rPr>
        <w:t xml:space="preserve">. </w:t>
      </w:r>
      <w:r w:rsidRPr="00641284">
        <w:rPr>
          <w:rFonts w:ascii="Arial" w:hAnsi="Arial" w:cs="Arial"/>
        </w:rPr>
        <w:t>It is improper for the prosecutor to ask the jurors to put themselves in the victim’s place. State v. Roache, 358 N.C. 243, 298 (2004); State v. Prevatte, 356 N.C. 178, 244 (2002). Thus, in a case in which the defendant was charged with the murder and rape of a seven-year-old child, it was improper for the prosecutor to argue:</w:t>
      </w:r>
    </w:p>
    <w:p w14:paraId="60EB6F85" w14:textId="77777777" w:rsidR="007B6333" w:rsidRPr="00641284" w:rsidRDefault="007B6333" w:rsidP="00DB30BF">
      <w:pPr>
        <w:spacing w:after="0" w:line="240" w:lineRule="auto"/>
        <w:ind w:left="1440" w:right="720"/>
        <w:rPr>
          <w:rFonts w:ascii="Arial" w:hAnsi="Arial" w:cs="Arial"/>
        </w:rPr>
      </w:pPr>
    </w:p>
    <w:p w14:paraId="4322201A" w14:textId="62EE546C" w:rsidR="007B6333" w:rsidRPr="00641284" w:rsidRDefault="007B6333" w:rsidP="00DB30BF">
      <w:pPr>
        <w:spacing w:after="0" w:line="240" w:lineRule="auto"/>
        <w:ind w:left="2880" w:right="720"/>
        <w:rPr>
          <w:rFonts w:ascii="Arial" w:hAnsi="Arial" w:cs="Arial"/>
        </w:rPr>
      </w:pPr>
      <w:r w:rsidRPr="00641284">
        <w:rPr>
          <w:rFonts w:ascii="Arial" w:hAnsi="Arial" w:cs="Arial"/>
        </w:rPr>
        <w:t xml:space="preserve">Put yourselves . . . in that back bedroom, a little old red night light on, and Jo-Jo in a little daybed with her </w:t>
      </w:r>
      <w:proofErr w:type="gramStart"/>
      <w:r w:rsidRPr="00641284">
        <w:rPr>
          <w:rFonts w:ascii="Arial" w:hAnsi="Arial" w:cs="Arial"/>
        </w:rPr>
        <w:t>three year old</w:t>
      </w:r>
      <w:proofErr w:type="gramEnd"/>
      <w:r w:rsidRPr="00641284">
        <w:rPr>
          <w:rFonts w:ascii="Arial" w:hAnsi="Arial" w:cs="Arial"/>
        </w:rPr>
        <w:t xml:space="preserve"> brother, in the middle of the night. Just put yourself in her shoes</w:t>
      </w:r>
      <w:proofErr w:type="gramStart"/>
      <w:r w:rsidRPr="00641284">
        <w:rPr>
          <w:rFonts w:ascii="Arial" w:hAnsi="Arial" w:cs="Arial"/>
        </w:rPr>
        <w:t>. . . .</w:t>
      </w:r>
      <w:proofErr w:type="gramEnd"/>
      <w:r w:rsidRPr="00641284">
        <w:rPr>
          <w:rFonts w:ascii="Arial" w:hAnsi="Arial" w:cs="Arial"/>
        </w:rPr>
        <w:t xml:space="preserve"> . Put yourselves, for just a minute, put yourselves where she was. And you're in that little daybed in the middle of the night and for some reason you wake up and you sit up in bed. Something had startled you or something and you had sat up and there is [defendant</w:t>
      </w:r>
      <w:proofErr w:type="gramStart"/>
      <w:r w:rsidRPr="00641284">
        <w:rPr>
          <w:rFonts w:ascii="Arial" w:hAnsi="Arial" w:cs="Arial"/>
        </w:rPr>
        <w:t>]</w:t>
      </w:r>
      <w:proofErr w:type="gramEnd"/>
      <w:r w:rsidRPr="00641284">
        <w:rPr>
          <w:rFonts w:ascii="Arial" w:hAnsi="Arial" w:cs="Arial"/>
        </w:rPr>
        <w:t xml:space="preserve"> and he pushes you down on the bed, covers your little face with a pillow, starts to suffocate you, smother you, and rape you. And you're twisting and turning and gasping for breath, and he continues and he </w:t>
      </w:r>
      <w:proofErr w:type="gramStart"/>
      <w:r w:rsidRPr="00641284">
        <w:rPr>
          <w:rFonts w:ascii="Arial" w:hAnsi="Arial" w:cs="Arial"/>
        </w:rPr>
        <w:t>continues</w:t>
      </w:r>
      <w:proofErr w:type="gramEnd"/>
      <w:r w:rsidRPr="00641284">
        <w:rPr>
          <w:rFonts w:ascii="Arial" w:hAnsi="Arial" w:cs="Arial"/>
        </w:rPr>
        <w:t xml:space="preserve"> and he continues. And not only are you gasping for breath, </w:t>
      </w:r>
      <w:proofErr w:type="gramStart"/>
      <w:r w:rsidRPr="00641284">
        <w:rPr>
          <w:rFonts w:ascii="Arial" w:hAnsi="Arial" w:cs="Arial"/>
        </w:rPr>
        <w:t>your legs are</w:t>
      </w:r>
      <w:proofErr w:type="gramEnd"/>
      <w:r w:rsidRPr="00641284">
        <w:rPr>
          <w:rFonts w:ascii="Arial" w:hAnsi="Arial" w:cs="Arial"/>
        </w:rPr>
        <w:t xml:space="preserve"> spread apart and he's pushing his penis into you. A </w:t>
      </w:r>
      <w:proofErr w:type="gramStart"/>
      <w:r w:rsidRPr="00641284">
        <w:rPr>
          <w:rFonts w:ascii="Arial" w:hAnsi="Arial" w:cs="Arial"/>
        </w:rPr>
        <w:t>seven year old</w:t>
      </w:r>
      <w:proofErr w:type="gramEnd"/>
      <w:r w:rsidRPr="00641284">
        <w:rPr>
          <w:rFonts w:ascii="Arial" w:hAnsi="Arial" w:cs="Arial"/>
        </w:rPr>
        <w:t xml:space="preserve"> child. And it goes on and it goes on and it goes on until you're unconscious. </w:t>
      </w:r>
    </w:p>
    <w:p w14:paraId="0F3656AC" w14:textId="77777777" w:rsidR="00641284" w:rsidRDefault="00641284" w:rsidP="00DB30BF">
      <w:pPr>
        <w:spacing w:after="0" w:line="240" w:lineRule="auto"/>
        <w:ind w:left="1800" w:firstLine="720"/>
        <w:rPr>
          <w:rFonts w:ascii="Arial" w:hAnsi="Arial" w:cs="Arial"/>
        </w:rPr>
      </w:pPr>
    </w:p>
    <w:p w14:paraId="32A7B411" w14:textId="1B95954D" w:rsidR="007B6333" w:rsidRPr="00146C2B" w:rsidRDefault="007B6333" w:rsidP="00146C2B">
      <w:pPr>
        <w:spacing w:after="0" w:line="240" w:lineRule="auto"/>
        <w:ind w:left="2160"/>
        <w:rPr>
          <w:rFonts w:ascii="Arial" w:hAnsi="Arial" w:cs="Arial"/>
        </w:rPr>
      </w:pPr>
      <w:r w:rsidRPr="00641284">
        <w:rPr>
          <w:rFonts w:ascii="Arial" w:hAnsi="Arial" w:cs="Arial"/>
        </w:rPr>
        <w:t>State v. Perkins, 345 N.C. 254, 285-86 (1997).</w:t>
      </w:r>
      <w:r w:rsidR="00146C2B">
        <w:rPr>
          <w:rFonts w:ascii="Arial" w:hAnsi="Arial" w:cs="Arial"/>
          <w:i/>
          <w:iCs/>
        </w:rPr>
        <w:t xml:space="preserve"> </w:t>
      </w:r>
      <w:r w:rsidR="00146C2B">
        <w:rPr>
          <w:rFonts w:ascii="Arial" w:hAnsi="Arial" w:cs="Arial"/>
          <w:i/>
          <w:iCs/>
        </w:rPr>
        <w:t xml:space="preserve">See also </w:t>
      </w:r>
      <w:r w:rsidR="00146C2B">
        <w:rPr>
          <w:rFonts w:ascii="Arial" w:hAnsi="Arial" w:cs="Arial"/>
        </w:rPr>
        <w:t>State v. Maney, ___ N.C. App. ___, 917 S.E.2d 328, 338-39 (2025) (prosecutor’s closing argument asking jurors to “walk in [the child victim’s] shoes” was improper).</w:t>
      </w:r>
    </w:p>
    <w:p w14:paraId="66B3B0C3" w14:textId="7E791472" w:rsidR="007B6333" w:rsidRPr="00641284" w:rsidRDefault="007B6333" w:rsidP="00A17265">
      <w:pPr>
        <w:pStyle w:val="ListParagraph"/>
        <w:spacing w:after="0" w:line="240" w:lineRule="auto"/>
        <w:ind w:left="2160" w:firstLine="720"/>
        <w:rPr>
          <w:rFonts w:ascii="Arial" w:hAnsi="Arial" w:cs="Arial"/>
        </w:rPr>
      </w:pPr>
      <w:r w:rsidRPr="00641284">
        <w:rPr>
          <w:rFonts w:ascii="Arial" w:hAnsi="Arial" w:cs="Arial"/>
        </w:rPr>
        <w:t>However, asking the jury to imagine how the victim felt or what he or she was thinking is not improper. State v. Jones, 358 N.C. 330, 357 (2004) (no impropriety when the prosecutor repeatedly asked the jury to imagine what the victims were thinking); State v. Fletcher, 354 N.C. 455, 485 (2001) (not improper for prosecutor to ask the jurors to “imagine” the victim's fear and the pain of the stabbings).</w:t>
      </w:r>
    </w:p>
    <w:p w14:paraId="169118B6" w14:textId="77777777" w:rsidR="007B6333" w:rsidRPr="00641284" w:rsidRDefault="007B6333" w:rsidP="00DB30BF">
      <w:pPr>
        <w:pStyle w:val="Heading3"/>
        <w:spacing w:line="240" w:lineRule="auto"/>
      </w:pPr>
      <w:bookmarkStart w:id="95" w:name="_Toc402880749"/>
      <w:bookmarkStart w:id="96" w:name="_Toc209539225"/>
      <w:r w:rsidRPr="00641284">
        <w:t>Role of the Jury</w:t>
      </w:r>
      <w:bookmarkEnd w:id="95"/>
      <w:bookmarkEnd w:id="96"/>
    </w:p>
    <w:p w14:paraId="6CA7B8DB" w14:textId="5FB9D5FA" w:rsidR="00085D0A" w:rsidRDefault="007B6333" w:rsidP="007B31A9">
      <w:pPr>
        <w:pStyle w:val="ListParagraph"/>
        <w:numPr>
          <w:ilvl w:val="3"/>
          <w:numId w:val="8"/>
        </w:numPr>
        <w:spacing w:after="0" w:line="240" w:lineRule="auto"/>
        <w:ind w:hanging="720"/>
        <w:rPr>
          <w:rFonts w:ascii="Arial" w:hAnsi="Arial" w:cs="Arial"/>
        </w:rPr>
      </w:pPr>
      <w:r w:rsidRPr="00641284">
        <w:rPr>
          <w:rFonts w:ascii="Arial" w:hAnsi="Arial" w:cs="Arial"/>
          <w:b/>
          <w:bCs/>
        </w:rPr>
        <w:lastRenderedPageBreak/>
        <w:t xml:space="preserve">Lending an Ear to the Community/Public Sentiment. </w:t>
      </w:r>
      <w:r w:rsidRPr="00641284">
        <w:rPr>
          <w:rFonts w:ascii="Arial" w:hAnsi="Arial" w:cs="Arial"/>
        </w:rPr>
        <w:t>It is improper for the prosecution to argue that the jury should lend an ear to the community, State v. Golphin, 352 N.C.</w:t>
      </w:r>
      <w:r w:rsidR="00015857">
        <w:rPr>
          <w:rFonts w:ascii="Arial" w:hAnsi="Arial" w:cs="Arial"/>
        </w:rPr>
        <w:t xml:space="preserve"> </w:t>
      </w:r>
      <w:r w:rsidRPr="00641284">
        <w:rPr>
          <w:rFonts w:ascii="Arial" w:hAnsi="Arial" w:cs="Arial"/>
        </w:rPr>
        <w:t xml:space="preserve">364, 471 (2000); State v. McNeil, 350 N.C. 657, 687-88 (1999); </w:t>
      </w:r>
      <w:r w:rsidRPr="00641284">
        <w:rPr>
          <w:rFonts w:ascii="Arial" w:hAnsi="Arial" w:cs="Arial"/>
          <w:i/>
          <w:iCs/>
        </w:rPr>
        <w:t xml:space="preserve">see also </w:t>
      </w:r>
      <w:r w:rsidRPr="00641284">
        <w:rPr>
          <w:rFonts w:ascii="Arial" w:hAnsi="Arial" w:cs="Arial"/>
        </w:rPr>
        <w:t xml:space="preserve">State v. Privette, </w:t>
      </w:r>
      <w:r w:rsidR="00015857">
        <w:rPr>
          <w:rFonts w:ascii="Arial" w:hAnsi="Arial" w:cs="Arial"/>
        </w:rPr>
        <w:t>218</w:t>
      </w:r>
      <w:r w:rsidRPr="00641284">
        <w:rPr>
          <w:rFonts w:ascii="Arial" w:hAnsi="Arial" w:cs="Arial"/>
        </w:rPr>
        <w:t xml:space="preserve"> N.C. App. </w:t>
      </w:r>
      <w:r w:rsidR="00015857">
        <w:rPr>
          <w:rFonts w:ascii="Arial" w:hAnsi="Arial" w:cs="Arial"/>
        </w:rPr>
        <w:t>459</w:t>
      </w:r>
      <w:r w:rsidRPr="00641284">
        <w:rPr>
          <w:rFonts w:ascii="Arial" w:hAnsi="Arial" w:cs="Arial"/>
        </w:rPr>
        <w:t>,</w:t>
      </w:r>
      <w:r w:rsidR="00015857">
        <w:rPr>
          <w:rFonts w:ascii="Arial" w:hAnsi="Arial" w:cs="Arial"/>
        </w:rPr>
        <w:t xml:space="preserve"> 469-70</w:t>
      </w:r>
      <w:r w:rsidRPr="00641284">
        <w:rPr>
          <w:rFonts w:ascii="Arial" w:hAnsi="Arial" w:cs="Arial"/>
        </w:rPr>
        <w:t xml:space="preserve"> (2012) (the prosecutor would have been better advised to have refrained from making comments that might have encouraged the jury to lend an ear to the community), or decide a case based on public sentiment, State v. Conaway, 339 N.C. 487, 529 (1995) (“Arguments that emphasize the public sentiment about a particular crime and demand that the jury convict and punish the defendant in compliance with this public sentiment are impermissible.”). Thus, in a homicide case involving impaired driving and a vehicle accident, it was improper for the prosecutor to argue that “there's a lot of public sentiment at this point against driving and drinking, causing accidents on the highway.” State v. Scott, 314 N.C. 309, 311-14 (1985). The court determined that this argument was improper in part because the statement “could only be construed as telling the jury that the citizens of the community sought and demanded conviction and punishment of the defendant.” </w:t>
      </w:r>
      <w:r w:rsidRPr="00641284">
        <w:rPr>
          <w:rFonts w:ascii="Arial" w:hAnsi="Arial" w:cs="Arial"/>
          <w:i/>
          <w:iCs/>
        </w:rPr>
        <w:t xml:space="preserve">Id. </w:t>
      </w:r>
      <w:r w:rsidRPr="00641284">
        <w:rPr>
          <w:rFonts w:ascii="Arial" w:hAnsi="Arial" w:cs="Arial"/>
        </w:rPr>
        <w:t xml:space="preserve">at 312 (new trial). </w:t>
      </w:r>
    </w:p>
    <w:p w14:paraId="174D0C4F" w14:textId="608C5183" w:rsidR="00085D0A" w:rsidRDefault="00085D0A" w:rsidP="00DB30BF">
      <w:pPr>
        <w:pStyle w:val="ListParagraph"/>
        <w:spacing w:after="0" w:line="240" w:lineRule="auto"/>
        <w:ind w:left="2880" w:firstLine="720"/>
        <w:rPr>
          <w:rFonts w:ascii="Arial" w:hAnsi="Arial" w:cs="Arial"/>
        </w:rPr>
      </w:pPr>
      <w:r w:rsidRPr="00641284">
        <w:rPr>
          <w:rFonts w:ascii="Arial" w:hAnsi="Arial" w:cs="Arial"/>
        </w:rPr>
        <w:t>However, as discussed in Section I</w:t>
      </w:r>
      <w:r w:rsidR="00015857">
        <w:rPr>
          <w:rFonts w:ascii="Arial" w:hAnsi="Arial" w:cs="Arial"/>
        </w:rPr>
        <w:t>V</w:t>
      </w:r>
      <w:r w:rsidRPr="00641284">
        <w:rPr>
          <w:rFonts w:ascii="Arial" w:hAnsi="Arial" w:cs="Arial"/>
        </w:rPr>
        <w:t>.G above, it is not improper to argue that the jury is the voice and conscience of the community and that its verdict will send a message to the defendant or to the community.</w:t>
      </w:r>
    </w:p>
    <w:p w14:paraId="576DB8DC" w14:textId="0B6D1B29" w:rsidR="007B6333" w:rsidRPr="00641284" w:rsidRDefault="00085D0A" w:rsidP="007B31A9">
      <w:pPr>
        <w:pStyle w:val="ListParagraph"/>
        <w:numPr>
          <w:ilvl w:val="3"/>
          <w:numId w:val="8"/>
        </w:numPr>
        <w:spacing w:after="0" w:line="240" w:lineRule="auto"/>
        <w:ind w:hanging="720"/>
        <w:rPr>
          <w:rFonts w:ascii="Arial" w:hAnsi="Arial" w:cs="Arial"/>
        </w:rPr>
      </w:pPr>
      <w:r>
        <w:rPr>
          <w:rFonts w:ascii="Arial" w:hAnsi="Arial" w:cs="Arial"/>
          <w:b/>
          <w:bCs/>
        </w:rPr>
        <w:t>Arm of the State or Last Link of Law Enforcement.</w:t>
      </w:r>
      <w:r>
        <w:rPr>
          <w:rFonts w:ascii="Arial" w:hAnsi="Arial" w:cs="Arial"/>
        </w:rPr>
        <w:t xml:space="preserve"> It is improper for the prosecution to suggest to the jury that it is “effectively an arm of the State in the prosecution of the defendant</w:t>
      </w:r>
      <w:r w:rsidR="00C8579D">
        <w:rPr>
          <w:rFonts w:ascii="Arial" w:hAnsi="Arial" w:cs="Arial"/>
        </w:rPr>
        <w:t xml:space="preserve"> or that the jury is the last link in the State’s chain of law enforcement.” State v. Prevatte, 356 N.C. 178, 242 (2002) (quotation omitted).</w:t>
      </w:r>
      <w:r w:rsidR="001F47CB">
        <w:rPr>
          <w:rFonts w:ascii="Arial" w:hAnsi="Arial" w:cs="Arial"/>
        </w:rPr>
        <w:t xml:space="preserve"> As discussed in Section IV.G above, however, it is not improper to make an argument to the jury that the “buck stops here” or </w:t>
      </w:r>
      <w:r w:rsidR="00756EBB">
        <w:rPr>
          <w:rFonts w:ascii="Arial" w:hAnsi="Arial" w:cs="Arial"/>
        </w:rPr>
        <w:t xml:space="preserve">expressing </w:t>
      </w:r>
      <w:r w:rsidR="001F47CB">
        <w:rPr>
          <w:rFonts w:ascii="Arial" w:hAnsi="Arial" w:cs="Arial"/>
        </w:rPr>
        <w:t>a similar sentiment.</w:t>
      </w:r>
      <w:r w:rsidR="008569CE">
        <w:rPr>
          <w:rFonts w:ascii="Arial" w:hAnsi="Arial" w:cs="Arial"/>
          <w:i/>
          <w:iCs/>
        </w:rPr>
        <w:t xml:space="preserve"> Id.</w:t>
      </w:r>
      <w:r w:rsidR="008569CE">
        <w:rPr>
          <w:rFonts w:ascii="Arial" w:hAnsi="Arial" w:cs="Arial"/>
        </w:rPr>
        <w:t xml:space="preserve"> at 243 (so stating);</w:t>
      </w:r>
      <w:r w:rsidR="001F47CB">
        <w:rPr>
          <w:rFonts w:ascii="Arial" w:hAnsi="Arial" w:cs="Arial"/>
        </w:rPr>
        <w:t xml:space="preserve"> </w:t>
      </w:r>
      <w:r w:rsidR="001F47CB">
        <w:rPr>
          <w:rFonts w:ascii="Arial" w:hAnsi="Arial" w:cs="Arial"/>
          <w:i/>
          <w:iCs/>
        </w:rPr>
        <w:t>McNeil</w:t>
      </w:r>
      <w:r w:rsidR="001F47CB">
        <w:rPr>
          <w:rFonts w:ascii="Arial" w:hAnsi="Arial" w:cs="Arial"/>
        </w:rPr>
        <w:t xml:space="preserve">, 350 N.C. at 688 (“We have held </w:t>
      </w:r>
      <w:proofErr w:type="gramStart"/>
      <w:r w:rsidR="001F47CB">
        <w:rPr>
          <w:rFonts w:ascii="Arial" w:hAnsi="Arial" w:cs="Arial"/>
        </w:rPr>
        <w:t>on</w:t>
      </w:r>
      <w:proofErr w:type="gramEnd"/>
      <w:r w:rsidR="001F47CB">
        <w:rPr>
          <w:rFonts w:ascii="Arial" w:hAnsi="Arial" w:cs="Arial"/>
        </w:rPr>
        <w:t xml:space="preserve"> several prior occasions that . . . arguments advising jurors that law enforcement and the State can do no more are not prejudicial.”).</w:t>
      </w:r>
    </w:p>
    <w:p w14:paraId="33409FB1" w14:textId="77777777" w:rsidR="00085D0A" w:rsidRPr="00641284" w:rsidRDefault="00085D0A" w:rsidP="00DB30BF">
      <w:pPr>
        <w:pStyle w:val="ListParagraph"/>
        <w:spacing w:after="0" w:line="240" w:lineRule="auto"/>
        <w:ind w:left="2520" w:firstLine="720"/>
        <w:rPr>
          <w:rFonts w:ascii="Arial" w:hAnsi="Arial" w:cs="Arial"/>
        </w:rPr>
      </w:pPr>
    </w:p>
    <w:p w14:paraId="5DEA3C9E" w14:textId="48E923DF" w:rsidR="007D584D" w:rsidRDefault="002B0092" w:rsidP="00DB30BF">
      <w:pPr>
        <w:pStyle w:val="ListParagraph"/>
        <w:numPr>
          <w:ilvl w:val="2"/>
          <w:numId w:val="8"/>
        </w:numPr>
        <w:spacing w:after="0" w:line="240" w:lineRule="auto"/>
        <w:rPr>
          <w:rFonts w:ascii="Arial" w:hAnsi="Arial" w:cs="Arial"/>
        </w:rPr>
      </w:pPr>
      <w:bookmarkStart w:id="97" w:name="_Toc402880750"/>
      <w:bookmarkStart w:id="98" w:name="_Toc209539226"/>
      <w:r>
        <w:rPr>
          <w:rStyle w:val="Heading3Char"/>
        </w:rPr>
        <w:t xml:space="preserve">Arguments Concerning </w:t>
      </w:r>
      <w:r w:rsidR="00450FAF">
        <w:rPr>
          <w:rStyle w:val="Heading3Char"/>
        </w:rPr>
        <w:t>Punishment</w:t>
      </w:r>
      <w:r>
        <w:rPr>
          <w:rStyle w:val="Heading3Char"/>
        </w:rPr>
        <w:t xml:space="preserve"> or Penalty</w:t>
      </w:r>
      <w:bookmarkEnd w:id="97"/>
      <w:bookmarkEnd w:id="98"/>
      <w:r w:rsidR="007B6333" w:rsidRPr="00641284">
        <w:rPr>
          <w:rFonts w:ascii="Arial" w:hAnsi="Arial" w:cs="Arial"/>
          <w:b/>
          <w:bCs/>
        </w:rPr>
        <w:t xml:space="preserve">. </w:t>
      </w:r>
      <w:r w:rsidR="00D96C61">
        <w:rPr>
          <w:rFonts w:ascii="Arial" w:hAnsi="Arial" w:cs="Arial"/>
        </w:rPr>
        <w:t>As discussed above, it</w:t>
      </w:r>
      <w:r w:rsidR="00450FAF">
        <w:rPr>
          <w:rFonts w:ascii="Arial" w:hAnsi="Arial" w:cs="Arial"/>
        </w:rPr>
        <w:t xml:space="preserve"> </w:t>
      </w:r>
      <w:r w:rsidR="00D96C61">
        <w:rPr>
          <w:rFonts w:ascii="Arial" w:hAnsi="Arial" w:cs="Arial"/>
        </w:rPr>
        <w:t>is permissible</w:t>
      </w:r>
      <w:r w:rsidR="00450FAF">
        <w:rPr>
          <w:rFonts w:ascii="Arial" w:hAnsi="Arial" w:cs="Arial"/>
        </w:rPr>
        <w:t xml:space="preserve"> to</w:t>
      </w:r>
      <w:r w:rsidR="00D96C61">
        <w:rPr>
          <w:rFonts w:ascii="Arial" w:hAnsi="Arial" w:cs="Arial"/>
        </w:rPr>
        <w:t xml:space="preserve"> </w:t>
      </w:r>
      <w:r w:rsidR="00450FAF">
        <w:rPr>
          <w:rFonts w:ascii="Arial" w:hAnsi="Arial" w:cs="Arial"/>
        </w:rPr>
        <w:t>inform the jury of the punishment prescribed for the offense for which a defendant is being tried</w:t>
      </w:r>
      <w:r w:rsidR="00A768D2">
        <w:rPr>
          <w:rFonts w:ascii="Arial" w:hAnsi="Arial" w:cs="Arial"/>
        </w:rPr>
        <w:t>,</w:t>
      </w:r>
      <w:r w:rsidR="00450FAF">
        <w:rPr>
          <w:rFonts w:ascii="Arial" w:hAnsi="Arial" w:cs="Arial"/>
        </w:rPr>
        <w:t xml:space="preserve"> </w:t>
      </w:r>
      <w:r w:rsidR="00233804">
        <w:rPr>
          <w:rFonts w:ascii="Arial" w:hAnsi="Arial" w:cs="Arial"/>
        </w:rPr>
        <w:t xml:space="preserve">State v. Cox, </w:t>
      </w:r>
      <w:r w:rsidR="000E7ECE">
        <w:rPr>
          <w:rFonts w:ascii="Arial" w:hAnsi="Arial" w:cs="Arial"/>
        </w:rPr>
        <w:t>292</w:t>
      </w:r>
      <w:r w:rsidR="00233804">
        <w:rPr>
          <w:rFonts w:ascii="Arial" w:hAnsi="Arial" w:cs="Arial"/>
        </w:rPr>
        <w:t xml:space="preserve"> N.C. App. </w:t>
      </w:r>
      <w:r w:rsidR="000E7ECE">
        <w:rPr>
          <w:rFonts w:ascii="Arial" w:hAnsi="Arial" w:cs="Arial"/>
        </w:rPr>
        <w:t>473, 482-83</w:t>
      </w:r>
      <w:r w:rsidR="00233804">
        <w:rPr>
          <w:rFonts w:ascii="Arial" w:hAnsi="Arial" w:cs="Arial"/>
        </w:rPr>
        <w:t xml:space="preserve"> (2024)</w:t>
      </w:r>
      <w:r w:rsidR="00A768D2">
        <w:rPr>
          <w:rFonts w:ascii="Arial" w:hAnsi="Arial" w:cs="Arial"/>
        </w:rPr>
        <w:t xml:space="preserve"> (summarizing North Carolina law on this issue) and to </w:t>
      </w:r>
      <w:r w:rsidR="00947A0E">
        <w:rPr>
          <w:rFonts w:ascii="Arial" w:hAnsi="Arial" w:cs="Arial"/>
        </w:rPr>
        <w:t>impress upon</w:t>
      </w:r>
      <w:r w:rsidR="00A768D2">
        <w:rPr>
          <w:rFonts w:ascii="Arial" w:hAnsi="Arial" w:cs="Arial"/>
        </w:rPr>
        <w:t xml:space="preserve"> the jury </w:t>
      </w:r>
      <w:r w:rsidR="00947A0E">
        <w:rPr>
          <w:rFonts w:ascii="Arial" w:hAnsi="Arial" w:cs="Arial"/>
        </w:rPr>
        <w:t>its duty to</w:t>
      </w:r>
      <w:r w:rsidR="00A768D2">
        <w:rPr>
          <w:rFonts w:ascii="Arial" w:hAnsi="Arial" w:cs="Arial"/>
        </w:rPr>
        <w:t xml:space="preserve"> deliberate carefully and seriously</w:t>
      </w:r>
      <w:r w:rsidR="00450FAF">
        <w:rPr>
          <w:rFonts w:ascii="Arial" w:hAnsi="Arial" w:cs="Arial"/>
        </w:rPr>
        <w:t>.</w:t>
      </w:r>
      <w:r w:rsidR="00A768D2">
        <w:rPr>
          <w:rFonts w:ascii="Arial" w:hAnsi="Arial" w:cs="Arial"/>
        </w:rPr>
        <w:t xml:space="preserve"> State v.</w:t>
      </w:r>
      <w:r w:rsidR="00947A0E">
        <w:rPr>
          <w:rFonts w:ascii="Arial" w:hAnsi="Arial" w:cs="Arial"/>
        </w:rPr>
        <w:t xml:space="preserve"> McMorris, 290 N.C. 286, 287-88 (1976). </w:t>
      </w:r>
      <w:r w:rsidR="00450FAF">
        <w:rPr>
          <w:rFonts w:ascii="Arial" w:hAnsi="Arial" w:cs="Arial"/>
        </w:rPr>
        <w:t xml:space="preserve">There are, however, limitations on arguments concerning </w:t>
      </w:r>
      <w:r w:rsidR="00233804">
        <w:rPr>
          <w:rFonts w:ascii="Arial" w:hAnsi="Arial" w:cs="Arial"/>
        </w:rPr>
        <w:t>punishment and sentencing.</w:t>
      </w:r>
    </w:p>
    <w:p w14:paraId="583E4E65" w14:textId="0B3E0AF9" w:rsidR="00BF4ED7" w:rsidRDefault="00A768D2" w:rsidP="008456DE">
      <w:pPr>
        <w:pStyle w:val="ListParagraph"/>
        <w:spacing w:after="0" w:line="240" w:lineRule="auto"/>
        <w:ind w:left="2160" w:firstLine="720"/>
        <w:rPr>
          <w:rFonts w:ascii="Arial" w:hAnsi="Arial" w:cs="Arial"/>
        </w:rPr>
      </w:pPr>
      <w:r>
        <w:rPr>
          <w:rFonts w:ascii="Arial" w:hAnsi="Arial" w:cs="Arial"/>
        </w:rPr>
        <w:t>It is improper for defense counsel to argue to the jury that the defendant should not be convicted of a particular offense because the punishment is severe. State v. Wilson, 293 N.C. 47, 57 (1977)</w:t>
      </w:r>
      <w:r w:rsidR="002B0092">
        <w:rPr>
          <w:rFonts w:ascii="Arial" w:hAnsi="Arial" w:cs="Arial"/>
        </w:rPr>
        <w:t xml:space="preserve">; </w:t>
      </w:r>
      <w:r w:rsidR="002B0092">
        <w:rPr>
          <w:rFonts w:ascii="Arial" w:hAnsi="Arial" w:cs="Arial"/>
          <w:i/>
          <w:iCs/>
        </w:rPr>
        <w:t>Cox</w:t>
      </w:r>
      <w:r w:rsidR="002B0092">
        <w:rPr>
          <w:rFonts w:ascii="Arial" w:hAnsi="Arial" w:cs="Arial"/>
        </w:rPr>
        <w:t xml:space="preserve">, </w:t>
      </w:r>
      <w:r w:rsidR="000E7ECE">
        <w:rPr>
          <w:rFonts w:ascii="Arial" w:hAnsi="Arial" w:cs="Arial"/>
        </w:rPr>
        <w:t>292</w:t>
      </w:r>
      <w:r w:rsidR="002B0092">
        <w:rPr>
          <w:rFonts w:ascii="Arial" w:hAnsi="Arial" w:cs="Arial"/>
        </w:rPr>
        <w:t xml:space="preserve"> N.C. App. at </w:t>
      </w:r>
      <w:r w:rsidR="000E7ECE">
        <w:rPr>
          <w:rFonts w:ascii="Arial" w:hAnsi="Arial" w:cs="Arial"/>
        </w:rPr>
        <w:t>482-83</w:t>
      </w:r>
      <w:r w:rsidR="00FA3D28">
        <w:rPr>
          <w:rFonts w:ascii="Arial" w:hAnsi="Arial" w:cs="Arial"/>
        </w:rPr>
        <w:t xml:space="preserve"> (improper for defense counsel to argue that conviction of </w:t>
      </w:r>
      <w:r w:rsidR="00FA3D28" w:rsidRPr="00BF4ED7">
        <w:rPr>
          <w:rFonts w:ascii="Arial" w:hAnsi="Arial" w:cs="Arial"/>
        </w:rPr>
        <w:t xml:space="preserve">any of the charged sex offenses </w:t>
      </w:r>
      <w:r w:rsidR="009457A8" w:rsidRPr="00BF4ED7">
        <w:rPr>
          <w:rFonts w:ascii="Arial" w:hAnsi="Arial" w:cs="Arial"/>
        </w:rPr>
        <w:t>“</w:t>
      </w:r>
      <w:r w:rsidR="004A6347" w:rsidRPr="00BF4ED7">
        <w:rPr>
          <w:rFonts w:ascii="Arial" w:hAnsi="Arial" w:cs="Arial"/>
        </w:rPr>
        <w:t xml:space="preserve">will </w:t>
      </w:r>
      <w:r w:rsidR="009457A8" w:rsidRPr="00BF4ED7">
        <w:rPr>
          <w:rFonts w:ascii="Arial" w:hAnsi="Arial" w:cs="Arial"/>
        </w:rPr>
        <w:t>practically</w:t>
      </w:r>
      <w:r w:rsidR="004A6347" w:rsidRPr="00BF4ED7">
        <w:rPr>
          <w:rFonts w:ascii="Arial" w:hAnsi="Arial" w:cs="Arial"/>
        </w:rPr>
        <w:t xml:space="preserve"> be a life sentence</w:t>
      </w:r>
      <w:r w:rsidR="005F1294" w:rsidRPr="00BF4ED7">
        <w:rPr>
          <w:rFonts w:ascii="Arial" w:hAnsi="Arial" w:cs="Arial"/>
        </w:rPr>
        <w:t>,</w:t>
      </w:r>
      <w:r w:rsidR="004A6347" w:rsidRPr="00BF4ED7">
        <w:rPr>
          <w:rFonts w:ascii="Arial" w:hAnsi="Arial" w:cs="Arial"/>
        </w:rPr>
        <w:t>”</w:t>
      </w:r>
      <w:r w:rsidR="005F1294" w:rsidRPr="00BF4ED7">
        <w:rPr>
          <w:rFonts w:ascii="Arial" w:hAnsi="Arial" w:cs="Arial"/>
        </w:rPr>
        <w:t xml:space="preserve"> noting that </w:t>
      </w:r>
      <w:r w:rsidR="005F1294" w:rsidRPr="00BF4ED7">
        <w:rPr>
          <w:rFonts w:ascii="Arial" w:eastAsia="Times New Roman" w:hAnsi="Arial" w:cs="Arial"/>
          <w:color w:val="000000"/>
        </w:rPr>
        <w:t xml:space="preserve">defense counsel did not attempt to give a precise </w:t>
      </w:r>
      <w:r w:rsidR="005F1294" w:rsidRPr="00BF4ED7">
        <w:rPr>
          <w:rFonts w:ascii="Arial" w:eastAsia="Times New Roman" w:hAnsi="Arial" w:cs="Arial"/>
          <w:color w:val="000000"/>
        </w:rPr>
        <w:lastRenderedPageBreak/>
        <w:t>sentence range for each offense or frame the potential punishment in terms of years</w:t>
      </w:r>
      <w:r w:rsidR="00BF4ED7" w:rsidRPr="00BF4ED7">
        <w:rPr>
          <w:rFonts w:ascii="Arial" w:hAnsi="Arial" w:cs="Arial"/>
        </w:rPr>
        <w:t xml:space="preserve"> sentencing</w:t>
      </w:r>
      <w:r w:rsidR="00BF4ED7">
        <w:rPr>
          <w:rFonts w:ascii="Arial" w:hAnsi="Arial" w:cs="Arial"/>
        </w:rPr>
        <w:t>).</w:t>
      </w:r>
    </w:p>
    <w:p w14:paraId="3828549D" w14:textId="6E3AB5D8" w:rsidR="007B6333" w:rsidRPr="00C126A2" w:rsidRDefault="007D584D" w:rsidP="00DB30BF">
      <w:pPr>
        <w:pStyle w:val="ListParagraph"/>
        <w:spacing w:after="0" w:line="240" w:lineRule="auto"/>
        <w:ind w:left="2160" w:firstLine="720"/>
        <w:rPr>
          <w:rFonts w:ascii="Arial" w:hAnsi="Arial" w:cs="Arial"/>
        </w:rPr>
      </w:pPr>
      <w:r>
        <w:rPr>
          <w:rFonts w:ascii="Arial" w:hAnsi="Arial" w:cs="Arial"/>
        </w:rPr>
        <w:t>It also is improper to inaccurately forecast a defendant’s punishment if convicted.</w:t>
      </w:r>
      <w:r w:rsidR="00D12FDA">
        <w:rPr>
          <w:rFonts w:ascii="Arial" w:hAnsi="Arial" w:cs="Arial"/>
        </w:rPr>
        <w:t xml:space="preserve"> </w:t>
      </w:r>
      <w:r w:rsidR="00D12FDA">
        <w:rPr>
          <w:rFonts w:ascii="Arial" w:hAnsi="Arial" w:cs="Arial"/>
          <w:i/>
          <w:iCs/>
        </w:rPr>
        <w:t>McMorris</w:t>
      </w:r>
      <w:r w:rsidR="00D12FDA">
        <w:rPr>
          <w:rFonts w:ascii="Arial" w:hAnsi="Arial" w:cs="Arial"/>
        </w:rPr>
        <w:t>, 290 N.C.at 288.</w:t>
      </w:r>
      <w:r>
        <w:rPr>
          <w:rFonts w:ascii="Arial" w:hAnsi="Arial" w:cs="Arial"/>
        </w:rPr>
        <w:t xml:space="preserve"> </w:t>
      </w:r>
      <w:r w:rsidR="009457A8">
        <w:rPr>
          <w:rFonts w:ascii="Arial" w:hAnsi="Arial" w:cs="Arial"/>
        </w:rPr>
        <w:t>B</w:t>
      </w:r>
      <w:r>
        <w:rPr>
          <w:rFonts w:ascii="Arial" w:hAnsi="Arial" w:cs="Arial"/>
        </w:rPr>
        <w:t>ecause of its complexity, t</w:t>
      </w:r>
      <w:r w:rsidR="007B6333" w:rsidRPr="00641284">
        <w:rPr>
          <w:rFonts w:ascii="Arial" w:hAnsi="Arial" w:cs="Arial"/>
        </w:rPr>
        <w:t>he courts have</w:t>
      </w:r>
      <w:r w:rsidR="00D12FDA">
        <w:rPr>
          <w:rFonts w:ascii="Arial" w:hAnsi="Arial" w:cs="Arial"/>
        </w:rPr>
        <w:t xml:space="preserve"> specifically</w:t>
      </w:r>
      <w:r w:rsidR="007B6333" w:rsidRPr="00641284">
        <w:rPr>
          <w:rFonts w:ascii="Arial" w:hAnsi="Arial" w:cs="Arial"/>
        </w:rPr>
        <w:t xml:space="preserve"> warned that “even a well-intentioned argument purporting to forecast a sentence under Structured Sentencing will almost invariably be misleading” and therefore should be avoided. State v. Lopez, 363 N.C. 535, 540-42 (2009) (finding such a forecast improper). </w:t>
      </w:r>
      <w:r w:rsidR="00040C1D">
        <w:rPr>
          <w:rFonts w:ascii="Arial" w:hAnsi="Arial" w:cs="Arial"/>
        </w:rPr>
        <w:t xml:space="preserve">As discussed </w:t>
      </w:r>
      <w:r w:rsidR="00756EBB">
        <w:rPr>
          <w:rFonts w:ascii="Arial" w:hAnsi="Arial" w:cs="Arial"/>
        </w:rPr>
        <w:t xml:space="preserve">in more detail </w:t>
      </w:r>
      <w:r w:rsidR="00040C1D">
        <w:rPr>
          <w:rFonts w:ascii="Arial" w:hAnsi="Arial" w:cs="Arial"/>
        </w:rPr>
        <w:t xml:space="preserve">above, however, </w:t>
      </w:r>
      <w:r w:rsidR="00C126A2">
        <w:rPr>
          <w:rFonts w:ascii="Arial" w:hAnsi="Arial" w:cs="Arial"/>
        </w:rPr>
        <w:t xml:space="preserve">cases decided after </w:t>
      </w:r>
      <w:r w:rsidR="00C126A2">
        <w:rPr>
          <w:rFonts w:ascii="Arial" w:hAnsi="Arial" w:cs="Arial"/>
          <w:i/>
          <w:iCs/>
        </w:rPr>
        <w:t>Lopez</w:t>
      </w:r>
      <w:r w:rsidR="00C126A2">
        <w:rPr>
          <w:rFonts w:ascii="Arial" w:hAnsi="Arial" w:cs="Arial"/>
        </w:rPr>
        <w:t xml:space="preserve"> continue to state the general rule that it is permissible</w:t>
      </w:r>
      <w:r w:rsidR="005574CD">
        <w:rPr>
          <w:rFonts w:ascii="Arial" w:hAnsi="Arial" w:cs="Arial"/>
        </w:rPr>
        <w:t>, when done in a manner that is accurate and not misleading,</w:t>
      </w:r>
      <w:r w:rsidR="00C126A2">
        <w:rPr>
          <w:rFonts w:ascii="Arial" w:hAnsi="Arial" w:cs="Arial"/>
        </w:rPr>
        <w:t xml:space="preserve"> to inform </w:t>
      </w:r>
      <w:r w:rsidR="00C126A2" w:rsidRPr="004A6347">
        <w:rPr>
          <w:rFonts w:ascii="Arial" w:hAnsi="Arial" w:cs="Arial"/>
        </w:rPr>
        <w:t>the jury of the punishment for the offense for which a defendant is being tried</w:t>
      </w:r>
      <w:r w:rsidR="00C126A2">
        <w:rPr>
          <w:rFonts w:ascii="Arial" w:hAnsi="Arial" w:cs="Arial"/>
        </w:rPr>
        <w:t xml:space="preserve">. </w:t>
      </w:r>
      <w:r w:rsidR="00C126A2">
        <w:rPr>
          <w:rFonts w:ascii="Arial" w:hAnsi="Arial" w:cs="Arial"/>
          <w:i/>
          <w:iCs/>
        </w:rPr>
        <w:t xml:space="preserve">See </w:t>
      </w:r>
      <w:r w:rsidR="00C126A2">
        <w:rPr>
          <w:rFonts w:ascii="Arial" w:hAnsi="Arial" w:cs="Arial"/>
        </w:rPr>
        <w:t>Section IV.B.1.</w:t>
      </w:r>
    </w:p>
    <w:p w14:paraId="65480E95" w14:textId="5CE685F4" w:rsidR="007B6333" w:rsidRPr="00641284" w:rsidRDefault="007B6333" w:rsidP="00DB30BF">
      <w:pPr>
        <w:pStyle w:val="ListParagraph"/>
        <w:numPr>
          <w:ilvl w:val="2"/>
          <w:numId w:val="8"/>
        </w:numPr>
        <w:spacing w:after="0" w:line="240" w:lineRule="auto"/>
        <w:rPr>
          <w:rFonts w:ascii="Arial" w:hAnsi="Arial" w:cs="Arial"/>
        </w:rPr>
      </w:pPr>
      <w:bookmarkStart w:id="99" w:name="_Toc402880752"/>
      <w:bookmarkStart w:id="100" w:name="_Toc209539227"/>
      <w:r w:rsidRPr="00CF4FBE">
        <w:rPr>
          <w:rStyle w:val="Heading3Char"/>
        </w:rPr>
        <w:t>Appealing to Juror’s Fears</w:t>
      </w:r>
      <w:bookmarkEnd w:id="99"/>
      <w:bookmarkEnd w:id="100"/>
      <w:r w:rsidRPr="00641284">
        <w:rPr>
          <w:rFonts w:ascii="Arial" w:hAnsi="Arial" w:cs="Arial"/>
          <w:b/>
          <w:bCs/>
        </w:rPr>
        <w:t xml:space="preserve">. </w:t>
      </w:r>
      <w:r w:rsidRPr="00641284">
        <w:rPr>
          <w:rFonts w:ascii="Arial" w:hAnsi="Arial" w:cs="Arial"/>
        </w:rPr>
        <w:t xml:space="preserve">It is improper to make an argument designed to appeal to jurors' fears, such as a suggestion that if the defendant is </w:t>
      </w:r>
      <w:proofErr w:type="gramStart"/>
      <w:r w:rsidRPr="00641284">
        <w:rPr>
          <w:rFonts w:ascii="Arial" w:hAnsi="Arial" w:cs="Arial"/>
        </w:rPr>
        <w:t>acquitted</w:t>
      </w:r>
      <w:proofErr w:type="gramEnd"/>
      <w:r w:rsidRPr="00641284">
        <w:rPr>
          <w:rFonts w:ascii="Arial" w:hAnsi="Arial" w:cs="Arial"/>
        </w:rPr>
        <w:t xml:space="preserve"> he or she might harm a member of the jury.</w:t>
      </w:r>
      <w:r w:rsidR="005574CD">
        <w:rPr>
          <w:rFonts w:ascii="Arial" w:hAnsi="Arial" w:cs="Arial"/>
        </w:rPr>
        <w:t xml:space="preserve"> </w:t>
      </w:r>
      <w:r w:rsidR="005574CD">
        <w:rPr>
          <w:rFonts w:ascii="Arial" w:hAnsi="Arial" w:cs="Arial"/>
          <w:i/>
          <w:iCs/>
        </w:rPr>
        <w:t xml:space="preserve">Cf. </w:t>
      </w:r>
      <w:r w:rsidR="005574CD">
        <w:rPr>
          <w:rFonts w:ascii="Arial" w:hAnsi="Arial" w:cs="Arial"/>
        </w:rPr>
        <w:t>State v. Thomas, 350 N.C. 315, 361-62 (1999) (analyzing contention that prosecutor’s argument in capital sentencing proceeding that the defendant “would take your life and my life” improperly inflamed the jury against the defendant; concluding that the statement was not improper as it merely described the defendant’s willingness, as supported by the evidence, to murder a stranger for money)</w:t>
      </w:r>
      <w:r w:rsidRPr="00641284">
        <w:rPr>
          <w:rFonts w:ascii="Arial" w:hAnsi="Arial" w:cs="Arial"/>
        </w:rPr>
        <w:t>.</w:t>
      </w:r>
    </w:p>
    <w:p w14:paraId="186458A7" w14:textId="50AC43EB" w:rsidR="007B6333" w:rsidRPr="00641284" w:rsidRDefault="007B6333" w:rsidP="00DB30BF">
      <w:pPr>
        <w:pStyle w:val="ListParagraph"/>
        <w:numPr>
          <w:ilvl w:val="2"/>
          <w:numId w:val="8"/>
        </w:numPr>
        <w:spacing w:after="0" w:line="240" w:lineRule="auto"/>
        <w:rPr>
          <w:rFonts w:ascii="Arial" w:hAnsi="Arial" w:cs="Arial"/>
        </w:rPr>
      </w:pPr>
      <w:bookmarkStart w:id="101" w:name="_Toc402880753"/>
      <w:bookmarkStart w:id="102" w:name="_Toc209539228"/>
      <w:r w:rsidRPr="00CF4FBE">
        <w:rPr>
          <w:rStyle w:val="Heading3Char"/>
        </w:rPr>
        <w:t>Appellate Review and Other Post-Conviction Procedures</w:t>
      </w:r>
      <w:bookmarkEnd w:id="101"/>
      <w:bookmarkEnd w:id="102"/>
      <w:r w:rsidRPr="00641284">
        <w:rPr>
          <w:rFonts w:ascii="Arial" w:hAnsi="Arial" w:cs="Arial"/>
          <w:b/>
          <w:bCs/>
        </w:rPr>
        <w:t>.</w:t>
      </w:r>
      <w:r w:rsidRPr="00641284">
        <w:rPr>
          <w:rFonts w:ascii="Arial" w:hAnsi="Arial" w:cs="Arial"/>
        </w:rPr>
        <w:t xml:space="preserve"> It is improper for counsel to speculate on the outcome of possible appeals, paroles, executive commutations</w:t>
      </w:r>
      <w:r w:rsidR="00BC1E49">
        <w:rPr>
          <w:rFonts w:ascii="Arial" w:hAnsi="Arial" w:cs="Arial"/>
        </w:rPr>
        <w:t>,</w:t>
      </w:r>
      <w:r w:rsidRPr="00641284">
        <w:rPr>
          <w:rFonts w:ascii="Arial" w:hAnsi="Arial" w:cs="Arial"/>
        </w:rPr>
        <w:t xml:space="preserve"> or pardons. </w:t>
      </w:r>
      <w:r w:rsidR="002D3143">
        <w:rPr>
          <w:rFonts w:ascii="Arial" w:hAnsi="Arial" w:cs="Arial"/>
        </w:rPr>
        <w:t xml:space="preserve">State v. McMorris, 290 N.C. 286, 288 (1976) (so stating); </w:t>
      </w:r>
      <w:r w:rsidR="002D3143">
        <w:rPr>
          <w:rFonts w:ascii="Arial" w:hAnsi="Arial" w:cs="Arial"/>
          <w:i/>
          <w:iCs/>
        </w:rPr>
        <w:t xml:space="preserve">see also </w:t>
      </w:r>
      <w:r w:rsidRPr="00641284">
        <w:rPr>
          <w:rFonts w:ascii="Arial" w:hAnsi="Arial" w:cs="Arial"/>
        </w:rPr>
        <w:t xml:space="preserve">State v. Hunt, 323 N.C. 407, 428 (1988) (“A defendant’s eligibility for parole is not a proper matter for the jury’s consideration.”), </w:t>
      </w:r>
      <w:r w:rsidRPr="00641284">
        <w:rPr>
          <w:rFonts w:ascii="Arial" w:hAnsi="Arial" w:cs="Arial"/>
          <w:i/>
          <w:iCs/>
        </w:rPr>
        <w:t>vacated on other grounds sub nom.</w:t>
      </w:r>
      <w:r w:rsidRPr="00641284">
        <w:rPr>
          <w:rFonts w:ascii="Arial" w:hAnsi="Arial" w:cs="Arial"/>
        </w:rPr>
        <w:t xml:space="preserve"> </w:t>
      </w:r>
      <w:r w:rsidR="002D3143">
        <w:rPr>
          <w:rFonts w:ascii="Arial" w:hAnsi="Arial" w:cs="Arial"/>
        </w:rPr>
        <w:t>Hunt</w:t>
      </w:r>
      <w:r w:rsidRPr="00641284">
        <w:rPr>
          <w:rFonts w:ascii="Arial" w:hAnsi="Arial" w:cs="Arial"/>
        </w:rPr>
        <w:t xml:space="preserve"> v. North Carolina, 494 U.S. 1022 (1990); State v. Barber, 93 N.C. App. 42, 48 (1989) (citing </w:t>
      </w:r>
      <w:r w:rsidRPr="00641284">
        <w:rPr>
          <w:rFonts w:ascii="Arial" w:hAnsi="Arial" w:cs="Arial"/>
          <w:i/>
          <w:iCs/>
        </w:rPr>
        <w:t>McMorris</w:t>
      </w:r>
      <w:r w:rsidRPr="00641284">
        <w:rPr>
          <w:rFonts w:ascii="Arial" w:hAnsi="Arial" w:cs="Arial"/>
        </w:rPr>
        <w:t>). In fact</w:t>
      </w:r>
      <w:r w:rsidR="00BB4A85">
        <w:rPr>
          <w:rFonts w:ascii="Arial" w:hAnsi="Arial" w:cs="Arial"/>
        </w:rPr>
        <w:t>,</w:t>
      </w:r>
      <w:r w:rsidRPr="00641284">
        <w:rPr>
          <w:rFonts w:ascii="Arial" w:hAnsi="Arial" w:cs="Arial"/>
        </w:rPr>
        <w:t xml:space="preserve"> a </w:t>
      </w:r>
      <w:r w:rsidR="005F1294">
        <w:rPr>
          <w:rFonts w:ascii="Arial" w:hAnsi="Arial" w:cs="Arial"/>
        </w:rPr>
        <w:t xml:space="preserve">mere </w:t>
      </w:r>
      <w:r w:rsidRPr="00641284">
        <w:rPr>
          <w:rFonts w:ascii="Arial" w:hAnsi="Arial" w:cs="Arial"/>
        </w:rPr>
        <w:t>reference to the availability of appellate review of a conviction has been held to be improper. State v. Jones, 296 N.C. 495, 497-500 (1979) (it was improper for the prosecutor to argue: “Now you know, if you do err in this case he [defendant] has the right of appeal. The State doesn't have that. State has no right of appeal from a case like this”; the argument improperly suggested that the appellate division would review the jury’s verdict “thereby causing the jury to believe that the Supreme Court would share with them a burden and responsibility which was in fact their sole responsibility”).</w:t>
      </w:r>
    </w:p>
    <w:p w14:paraId="7320FEE1" w14:textId="77777777" w:rsidR="00612DAC" w:rsidRDefault="00612DAC" w:rsidP="00DB30BF">
      <w:pPr>
        <w:spacing w:after="0" w:line="240" w:lineRule="auto"/>
        <w:rPr>
          <w:rStyle w:val="Heading1Char"/>
        </w:rPr>
      </w:pPr>
      <w:bookmarkStart w:id="103" w:name="_Toc402880166"/>
      <w:bookmarkStart w:id="104" w:name="_Toc402880754"/>
    </w:p>
    <w:p w14:paraId="5CA9AF12" w14:textId="1B0365B9" w:rsidR="007B6333" w:rsidRPr="00F62FDD" w:rsidRDefault="007B6333" w:rsidP="00E57564">
      <w:pPr>
        <w:pStyle w:val="Heading1"/>
        <w:spacing w:after="0" w:line="240" w:lineRule="auto"/>
        <w:rPr>
          <w:b w:val="0"/>
        </w:rPr>
      </w:pPr>
      <w:bookmarkStart w:id="105" w:name="_Toc209539229"/>
      <w:r w:rsidRPr="00F62FDD">
        <w:rPr>
          <w:rStyle w:val="Heading1Char"/>
          <w:b/>
          <w:bCs/>
        </w:rPr>
        <w:t>Judge’s Role</w:t>
      </w:r>
      <w:bookmarkEnd w:id="103"/>
      <w:bookmarkEnd w:id="104"/>
      <w:r w:rsidRPr="00F62FDD">
        <w:rPr>
          <w:b w:val="0"/>
        </w:rPr>
        <w:t>.</w:t>
      </w:r>
      <w:bookmarkEnd w:id="105"/>
      <w:r w:rsidRPr="00F62FDD">
        <w:rPr>
          <w:b w:val="0"/>
        </w:rPr>
        <w:t xml:space="preserve"> </w:t>
      </w:r>
    </w:p>
    <w:p w14:paraId="74AE2C6A" w14:textId="04FEE3B4" w:rsidR="007B6333" w:rsidRPr="00A002E8" w:rsidRDefault="007B6333" w:rsidP="00DB30BF">
      <w:pPr>
        <w:pStyle w:val="ListParagraph"/>
        <w:numPr>
          <w:ilvl w:val="0"/>
          <w:numId w:val="16"/>
        </w:numPr>
        <w:tabs>
          <w:tab w:val="left" w:pos="1440"/>
        </w:tabs>
        <w:spacing w:after="0" w:line="240" w:lineRule="auto"/>
        <w:rPr>
          <w:rFonts w:ascii="Arial" w:hAnsi="Arial" w:cs="Arial"/>
          <w:b/>
          <w:bCs/>
        </w:rPr>
      </w:pPr>
      <w:bookmarkStart w:id="106" w:name="_Toc402880167"/>
      <w:bookmarkStart w:id="107" w:name="_Toc402880755"/>
      <w:bookmarkStart w:id="108" w:name="_Toc209539230"/>
      <w:r w:rsidRPr="00CF4FBE">
        <w:rPr>
          <w:rStyle w:val="Heading2Char"/>
        </w:rPr>
        <w:t>Generally</w:t>
      </w:r>
      <w:bookmarkEnd w:id="106"/>
      <w:bookmarkEnd w:id="107"/>
      <w:bookmarkEnd w:id="108"/>
      <w:r w:rsidRPr="00A002E8">
        <w:rPr>
          <w:rFonts w:ascii="Arial" w:hAnsi="Arial" w:cs="Arial"/>
          <w:b/>
          <w:bCs/>
        </w:rPr>
        <w:t xml:space="preserve">. </w:t>
      </w:r>
      <w:r w:rsidRPr="00A002E8">
        <w:rPr>
          <w:rFonts w:ascii="Arial" w:hAnsi="Arial" w:cs="Arial"/>
        </w:rPr>
        <w:t xml:space="preserve">In </w:t>
      </w:r>
      <w:r w:rsidRPr="00A002E8">
        <w:rPr>
          <w:rFonts w:ascii="Arial" w:hAnsi="Arial" w:cs="Arial"/>
          <w:i/>
          <w:iCs/>
        </w:rPr>
        <w:t>State v. Jones</w:t>
      </w:r>
      <w:r w:rsidRPr="00A002E8">
        <w:rPr>
          <w:rFonts w:ascii="Arial" w:hAnsi="Arial" w:cs="Arial"/>
        </w:rPr>
        <w:t xml:space="preserve">, 355 N.C. 117 (2002), the N.C. Supreme Court succinctly stated </w:t>
      </w:r>
      <w:r w:rsidR="005F1294">
        <w:rPr>
          <w:rFonts w:ascii="Arial" w:hAnsi="Arial" w:cs="Arial"/>
        </w:rPr>
        <w:t>a</w:t>
      </w:r>
      <w:r w:rsidR="005F1294" w:rsidRPr="00A002E8">
        <w:rPr>
          <w:rFonts w:ascii="Arial" w:hAnsi="Arial" w:cs="Arial"/>
        </w:rPr>
        <w:t xml:space="preserve"> </w:t>
      </w:r>
      <w:r w:rsidRPr="00A002E8">
        <w:rPr>
          <w:rFonts w:ascii="Arial" w:hAnsi="Arial" w:cs="Arial"/>
        </w:rPr>
        <w:t xml:space="preserve">trial judge’s role with respect to </w:t>
      </w:r>
      <w:r w:rsidR="00F62FDD">
        <w:rPr>
          <w:rFonts w:ascii="Arial" w:hAnsi="Arial" w:cs="Arial"/>
        </w:rPr>
        <w:t>closing</w:t>
      </w:r>
      <w:r w:rsidRPr="00A002E8">
        <w:rPr>
          <w:rFonts w:ascii="Arial" w:hAnsi="Arial" w:cs="Arial"/>
        </w:rPr>
        <w:t xml:space="preserve"> argument</w:t>
      </w:r>
      <w:r w:rsidR="00F62FDD">
        <w:rPr>
          <w:rFonts w:ascii="Arial" w:hAnsi="Arial" w:cs="Arial"/>
        </w:rPr>
        <w:t>s to the jury</w:t>
      </w:r>
      <w:r w:rsidRPr="00A002E8">
        <w:rPr>
          <w:rFonts w:ascii="Arial" w:hAnsi="Arial" w:cs="Arial"/>
        </w:rPr>
        <w:t>:</w:t>
      </w:r>
    </w:p>
    <w:p w14:paraId="16E550D7" w14:textId="77777777" w:rsidR="005E3FB6" w:rsidRDefault="005E3FB6" w:rsidP="00DB30BF">
      <w:pPr>
        <w:pStyle w:val="ListParagraph"/>
        <w:spacing w:after="0" w:line="240" w:lineRule="auto"/>
        <w:ind w:left="2160" w:right="720"/>
        <w:rPr>
          <w:rFonts w:ascii="Arial" w:hAnsi="Arial" w:cs="Arial"/>
        </w:rPr>
      </w:pPr>
    </w:p>
    <w:p w14:paraId="58EAC768" w14:textId="3CE4217B" w:rsidR="007B6333" w:rsidRPr="00641284" w:rsidRDefault="007B6333" w:rsidP="00DB30BF">
      <w:pPr>
        <w:pStyle w:val="ListParagraph"/>
        <w:spacing w:after="0" w:line="240" w:lineRule="auto"/>
        <w:ind w:left="2160" w:right="720"/>
        <w:rPr>
          <w:rFonts w:ascii="Arial" w:hAnsi="Arial" w:cs="Arial"/>
        </w:rPr>
      </w:pPr>
      <w:r w:rsidRPr="00641284">
        <w:rPr>
          <w:rFonts w:ascii="Arial" w:hAnsi="Arial" w:cs="Arial"/>
        </w:rPr>
        <w:t>[I]t is incumbent on the trial court to monitor vigilantly the course of such arguments, to intervene as warranted, to entertain objections, and to impose any remedies pertaining to those objections. Such remedies include, but are not necessarily limited to, requiring counsel to retract portions of an argument deemed improper or issuing instructions to the jury to disregard such arguments.</w:t>
      </w:r>
    </w:p>
    <w:p w14:paraId="1CAE8694" w14:textId="77777777" w:rsidR="005E3FB6" w:rsidRDefault="005E3FB6" w:rsidP="00DB30BF">
      <w:pPr>
        <w:pStyle w:val="ListParagraph"/>
        <w:spacing w:after="0" w:line="240" w:lineRule="auto"/>
        <w:ind w:left="1440"/>
        <w:rPr>
          <w:rFonts w:ascii="Arial" w:hAnsi="Arial" w:cs="Arial"/>
          <w:i/>
          <w:iCs/>
        </w:rPr>
      </w:pPr>
    </w:p>
    <w:p w14:paraId="4A0ACE6D" w14:textId="737B0649" w:rsidR="00301140" w:rsidRPr="00301140" w:rsidRDefault="007B6333" w:rsidP="00DB30BF">
      <w:pPr>
        <w:pStyle w:val="ListParagraph"/>
        <w:spacing w:after="0" w:line="240" w:lineRule="auto"/>
        <w:ind w:left="1440"/>
        <w:rPr>
          <w:rFonts w:ascii="Arial" w:hAnsi="Arial" w:cs="Arial"/>
        </w:rPr>
      </w:pPr>
      <w:r w:rsidRPr="00641284">
        <w:rPr>
          <w:rFonts w:ascii="Arial" w:hAnsi="Arial" w:cs="Arial"/>
          <w:i/>
          <w:iCs/>
        </w:rPr>
        <w:lastRenderedPageBreak/>
        <w:t xml:space="preserve">Id. </w:t>
      </w:r>
      <w:r w:rsidRPr="00641284">
        <w:rPr>
          <w:rFonts w:ascii="Arial" w:hAnsi="Arial" w:cs="Arial"/>
        </w:rPr>
        <w:t xml:space="preserve">at 129. </w:t>
      </w:r>
      <w:r w:rsidR="00D7207F">
        <w:rPr>
          <w:rFonts w:ascii="Arial" w:hAnsi="Arial" w:cs="Arial"/>
        </w:rPr>
        <w:t xml:space="preserve">In the context of improper argument by a prosecutor, the North Carolina Supreme Court has said that a trial court is required to intervene </w:t>
      </w:r>
      <w:r w:rsidR="0027562B">
        <w:rPr>
          <w:rFonts w:ascii="Arial" w:hAnsi="Arial" w:cs="Arial"/>
        </w:rPr>
        <w:t>on i</w:t>
      </w:r>
      <w:r w:rsidR="007275B5">
        <w:rPr>
          <w:rFonts w:ascii="Arial" w:hAnsi="Arial" w:cs="Arial"/>
        </w:rPr>
        <w:t>ts own</w:t>
      </w:r>
      <w:r w:rsidR="00C874A0">
        <w:rPr>
          <w:rFonts w:ascii="Arial" w:hAnsi="Arial" w:cs="Arial"/>
        </w:rPr>
        <w:t xml:space="preserve"> accord</w:t>
      </w:r>
      <w:r w:rsidR="007275B5">
        <w:rPr>
          <w:rFonts w:ascii="Arial" w:hAnsi="Arial" w:cs="Arial"/>
        </w:rPr>
        <w:t>, even absent an objection from a defendant, when</w:t>
      </w:r>
      <w:r w:rsidR="0027562B">
        <w:rPr>
          <w:rFonts w:ascii="Arial" w:hAnsi="Arial" w:cs="Arial"/>
        </w:rPr>
        <w:t xml:space="preserve"> </w:t>
      </w:r>
      <w:r w:rsidR="00D7207F">
        <w:rPr>
          <w:rFonts w:ascii="Arial" w:hAnsi="Arial" w:cs="Arial"/>
        </w:rPr>
        <w:t xml:space="preserve">a prosecutor makes a </w:t>
      </w:r>
      <w:r w:rsidR="00FF5BD0">
        <w:rPr>
          <w:rFonts w:ascii="Arial" w:hAnsi="Arial" w:cs="Arial"/>
        </w:rPr>
        <w:t xml:space="preserve">grossly improper argument. The Court has defined </w:t>
      </w:r>
      <w:r w:rsidR="00994D15">
        <w:rPr>
          <w:rFonts w:ascii="Arial" w:hAnsi="Arial" w:cs="Arial"/>
        </w:rPr>
        <w:t>grossly improper</w:t>
      </w:r>
      <w:r w:rsidR="00FF5BD0">
        <w:rPr>
          <w:rFonts w:ascii="Arial" w:hAnsi="Arial" w:cs="Arial"/>
        </w:rPr>
        <w:t xml:space="preserve"> argument as “remarks . . . ‘so </w:t>
      </w:r>
      <w:r w:rsidR="00FF5BD0" w:rsidRPr="00FF5BD0">
        <w:rPr>
          <w:rFonts w:ascii="Arial" w:hAnsi="Arial" w:cs="Arial"/>
        </w:rPr>
        <w:t>overreaching as to shift the focus of the jury from its fact-finding function to relying on its own personal prejudices or passions</w:t>
      </w:r>
      <w:r w:rsidR="00FF5BD0">
        <w:rPr>
          <w:rFonts w:ascii="Arial" w:hAnsi="Arial" w:cs="Arial"/>
        </w:rPr>
        <w:t>’”</w:t>
      </w:r>
      <w:r w:rsidR="004F1251">
        <w:rPr>
          <w:rFonts w:ascii="Arial" w:hAnsi="Arial" w:cs="Arial"/>
        </w:rPr>
        <w:t xml:space="preserve"> such that the defendant’s right to a fair trial is impeded.</w:t>
      </w:r>
      <w:r w:rsidR="00FF5BD0">
        <w:rPr>
          <w:rFonts w:ascii="Arial" w:hAnsi="Arial" w:cs="Arial"/>
        </w:rPr>
        <w:t xml:space="preserve"> State v. Copley, </w:t>
      </w:r>
      <w:r w:rsidR="00C170EC">
        <w:rPr>
          <w:rFonts w:ascii="Arial" w:hAnsi="Arial" w:cs="Arial"/>
        </w:rPr>
        <w:t>386</w:t>
      </w:r>
      <w:r w:rsidR="00FF5BD0">
        <w:rPr>
          <w:rFonts w:ascii="Arial" w:hAnsi="Arial" w:cs="Arial"/>
        </w:rPr>
        <w:t xml:space="preserve"> N.C. </w:t>
      </w:r>
      <w:r w:rsidR="00C170EC">
        <w:rPr>
          <w:rFonts w:ascii="Arial" w:hAnsi="Arial" w:cs="Arial"/>
        </w:rPr>
        <w:t>111, 118</w:t>
      </w:r>
      <w:r w:rsidR="00FF5BD0">
        <w:rPr>
          <w:rFonts w:ascii="Arial" w:hAnsi="Arial" w:cs="Arial"/>
        </w:rPr>
        <w:t xml:space="preserve"> (2024)</w:t>
      </w:r>
      <w:r w:rsidR="00994D15">
        <w:rPr>
          <w:rFonts w:ascii="Arial" w:hAnsi="Arial" w:cs="Arial"/>
        </w:rPr>
        <w:t xml:space="preserve"> (quoting State v. Duke, 360 N.C. 110, 130 (2005))</w:t>
      </w:r>
      <w:r w:rsidR="004F1251">
        <w:rPr>
          <w:rFonts w:ascii="Arial" w:hAnsi="Arial" w:cs="Arial"/>
        </w:rPr>
        <w:t xml:space="preserve">. </w:t>
      </w:r>
      <w:r w:rsidR="004F1251">
        <w:rPr>
          <w:rFonts w:ascii="Arial" w:hAnsi="Arial" w:cs="Arial"/>
          <w:i/>
          <w:iCs/>
        </w:rPr>
        <w:t>See also</w:t>
      </w:r>
      <w:r w:rsidR="00FF5BD0">
        <w:rPr>
          <w:rFonts w:ascii="Arial" w:hAnsi="Arial" w:cs="Arial"/>
        </w:rPr>
        <w:t xml:space="preserve"> </w:t>
      </w:r>
      <w:r w:rsidR="004F1251">
        <w:rPr>
          <w:rFonts w:ascii="Arial" w:hAnsi="Arial" w:cs="Arial"/>
        </w:rPr>
        <w:t>State v. Parker, 377 N.C. 466, 472 (2021)</w:t>
      </w:r>
      <w:r w:rsidR="004F1251" w:rsidDel="004F1251">
        <w:rPr>
          <w:rFonts w:ascii="Arial" w:hAnsi="Arial" w:cs="Arial"/>
        </w:rPr>
        <w:t xml:space="preserve"> </w:t>
      </w:r>
      <w:r w:rsidR="004F1251">
        <w:rPr>
          <w:rFonts w:ascii="Arial" w:hAnsi="Arial" w:cs="Arial"/>
        </w:rPr>
        <w:t>(defining grossly improper argument as “‘</w:t>
      </w:r>
      <w:r w:rsidR="00D7207F">
        <w:rPr>
          <w:rFonts w:ascii="Arial" w:hAnsi="Arial" w:cs="Arial"/>
        </w:rPr>
        <w:t>conduct so extreme that it renders a trial fundamentally unfair and denies the defendant due process.’” (quoting State v. Fair, 354 N.C. 131, 153 (2001)).</w:t>
      </w:r>
      <w:r w:rsidR="00FE0BD4">
        <w:rPr>
          <w:rFonts w:ascii="Arial" w:hAnsi="Arial" w:cs="Arial"/>
        </w:rPr>
        <w:t xml:space="preserve"> </w:t>
      </w:r>
      <w:r w:rsidR="00301140">
        <w:rPr>
          <w:rFonts w:ascii="Arial" w:hAnsi="Arial" w:cs="Arial"/>
        </w:rPr>
        <w:t xml:space="preserve">If a trial court intervenes </w:t>
      </w:r>
      <w:r w:rsidR="007275B5">
        <w:rPr>
          <w:rFonts w:ascii="Arial" w:hAnsi="Arial" w:cs="Arial"/>
        </w:rPr>
        <w:t>on its own</w:t>
      </w:r>
      <w:r w:rsidR="00C874A0">
        <w:rPr>
          <w:rFonts w:ascii="Arial" w:hAnsi="Arial" w:cs="Arial"/>
        </w:rPr>
        <w:t xml:space="preserve"> accord</w:t>
      </w:r>
      <w:r w:rsidR="00301140">
        <w:rPr>
          <w:rFonts w:ascii="Arial" w:hAnsi="Arial" w:cs="Arial"/>
        </w:rPr>
        <w:t xml:space="preserve">, it should (1) preclude other similar remarks from the offending attorney; and/or (2) instruct the jury to disregard the improper comments already made. </w:t>
      </w:r>
      <w:r w:rsidR="00301140" w:rsidRPr="008F3763">
        <w:rPr>
          <w:rFonts w:ascii="Arial" w:hAnsi="Arial" w:cs="Arial"/>
          <w:i/>
          <w:iCs/>
        </w:rPr>
        <w:t>Copley</w:t>
      </w:r>
      <w:r w:rsidR="00301140">
        <w:rPr>
          <w:rFonts w:ascii="Arial" w:hAnsi="Arial" w:cs="Arial"/>
        </w:rPr>
        <w:t xml:space="preserve">, </w:t>
      </w:r>
      <w:r w:rsidR="00C170EC">
        <w:rPr>
          <w:rFonts w:ascii="Arial" w:hAnsi="Arial" w:cs="Arial"/>
        </w:rPr>
        <w:t>386</w:t>
      </w:r>
      <w:r w:rsidR="00301140">
        <w:rPr>
          <w:rFonts w:ascii="Arial" w:hAnsi="Arial" w:cs="Arial"/>
        </w:rPr>
        <w:t xml:space="preserve"> N.C. </w:t>
      </w:r>
      <w:r w:rsidR="008F3763">
        <w:rPr>
          <w:rFonts w:ascii="Arial" w:hAnsi="Arial" w:cs="Arial"/>
        </w:rPr>
        <w:t xml:space="preserve">at </w:t>
      </w:r>
      <w:r w:rsidR="00C170EC">
        <w:rPr>
          <w:rFonts w:ascii="Arial" w:hAnsi="Arial" w:cs="Arial"/>
        </w:rPr>
        <w:t>117</w:t>
      </w:r>
      <w:r w:rsidR="00301140">
        <w:rPr>
          <w:rFonts w:ascii="Arial" w:hAnsi="Arial" w:cs="Arial"/>
        </w:rPr>
        <w:t xml:space="preserve"> (citing </w:t>
      </w:r>
      <w:r w:rsidR="00301140">
        <w:rPr>
          <w:rFonts w:ascii="Arial" w:hAnsi="Arial" w:cs="Arial"/>
          <w:i/>
          <w:iCs/>
        </w:rPr>
        <w:t>Jones</w:t>
      </w:r>
      <w:r w:rsidR="00301140">
        <w:rPr>
          <w:rFonts w:ascii="Arial" w:hAnsi="Arial" w:cs="Arial"/>
        </w:rPr>
        <w:t>).</w:t>
      </w:r>
      <w:r w:rsidR="00F62FDD">
        <w:rPr>
          <w:rFonts w:ascii="Arial" w:hAnsi="Arial" w:cs="Arial"/>
        </w:rPr>
        <w:t xml:space="preserve"> The trial judge’s role is the same during opening statements.</w:t>
      </w:r>
      <w:r w:rsidR="00C170EC">
        <w:rPr>
          <w:rFonts w:ascii="Arial" w:hAnsi="Arial" w:cs="Arial"/>
        </w:rPr>
        <w:t xml:space="preserve"> </w:t>
      </w:r>
      <w:r w:rsidR="00C170EC">
        <w:rPr>
          <w:rFonts w:ascii="Arial" w:hAnsi="Arial" w:cs="Arial"/>
          <w:i/>
          <w:iCs/>
        </w:rPr>
        <w:t>See</w:t>
      </w:r>
      <w:r w:rsidR="00F62FDD">
        <w:rPr>
          <w:rFonts w:ascii="Arial" w:hAnsi="Arial" w:cs="Arial"/>
        </w:rPr>
        <w:t xml:space="preserve"> State v. Waring, 364 N.C. 443, 505 (2010) (analyzing whether the trial court erred by failing to intervene </w:t>
      </w:r>
      <w:r w:rsidR="00D7414C">
        <w:rPr>
          <w:rFonts w:ascii="Arial" w:hAnsi="Arial" w:cs="Arial"/>
        </w:rPr>
        <w:t xml:space="preserve">on its own </w:t>
      </w:r>
      <w:r w:rsidR="00794D17">
        <w:rPr>
          <w:rFonts w:ascii="Arial" w:hAnsi="Arial" w:cs="Arial"/>
        </w:rPr>
        <w:t>accord</w:t>
      </w:r>
      <w:r w:rsidR="00873FAC">
        <w:rPr>
          <w:rFonts w:ascii="Arial" w:hAnsi="Arial" w:cs="Arial"/>
        </w:rPr>
        <w:t xml:space="preserve"> </w:t>
      </w:r>
      <w:r w:rsidR="00F62FDD">
        <w:rPr>
          <w:rFonts w:ascii="Arial" w:hAnsi="Arial" w:cs="Arial"/>
        </w:rPr>
        <w:t>during prosecutor’s opening statement).</w:t>
      </w:r>
    </w:p>
    <w:p w14:paraId="41F0C602" w14:textId="4AFD1890" w:rsidR="007B6333" w:rsidRDefault="00FE0BD4" w:rsidP="00301140">
      <w:pPr>
        <w:pStyle w:val="ListParagraph"/>
        <w:spacing w:after="0" w:line="240" w:lineRule="auto"/>
        <w:ind w:left="1440" w:firstLine="720"/>
        <w:rPr>
          <w:rFonts w:ascii="Arial" w:hAnsi="Arial" w:cs="Arial"/>
        </w:rPr>
      </w:pPr>
      <w:r>
        <w:rPr>
          <w:rFonts w:ascii="Arial" w:hAnsi="Arial" w:cs="Arial"/>
        </w:rPr>
        <w:t>In evaluating challenges to a trial court’s failure to intervene</w:t>
      </w:r>
      <w:r w:rsidR="00873FAC">
        <w:rPr>
          <w:rFonts w:ascii="Arial" w:hAnsi="Arial" w:cs="Arial"/>
        </w:rPr>
        <w:t xml:space="preserve"> </w:t>
      </w:r>
      <w:r w:rsidR="00D7414C">
        <w:rPr>
          <w:rFonts w:ascii="Arial" w:hAnsi="Arial" w:cs="Arial"/>
        </w:rPr>
        <w:t>absent an objection from the defendant</w:t>
      </w:r>
      <w:r w:rsidR="00301140">
        <w:rPr>
          <w:rFonts w:ascii="Arial" w:hAnsi="Arial" w:cs="Arial"/>
        </w:rPr>
        <w:t>,</w:t>
      </w:r>
      <w:r>
        <w:rPr>
          <w:rFonts w:ascii="Arial" w:hAnsi="Arial" w:cs="Arial"/>
        </w:rPr>
        <w:t xml:space="preserve"> </w:t>
      </w:r>
      <w:r w:rsidR="00301140">
        <w:rPr>
          <w:rFonts w:ascii="Arial" w:hAnsi="Arial" w:cs="Arial"/>
        </w:rPr>
        <w:t xml:space="preserve">the </w:t>
      </w:r>
      <w:r>
        <w:rPr>
          <w:rFonts w:ascii="Arial" w:hAnsi="Arial" w:cs="Arial"/>
        </w:rPr>
        <w:t xml:space="preserve">Court has </w:t>
      </w:r>
      <w:r w:rsidR="003323A9">
        <w:rPr>
          <w:rFonts w:ascii="Arial" w:hAnsi="Arial" w:cs="Arial"/>
        </w:rPr>
        <w:t>said: “</w:t>
      </w:r>
      <w:r w:rsidR="003323A9" w:rsidRPr="003323A9">
        <w:rPr>
          <w:rFonts w:ascii="Arial" w:hAnsi="Arial" w:cs="Arial"/>
        </w:rPr>
        <w:t>In circumstances in which a defendant in his or her role as an obvious interested party in a criminal trial fails to object to the other pa</w:t>
      </w:r>
      <w:r w:rsidR="00BB4A85">
        <w:rPr>
          <w:rFonts w:ascii="Arial" w:hAnsi="Arial" w:cs="Arial"/>
        </w:rPr>
        <w:t>r</w:t>
      </w:r>
      <w:r w:rsidR="003323A9" w:rsidRPr="003323A9">
        <w:rPr>
          <w:rFonts w:ascii="Arial" w:hAnsi="Arial" w:cs="Arial"/>
        </w:rPr>
        <w:t>ty's closing statement at trial, yet assigns as error the detached trial ju</w:t>
      </w:r>
      <w:r w:rsidR="00BB4A85">
        <w:rPr>
          <w:rFonts w:ascii="Arial" w:hAnsi="Arial" w:cs="Arial"/>
        </w:rPr>
        <w:t>d</w:t>
      </w:r>
      <w:r w:rsidR="003323A9" w:rsidRPr="003323A9">
        <w:rPr>
          <w:rFonts w:ascii="Arial" w:hAnsi="Arial" w:cs="Arial"/>
        </w:rPr>
        <w:t>ge's routine taciturnity during closing arguments in the absence of any objection, this Court has consistently viewed the appealing pa</w:t>
      </w:r>
      <w:r w:rsidR="00BB4A85">
        <w:rPr>
          <w:rFonts w:ascii="Arial" w:hAnsi="Arial" w:cs="Arial"/>
        </w:rPr>
        <w:t>r</w:t>
      </w:r>
      <w:r w:rsidR="003323A9" w:rsidRPr="003323A9">
        <w:rPr>
          <w:rFonts w:ascii="Arial" w:hAnsi="Arial" w:cs="Arial"/>
        </w:rPr>
        <w:t>ty's burden to show prejudice and reversible error as a heavy one.</w:t>
      </w:r>
      <w:r w:rsidR="003323A9">
        <w:rPr>
          <w:rFonts w:ascii="Arial" w:hAnsi="Arial" w:cs="Arial"/>
        </w:rPr>
        <w:t>” State v. Tart, 372 N.C. 73, 81 (2019).</w:t>
      </w:r>
    </w:p>
    <w:p w14:paraId="534FEC3A" w14:textId="77777777" w:rsidR="00F45B40" w:rsidRPr="00D7207F" w:rsidRDefault="00F45B40" w:rsidP="00DB30BF">
      <w:pPr>
        <w:pStyle w:val="ListParagraph"/>
        <w:spacing w:after="0" w:line="240" w:lineRule="auto"/>
        <w:ind w:left="1440"/>
        <w:rPr>
          <w:rFonts w:ascii="Arial" w:hAnsi="Arial" w:cs="Arial"/>
        </w:rPr>
      </w:pPr>
    </w:p>
    <w:p w14:paraId="4AA7A176" w14:textId="148880D6" w:rsidR="00D7207F" w:rsidRDefault="00D7207F" w:rsidP="00DB30BF">
      <w:pPr>
        <w:pStyle w:val="ListParagraph"/>
        <w:numPr>
          <w:ilvl w:val="0"/>
          <w:numId w:val="16"/>
        </w:numPr>
        <w:spacing w:after="0" w:line="240" w:lineRule="auto"/>
        <w:rPr>
          <w:rStyle w:val="Heading2Char"/>
          <w:b w:val="0"/>
          <w:bCs w:val="0"/>
        </w:rPr>
      </w:pPr>
      <w:bookmarkStart w:id="109" w:name="_Toc402880168"/>
      <w:bookmarkStart w:id="110" w:name="_Toc402880756"/>
      <w:bookmarkStart w:id="111" w:name="_Toc209539231"/>
      <w:r>
        <w:rPr>
          <w:rStyle w:val="Heading2Char"/>
        </w:rPr>
        <w:t>Remarks to Jurors.</w:t>
      </w:r>
      <w:bookmarkEnd w:id="111"/>
      <w:r w:rsidRPr="00A066E3">
        <w:rPr>
          <w:rFonts w:ascii="Arial" w:hAnsi="Arial" w:cs="Arial"/>
        </w:rPr>
        <w:t xml:space="preserve"> </w:t>
      </w:r>
      <w:r w:rsidR="00823556" w:rsidRPr="00A066E3">
        <w:rPr>
          <w:rFonts w:ascii="Arial" w:hAnsi="Arial" w:cs="Arial"/>
        </w:rPr>
        <w:t>N.C.P.I. Crim. 10</w:t>
      </w:r>
      <w:r w:rsidR="00823556">
        <w:rPr>
          <w:rFonts w:ascii="Arial" w:hAnsi="Arial" w:cs="Arial"/>
        </w:rPr>
        <w:t xml:space="preserve">0.25 describes the purpose of opening statements and cautions the jury that an opening statement is not evidence. </w:t>
      </w:r>
      <w:r w:rsidRPr="00A066E3">
        <w:rPr>
          <w:rFonts w:ascii="Arial" w:hAnsi="Arial" w:cs="Arial"/>
        </w:rPr>
        <w:t xml:space="preserve">N.C.P.I. </w:t>
      </w:r>
      <w:r w:rsidR="00B10D29" w:rsidRPr="00A066E3">
        <w:rPr>
          <w:rFonts w:ascii="Arial" w:hAnsi="Arial" w:cs="Arial"/>
        </w:rPr>
        <w:t xml:space="preserve">Crim. </w:t>
      </w:r>
      <w:r w:rsidRPr="00A066E3">
        <w:rPr>
          <w:rFonts w:ascii="Arial" w:hAnsi="Arial" w:cs="Arial"/>
        </w:rPr>
        <w:t xml:space="preserve">101.37 provides a model jury instruction that a trial judge may use prior to closing </w:t>
      </w:r>
      <w:r w:rsidR="00C170EC">
        <w:rPr>
          <w:rFonts w:ascii="Arial" w:hAnsi="Arial" w:cs="Arial"/>
        </w:rPr>
        <w:t>arguments</w:t>
      </w:r>
      <w:r w:rsidRPr="00A066E3">
        <w:rPr>
          <w:rFonts w:ascii="Arial" w:hAnsi="Arial" w:cs="Arial"/>
        </w:rPr>
        <w:t>.</w:t>
      </w:r>
    </w:p>
    <w:p w14:paraId="6A7E8C1F" w14:textId="77777777" w:rsidR="00F45B40" w:rsidRPr="00D7207F" w:rsidRDefault="00F45B40" w:rsidP="00DB30BF">
      <w:pPr>
        <w:pStyle w:val="ListParagraph"/>
        <w:spacing w:after="0" w:line="240" w:lineRule="auto"/>
        <w:ind w:left="1440"/>
        <w:rPr>
          <w:rStyle w:val="Heading2Char"/>
          <w:b w:val="0"/>
          <w:bCs w:val="0"/>
        </w:rPr>
      </w:pPr>
    </w:p>
    <w:p w14:paraId="6C205B59" w14:textId="503801B4" w:rsidR="00E704B3" w:rsidRPr="00904953" w:rsidRDefault="007B6333" w:rsidP="00904953">
      <w:pPr>
        <w:pStyle w:val="ListParagraph"/>
        <w:numPr>
          <w:ilvl w:val="0"/>
          <w:numId w:val="16"/>
        </w:numPr>
        <w:spacing w:after="0" w:line="240" w:lineRule="auto"/>
        <w:rPr>
          <w:rFonts w:ascii="Arial" w:hAnsi="Arial" w:cs="Arial"/>
        </w:rPr>
      </w:pPr>
      <w:bookmarkStart w:id="112" w:name="_Toc209539232"/>
      <w:r w:rsidRPr="00CF4FBE">
        <w:rPr>
          <w:rStyle w:val="Heading2Char"/>
        </w:rPr>
        <w:t>Curative Instructions</w:t>
      </w:r>
      <w:bookmarkEnd w:id="109"/>
      <w:bookmarkEnd w:id="110"/>
      <w:bookmarkEnd w:id="112"/>
      <w:r w:rsidRPr="00A002E8">
        <w:rPr>
          <w:rFonts w:ascii="Arial" w:hAnsi="Arial" w:cs="Arial"/>
          <w:b/>
          <w:bCs/>
        </w:rPr>
        <w:t xml:space="preserve">. </w:t>
      </w:r>
      <w:r w:rsidRPr="00A002E8">
        <w:rPr>
          <w:rFonts w:ascii="Arial" w:hAnsi="Arial" w:cs="Arial"/>
        </w:rPr>
        <w:t xml:space="preserve">When an improper </w:t>
      </w:r>
      <w:r w:rsidR="00FD77F1">
        <w:rPr>
          <w:rFonts w:ascii="Arial" w:hAnsi="Arial" w:cs="Arial"/>
        </w:rPr>
        <w:t xml:space="preserve">statement or </w:t>
      </w:r>
      <w:r w:rsidRPr="00A002E8">
        <w:rPr>
          <w:rFonts w:ascii="Arial" w:hAnsi="Arial" w:cs="Arial"/>
        </w:rPr>
        <w:t xml:space="preserve">argument is made but can be cured with an instruction to the jury, the instruction should be prompt and explicit. </w:t>
      </w:r>
      <w:r w:rsidR="00042C0D">
        <w:rPr>
          <w:rFonts w:ascii="Arial" w:hAnsi="Arial" w:cs="Arial"/>
        </w:rPr>
        <w:t xml:space="preserve">This is </w:t>
      </w:r>
      <w:r w:rsidR="000D4390">
        <w:rPr>
          <w:rFonts w:ascii="Arial" w:hAnsi="Arial" w:cs="Arial"/>
        </w:rPr>
        <w:t>especially</w:t>
      </w:r>
      <w:r w:rsidR="00042C0D">
        <w:rPr>
          <w:rFonts w:ascii="Arial" w:hAnsi="Arial" w:cs="Arial"/>
        </w:rPr>
        <w:t xml:space="preserve"> true where the improper </w:t>
      </w:r>
      <w:r w:rsidR="00FD77F1">
        <w:rPr>
          <w:rFonts w:ascii="Arial" w:hAnsi="Arial" w:cs="Arial"/>
        </w:rPr>
        <w:t xml:space="preserve">statement or </w:t>
      </w:r>
      <w:r w:rsidR="00042C0D">
        <w:rPr>
          <w:rFonts w:ascii="Arial" w:hAnsi="Arial" w:cs="Arial"/>
        </w:rPr>
        <w:t>argument infringes upon a defendant’s constitutional rights</w:t>
      </w:r>
      <w:r w:rsidR="00DA44C0">
        <w:rPr>
          <w:rFonts w:ascii="Arial" w:hAnsi="Arial" w:cs="Arial"/>
        </w:rPr>
        <w:t>, as discussed below in Section V</w:t>
      </w:r>
      <w:r w:rsidR="00B16EB2">
        <w:rPr>
          <w:rFonts w:ascii="Arial" w:hAnsi="Arial" w:cs="Arial"/>
        </w:rPr>
        <w:t>I</w:t>
      </w:r>
      <w:r w:rsidR="00DA44C0">
        <w:rPr>
          <w:rFonts w:ascii="Arial" w:hAnsi="Arial" w:cs="Arial"/>
        </w:rPr>
        <w:t>.D</w:t>
      </w:r>
      <w:r w:rsidR="00042C0D">
        <w:rPr>
          <w:rFonts w:ascii="Arial" w:hAnsi="Arial" w:cs="Arial"/>
        </w:rPr>
        <w:t>.</w:t>
      </w:r>
      <w:r w:rsidR="00904953">
        <w:rPr>
          <w:rFonts w:ascii="Arial" w:hAnsi="Arial" w:cs="Arial"/>
        </w:rPr>
        <w:t xml:space="preserve"> Note that the North Carolina Court of Appeals held in one case that </w:t>
      </w:r>
      <w:r w:rsidR="00955354">
        <w:rPr>
          <w:rFonts w:ascii="Arial" w:hAnsi="Arial" w:cs="Arial"/>
        </w:rPr>
        <w:t>the</w:t>
      </w:r>
      <w:r w:rsidR="00904953">
        <w:rPr>
          <w:rFonts w:ascii="Arial" w:hAnsi="Arial" w:cs="Arial"/>
        </w:rPr>
        <w:t xml:space="preserve"> trial court cured both </w:t>
      </w:r>
      <w:r w:rsidR="00955354">
        <w:rPr>
          <w:rFonts w:ascii="Arial" w:hAnsi="Arial" w:cs="Arial"/>
        </w:rPr>
        <w:t>the prosecutor’s</w:t>
      </w:r>
      <w:r w:rsidR="00904953">
        <w:rPr>
          <w:rFonts w:ascii="Arial" w:hAnsi="Arial" w:cs="Arial"/>
        </w:rPr>
        <w:t xml:space="preserve"> improper </w:t>
      </w:r>
      <w:r w:rsidR="00FD77F1">
        <w:rPr>
          <w:rFonts w:ascii="Arial" w:hAnsi="Arial" w:cs="Arial"/>
        </w:rPr>
        <w:t xml:space="preserve">closing </w:t>
      </w:r>
      <w:r w:rsidR="00904953">
        <w:rPr>
          <w:rFonts w:ascii="Arial" w:hAnsi="Arial" w:cs="Arial"/>
        </w:rPr>
        <w:t xml:space="preserve">argument infringing upon </w:t>
      </w:r>
      <w:r w:rsidR="00955354">
        <w:rPr>
          <w:rFonts w:ascii="Arial" w:hAnsi="Arial" w:cs="Arial"/>
        </w:rPr>
        <w:t>the</w:t>
      </w:r>
      <w:r w:rsidR="00904953">
        <w:rPr>
          <w:rFonts w:ascii="Arial" w:hAnsi="Arial" w:cs="Arial"/>
        </w:rPr>
        <w:t xml:space="preserve"> defendant’s constitutional right </w:t>
      </w:r>
      <w:r w:rsidR="00955354">
        <w:rPr>
          <w:rFonts w:ascii="Arial" w:hAnsi="Arial" w:cs="Arial"/>
        </w:rPr>
        <w:t xml:space="preserve">not to testify and the trial court’s own error in overruling the defendant’s </w:t>
      </w:r>
      <w:r w:rsidR="00655EBD">
        <w:rPr>
          <w:rFonts w:ascii="Arial" w:hAnsi="Arial" w:cs="Arial"/>
        </w:rPr>
        <w:t xml:space="preserve">contemporaneous </w:t>
      </w:r>
      <w:r w:rsidR="00955354">
        <w:rPr>
          <w:rFonts w:ascii="Arial" w:hAnsi="Arial" w:cs="Arial"/>
        </w:rPr>
        <w:t>objection thereto by giving a “robust” curative instruction after the prosecutor’s closing argument had concluded.</w:t>
      </w:r>
      <w:r w:rsidR="00A76C1A">
        <w:rPr>
          <w:rFonts w:ascii="Arial" w:hAnsi="Arial" w:cs="Arial"/>
        </w:rPr>
        <w:t xml:space="preserve"> State v. Grant, </w:t>
      </w:r>
      <w:r w:rsidR="00C170EC">
        <w:rPr>
          <w:rFonts w:ascii="Arial" w:hAnsi="Arial" w:cs="Arial"/>
        </w:rPr>
        <w:t>293</w:t>
      </w:r>
      <w:r w:rsidR="00A76C1A">
        <w:rPr>
          <w:rFonts w:ascii="Arial" w:hAnsi="Arial" w:cs="Arial"/>
        </w:rPr>
        <w:t xml:space="preserve"> N.C. App. </w:t>
      </w:r>
      <w:r w:rsidR="00C170EC">
        <w:rPr>
          <w:rFonts w:ascii="Arial" w:hAnsi="Arial" w:cs="Arial"/>
        </w:rPr>
        <w:t>457, 460-61</w:t>
      </w:r>
      <w:r w:rsidR="00A76C1A">
        <w:rPr>
          <w:rFonts w:ascii="Arial" w:hAnsi="Arial" w:cs="Arial"/>
        </w:rPr>
        <w:t xml:space="preserve"> (2024).</w:t>
      </w:r>
      <w:r w:rsidR="00955354">
        <w:rPr>
          <w:rFonts w:ascii="Arial" w:hAnsi="Arial" w:cs="Arial"/>
        </w:rPr>
        <w:t xml:space="preserve"> The trial court’s instruction explained the defendant’s right not to testify, directed the jury not to consider the defendant’s exercise of the right against him, and noted to the jury that the trial court should have sustained the objection when </w:t>
      </w:r>
      <w:r w:rsidR="00E57F36">
        <w:rPr>
          <w:rFonts w:ascii="Arial" w:hAnsi="Arial" w:cs="Arial"/>
        </w:rPr>
        <w:t xml:space="preserve">it was </w:t>
      </w:r>
      <w:r w:rsidR="00955354">
        <w:rPr>
          <w:rFonts w:ascii="Arial" w:hAnsi="Arial" w:cs="Arial"/>
        </w:rPr>
        <w:t xml:space="preserve">made. </w:t>
      </w:r>
      <w:r w:rsidR="00A76C1A">
        <w:rPr>
          <w:rFonts w:ascii="Arial" w:hAnsi="Arial" w:cs="Arial"/>
          <w:i/>
          <w:iCs/>
        </w:rPr>
        <w:t>Id</w:t>
      </w:r>
      <w:r w:rsidR="00A76C1A">
        <w:rPr>
          <w:rFonts w:ascii="Arial" w:hAnsi="Arial" w:cs="Arial"/>
        </w:rPr>
        <w:t xml:space="preserve">. </w:t>
      </w:r>
      <w:r w:rsidR="00FD2176">
        <w:rPr>
          <w:rFonts w:ascii="Arial" w:hAnsi="Arial" w:cs="Arial"/>
        </w:rPr>
        <w:t>(reciting the trial court’s instruction</w:t>
      </w:r>
      <w:r w:rsidR="00A76C1A">
        <w:rPr>
          <w:rFonts w:ascii="Arial" w:hAnsi="Arial" w:cs="Arial"/>
        </w:rPr>
        <w:t>). The</w:t>
      </w:r>
      <w:r w:rsidR="00955354">
        <w:rPr>
          <w:rFonts w:ascii="Arial" w:hAnsi="Arial" w:cs="Arial"/>
        </w:rPr>
        <w:t xml:space="preserve"> trial court</w:t>
      </w:r>
      <w:r w:rsidR="00FD2176">
        <w:rPr>
          <w:rFonts w:ascii="Arial" w:hAnsi="Arial" w:cs="Arial"/>
        </w:rPr>
        <w:t xml:space="preserve"> then</w:t>
      </w:r>
      <w:r w:rsidR="00955354">
        <w:rPr>
          <w:rFonts w:ascii="Arial" w:hAnsi="Arial" w:cs="Arial"/>
        </w:rPr>
        <w:t xml:space="preserve"> polled </w:t>
      </w:r>
      <w:r w:rsidR="00FD37D5">
        <w:rPr>
          <w:rFonts w:ascii="Arial" w:hAnsi="Arial" w:cs="Arial"/>
        </w:rPr>
        <w:t xml:space="preserve">the jury to ensure that each juror understood the instruction. </w:t>
      </w:r>
      <w:r w:rsidR="00FD37D5">
        <w:rPr>
          <w:rFonts w:ascii="Arial" w:hAnsi="Arial" w:cs="Arial"/>
          <w:i/>
          <w:iCs/>
        </w:rPr>
        <w:t>Id</w:t>
      </w:r>
      <w:r w:rsidR="00FD37D5">
        <w:rPr>
          <w:rFonts w:ascii="Arial" w:hAnsi="Arial" w:cs="Arial"/>
        </w:rPr>
        <w:t>.</w:t>
      </w:r>
    </w:p>
    <w:p w14:paraId="4CE923C7" w14:textId="7464EF57" w:rsidR="007B6333" w:rsidRPr="00A002E8" w:rsidRDefault="00042C0D" w:rsidP="00DB30BF">
      <w:pPr>
        <w:pStyle w:val="ListParagraph"/>
        <w:spacing w:after="0" w:line="240" w:lineRule="auto"/>
        <w:ind w:left="1440" w:firstLine="720"/>
        <w:rPr>
          <w:rFonts w:ascii="Arial" w:hAnsi="Arial" w:cs="Arial"/>
        </w:rPr>
      </w:pPr>
      <w:r>
        <w:rPr>
          <w:rFonts w:ascii="Arial" w:hAnsi="Arial" w:cs="Arial"/>
        </w:rPr>
        <w:t>T</w:t>
      </w:r>
      <w:r w:rsidR="007B6333" w:rsidRPr="00A002E8">
        <w:rPr>
          <w:rFonts w:ascii="Arial" w:hAnsi="Arial" w:cs="Arial"/>
        </w:rPr>
        <w:t xml:space="preserve">he content of the curative instruction will vary depending on the nature of the improper </w:t>
      </w:r>
      <w:r w:rsidR="00FD77F1">
        <w:rPr>
          <w:rFonts w:ascii="Arial" w:hAnsi="Arial" w:cs="Arial"/>
        </w:rPr>
        <w:t xml:space="preserve">statement or </w:t>
      </w:r>
      <w:r w:rsidR="007B6333" w:rsidRPr="00A002E8">
        <w:rPr>
          <w:rFonts w:ascii="Arial" w:hAnsi="Arial" w:cs="Arial"/>
        </w:rPr>
        <w:t xml:space="preserve">argument. Provided below is a sample curative instruction that can be used when counsel improperly expresses the opinion that a witness is lying. This sample instruction can be modified to accommodate the </w:t>
      </w:r>
      <w:proofErr w:type="gramStart"/>
      <w:r w:rsidR="007B6333" w:rsidRPr="00A002E8">
        <w:rPr>
          <w:rFonts w:ascii="Arial" w:hAnsi="Arial" w:cs="Arial"/>
        </w:rPr>
        <w:t>particular objectionable</w:t>
      </w:r>
      <w:proofErr w:type="gramEnd"/>
      <w:r w:rsidR="007B6333" w:rsidRPr="00A002E8">
        <w:rPr>
          <w:rFonts w:ascii="Arial" w:hAnsi="Arial" w:cs="Arial"/>
        </w:rPr>
        <w:t xml:space="preserve"> </w:t>
      </w:r>
      <w:r w:rsidR="00FD77F1">
        <w:rPr>
          <w:rFonts w:ascii="Arial" w:hAnsi="Arial" w:cs="Arial"/>
        </w:rPr>
        <w:t xml:space="preserve">statement or </w:t>
      </w:r>
      <w:r w:rsidR="007B6333" w:rsidRPr="00A002E8">
        <w:rPr>
          <w:rFonts w:ascii="Arial" w:hAnsi="Arial" w:cs="Arial"/>
        </w:rPr>
        <w:t xml:space="preserve">argument at issue. </w:t>
      </w:r>
    </w:p>
    <w:p w14:paraId="7DF30FEF" w14:textId="77777777" w:rsidR="008456DE" w:rsidRDefault="007B6333" w:rsidP="00DB30BF">
      <w:pPr>
        <w:pStyle w:val="ListParagraph"/>
        <w:spacing w:after="0" w:line="240" w:lineRule="auto"/>
        <w:ind w:left="1440"/>
        <w:rPr>
          <w:rFonts w:ascii="Arial" w:hAnsi="Arial" w:cs="Arial"/>
        </w:rPr>
      </w:pPr>
      <w:r w:rsidRPr="00641284">
        <w:rPr>
          <w:rFonts w:ascii="Arial" w:hAnsi="Arial" w:cs="Arial"/>
        </w:rPr>
        <w:lastRenderedPageBreak/>
        <w:tab/>
      </w:r>
    </w:p>
    <w:p w14:paraId="270E5619" w14:textId="38750FFC" w:rsidR="007B6333" w:rsidRPr="00641284" w:rsidRDefault="007B6333" w:rsidP="00DB30BF">
      <w:pPr>
        <w:pStyle w:val="ListParagraph"/>
        <w:spacing w:after="0" w:line="240" w:lineRule="auto"/>
        <w:ind w:left="1440"/>
        <w:rPr>
          <w:rFonts w:ascii="Arial" w:hAnsi="Arial" w:cs="Arial"/>
          <w:i/>
          <w:iCs/>
        </w:rPr>
      </w:pPr>
      <w:r w:rsidRPr="00641284">
        <w:rPr>
          <w:rFonts w:ascii="Arial" w:hAnsi="Arial" w:cs="Arial"/>
          <w:i/>
          <w:iCs/>
        </w:rPr>
        <w:t>SAMPLE INSTRUCTION:</w:t>
      </w:r>
    </w:p>
    <w:p w14:paraId="6C09B786" w14:textId="77777777" w:rsidR="007B6333" w:rsidRDefault="007B6333" w:rsidP="00DB30BF">
      <w:pPr>
        <w:pStyle w:val="ListParagraph"/>
        <w:spacing w:after="0" w:line="240" w:lineRule="auto"/>
        <w:ind w:left="2160" w:right="720"/>
        <w:rPr>
          <w:rFonts w:ascii="Arial" w:hAnsi="Arial" w:cs="Arial"/>
          <w:i/>
          <w:iCs/>
        </w:rPr>
      </w:pPr>
      <w:r w:rsidRPr="00641284">
        <w:rPr>
          <w:rFonts w:ascii="Arial" w:hAnsi="Arial" w:cs="Arial"/>
          <w:i/>
          <w:iCs/>
        </w:rPr>
        <w:t>“Members of the jury, you are to disregard the prosecutor’s statement that [he or she] believes the witness [name] is lying. It is improper for a lawyer to express the personal belief that a witness is lying. You are to disregard this improper statement and not to allow it to affect your decision. [Do you understand my instruction? Can you follow it?]</w:t>
      </w:r>
    </w:p>
    <w:p w14:paraId="0CC87F27" w14:textId="77777777" w:rsidR="00F45B40" w:rsidRPr="00641284" w:rsidRDefault="00F45B40" w:rsidP="00DB30BF">
      <w:pPr>
        <w:pStyle w:val="ListParagraph"/>
        <w:spacing w:after="0" w:line="240" w:lineRule="auto"/>
        <w:ind w:left="2160" w:right="720"/>
        <w:rPr>
          <w:rFonts w:ascii="Arial" w:hAnsi="Arial" w:cs="Arial"/>
          <w:i/>
          <w:iCs/>
        </w:rPr>
      </w:pPr>
    </w:p>
    <w:p w14:paraId="473D488C" w14:textId="33561F4A" w:rsidR="00FE0BD4" w:rsidRPr="00FE0BD4" w:rsidRDefault="007B6333" w:rsidP="00DB30BF">
      <w:pPr>
        <w:pStyle w:val="ListParagraph"/>
        <w:numPr>
          <w:ilvl w:val="0"/>
          <w:numId w:val="16"/>
        </w:numPr>
        <w:spacing w:after="0" w:line="240" w:lineRule="auto"/>
        <w:rPr>
          <w:rFonts w:ascii="Arial" w:hAnsi="Arial" w:cs="Arial"/>
          <w:b/>
          <w:bCs/>
        </w:rPr>
      </w:pPr>
      <w:bookmarkStart w:id="113" w:name="_Toc402880169"/>
      <w:bookmarkStart w:id="114" w:name="_Toc402880757"/>
      <w:bookmarkStart w:id="115" w:name="_Toc209539233"/>
      <w:r w:rsidRPr="00CF4FBE">
        <w:rPr>
          <w:rStyle w:val="Heading2Char"/>
        </w:rPr>
        <w:t>Standard of Review</w:t>
      </w:r>
      <w:bookmarkEnd w:id="113"/>
      <w:bookmarkEnd w:id="114"/>
      <w:bookmarkEnd w:id="115"/>
      <w:r w:rsidRPr="00641284">
        <w:rPr>
          <w:rFonts w:ascii="Arial" w:hAnsi="Arial" w:cs="Arial"/>
          <w:b/>
          <w:bCs/>
        </w:rPr>
        <w:t xml:space="preserve">. </w:t>
      </w:r>
      <w:r w:rsidR="00404D8C">
        <w:rPr>
          <w:rFonts w:ascii="Arial" w:hAnsi="Arial" w:cs="Arial"/>
        </w:rPr>
        <w:t xml:space="preserve">When evaluating an allegedly improper </w:t>
      </w:r>
      <w:r w:rsidR="00FD77F1">
        <w:rPr>
          <w:rFonts w:ascii="Arial" w:hAnsi="Arial" w:cs="Arial"/>
        </w:rPr>
        <w:t xml:space="preserve">statement or </w:t>
      </w:r>
      <w:r w:rsidR="00404D8C">
        <w:rPr>
          <w:rFonts w:ascii="Arial" w:hAnsi="Arial" w:cs="Arial"/>
        </w:rPr>
        <w:t xml:space="preserve">argument, the appellate courts do not examine the </w:t>
      </w:r>
      <w:r w:rsidR="00FD77F1">
        <w:rPr>
          <w:rFonts w:ascii="Arial" w:hAnsi="Arial" w:cs="Arial"/>
        </w:rPr>
        <w:t>remark</w:t>
      </w:r>
      <w:r w:rsidR="00404D8C">
        <w:rPr>
          <w:rFonts w:ascii="Arial" w:hAnsi="Arial" w:cs="Arial"/>
        </w:rPr>
        <w:t xml:space="preserve"> in isolation but instead consider the context in which the </w:t>
      </w:r>
      <w:r w:rsidR="00FD77F1">
        <w:rPr>
          <w:rFonts w:ascii="Arial" w:hAnsi="Arial" w:cs="Arial"/>
        </w:rPr>
        <w:t>remark</w:t>
      </w:r>
      <w:r w:rsidR="00404D8C">
        <w:rPr>
          <w:rFonts w:ascii="Arial" w:hAnsi="Arial" w:cs="Arial"/>
        </w:rPr>
        <w:t xml:space="preserve"> was made and the overall factual circumstances to which the </w:t>
      </w:r>
      <w:r w:rsidR="00FD77F1">
        <w:rPr>
          <w:rFonts w:ascii="Arial" w:hAnsi="Arial" w:cs="Arial"/>
        </w:rPr>
        <w:t xml:space="preserve">statement or </w:t>
      </w:r>
      <w:r w:rsidR="00404D8C">
        <w:rPr>
          <w:rFonts w:ascii="Arial" w:hAnsi="Arial" w:cs="Arial"/>
        </w:rPr>
        <w:t xml:space="preserve">argument refers. State v. </w:t>
      </w:r>
      <w:r w:rsidR="000E01DB">
        <w:rPr>
          <w:rFonts w:ascii="Arial" w:hAnsi="Arial" w:cs="Arial"/>
        </w:rPr>
        <w:t>Dalton, 369 N.C. 311, 316 (2016).</w:t>
      </w:r>
      <w:r w:rsidR="003323A9">
        <w:rPr>
          <w:rFonts w:ascii="Arial" w:hAnsi="Arial" w:cs="Arial"/>
        </w:rPr>
        <w:t xml:space="preserve"> The standard of review depends upon whether the </w:t>
      </w:r>
      <w:r w:rsidR="00FD77F1">
        <w:rPr>
          <w:rFonts w:ascii="Arial" w:hAnsi="Arial" w:cs="Arial"/>
        </w:rPr>
        <w:t xml:space="preserve">statement or </w:t>
      </w:r>
      <w:r w:rsidR="003323A9">
        <w:rPr>
          <w:rFonts w:ascii="Arial" w:hAnsi="Arial" w:cs="Arial"/>
        </w:rPr>
        <w:t>argument was objected to at trial and whether it directly implicates and infringes upon a constitutional right.</w:t>
      </w:r>
      <w:r w:rsidR="00796186">
        <w:rPr>
          <w:rFonts w:ascii="Arial" w:hAnsi="Arial" w:cs="Arial"/>
        </w:rPr>
        <w:t xml:space="preserve"> </w:t>
      </w:r>
      <w:r w:rsidR="00B16EB2">
        <w:rPr>
          <w:rFonts w:ascii="Arial" w:hAnsi="Arial" w:cs="Arial"/>
          <w:i/>
          <w:iCs/>
        </w:rPr>
        <w:t>Jones</w:t>
      </w:r>
      <w:r w:rsidR="00B16EB2">
        <w:rPr>
          <w:rFonts w:ascii="Arial" w:hAnsi="Arial" w:cs="Arial"/>
        </w:rPr>
        <w:t xml:space="preserve">, 355 N.C. at 131-134; </w:t>
      </w:r>
      <w:r w:rsidR="00E90AE1">
        <w:rPr>
          <w:rFonts w:ascii="Arial" w:hAnsi="Arial" w:cs="Arial"/>
        </w:rPr>
        <w:t xml:space="preserve">State v. Brown, ___ N.C. App. ___, 916 S.E.2d 67, 72 (2025) (applying each of the standards of review discussed below); </w:t>
      </w:r>
      <w:r w:rsidR="00B16EB2">
        <w:rPr>
          <w:rFonts w:ascii="Arial" w:hAnsi="Arial" w:cs="Arial"/>
          <w:i/>
          <w:iCs/>
        </w:rPr>
        <w:t>s</w:t>
      </w:r>
      <w:r w:rsidR="00796186">
        <w:rPr>
          <w:rFonts w:ascii="Arial" w:hAnsi="Arial" w:cs="Arial"/>
          <w:i/>
          <w:iCs/>
        </w:rPr>
        <w:t>ee</w:t>
      </w:r>
      <w:r w:rsidR="00B16EB2">
        <w:rPr>
          <w:rFonts w:ascii="Arial" w:hAnsi="Arial" w:cs="Arial"/>
          <w:i/>
          <w:iCs/>
        </w:rPr>
        <w:t xml:space="preserve"> also</w:t>
      </w:r>
      <w:r w:rsidR="00796186">
        <w:rPr>
          <w:rFonts w:ascii="Arial" w:hAnsi="Arial" w:cs="Arial"/>
        </w:rPr>
        <w:t xml:space="preserve"> State v. Gladden, 315 N.C. 398, 417 (1986) (holding that the variable standard of review, which was developed in the context of closing </w:t>
      </w:r>
      <w:r w:rsidR="003D23BD">
        <w:rPr>
          <w:rFonts w:ascii="Arial" w:hAnsi="Arial" w:cs="Arial"/>
        </w:rPr>
        <w:t>arguments</w:t>
      </w:r>
      <w:r w:rsidR="00796186">
        <w:rPr>
          <w:rFonts w:ascii="Arial" w:hAnsi="Arial" w:cs="Arial"/>
        </w:rPr>
        <w:t>, also applies to opening statements).</w:t>
      </w:r>
    </w:p>
    <w:p w14:paraId="2952C2C7" w14:textId="03CC8B21" w:rsidR="00E25DC5" w:rsidRPr="00F45B40" w:rsidRDefault="00E25DC5" w:rsidP="00C931CF">
      <w:pPr>
        <w:pStyle w:val="ListParagraph"/>
        <w:numPr>
          <w:ilvl w:val="3"/>
          <w:numId w:val="1"/>
        </w:numPr>
        <w:spacing w:after="0" w:line="240" w:lineRule="auto"/>
        <w:ind w:left="2160" w:hanging="720"/>
        <w:rPr>
          <w:rFonts w:ascii="Arial" w:hAnsi="Arial" w:cs="Arial"/>
        </w:rPr>
      </w:pPr>
      <w:r w:rsidRPr="00A63790">
        <w:rPr>
          <w:rFonts w:ascii="Arial" w:hAnsi="Arial" w:cs="Arial"/>
          <w:b/>
          <w:bCs/>
        </w:rPr>
        <w:t>Defendant Objects</w:t>
      </w:r>
      <w:r w:rsidRPr="00641284">
        <w:rPr>
          <w:rFonts w:ascii="Arial" w:hAnsi="Arial" w:cs="Arial"/>
          <w:b/>
          <w:bCs/>
        </w:rPr>
        <w:t xml:space="preserve">. </w:t>
      </w:r>
      <w:r w:rsidR="007B6333" w:rsidRPr="00F45B40">
        <w:rPr>
          <w:rFonts w:ascii="Arial" w:hAnsi="Arial" w:cs="Arial"/>
        </w:rPr>
        <w:t xml:space="preserve">If a defendant </w:t>
      </w:r>
      <w:r w:rsidR="00BD2D9A">
        <w:rPr>
          <w:rFonts w:ascii="Arial" w:hAnsi="Arial" w:cs="Arial"/>
        </w:rPr>
        <w:t xml:space="preserve">makes a timely </w:t>
      </w:r>
      <w:r w:rsidR="007B6333" w:rsidRPr="00F45B40">
        <w:rPr>
          <w:rFonts w:ascii="Arial" w:hAnsi="Arial" w:cs="Arial"/>
        </w:rPr>
        <w:t>object</w:t>
      </w:r>
      <w:r w:rsidR="00BD2D9A">
        <w:rPr>
          <w:rFonts w:ascii="Arial" w:hAnsi="Arial" w:cs="Arial"/>
        </w:rPr>
        <w:t>ion</w:t>
      </w:r>
      <w:r w:rsidR="007B6333" w:rsidRPr="00F45B40">
        <w:rPr>
          <w:rFonts w:ascii="Arial" w:hAnsi="Arial" w:cs="Arial"/>
        </w:rPr>
        <w:t xml:space="preserve"> to the prosecutor’s </w:t>
      </w:r>
      <w:r w:rsidR="00FD77F1">
        <w:rPr>
          <w:rFonts w:ascii="Arial" w:hAnsi="Arial" w:cs="Arial"/>
        </w:rPr>
        <w:t>statement or</w:t>
      </w:r>
      <w:r w:rsidR="007B6333" w:rsidRPr="00F45B40">
        <w:rPr>
          <w:rFonts w:ascii="Arial" w:hAnsi="Arial" w:cs="Arial"/>
        </w:rPr>
        <w:t xml:space="preserve"> argument</w:t>
      </w:r>
      <w:r w:rsidR="00D7207F" w:rsidRPr="00F45B40">
        <w:rPr>
          <w:rFonts w:ascii="Arial" w:hAnsi="Arial" w:cs="Arial"/>
        </w:rPr>
        <w:t>,</w:t>
      </w:r>
      <w:r w:rsidR="007B6333" w:rsidRPr="00F45B40">
        <w:rPr>
          <w:rFonts w:ascii="Arial" w:hAnsi="Arial" w:cs="Arial"/>
        </w:rPr>
        <w:t xml:space="preserve"> the appellate courts review </w:t>
      </w:r>
      <w:r w:rsidR="0020100A" w:rsidRPr="00F45B40">
        <w:rPr>
          <w:rFonts w:ascii="Arial" w:hAnsi="Arial" w:cs="Arial"/>
        </w:rPr>
        <w:t xml:space="preserve">the trial court's decision to overrule the objection </w:t>
      </w:r>
      <w:r w:rsidR="007B6333" w:rsidRPr="00F45B40">
        <w:rPr>
          <w:rFonts w:ascii="Arial" w:hAnsi="Arial" w:cs="Arial"/>
        </w:rPr>
        <w:t xml:space="preserve">for abuse of discretion. </w:t>
      </w:r>
      <w:r w:rsidR="007B6333" w:rsidRPr="00F45B40">
        <w:rPr>
          <w:rFonts w:ascii="Arial" w:hAnsi="Arial" w:cs="Arial"/>
          <w:i/>
          <w:iCs/>
        </w:rPr>
        <w:t xml:space="preserve">Jones, </w:t>
      </w:r>
      <w:r w:rsidR="007B6333" w:rsidRPr="00F45B40">
        <w:rPr>
          <w:rFonts w:ascii="Arial" w:hAnsi="Arial" w:cs="Arial"/>
        </w:rPr>
        <w:t>355</w:t>
      </w:r>
      <w:r w:rsidR="007B6333" w:rsidRPr="00F45B40">
        <w:rPr>
          <w:rFonts w:ascii="Arial" w:hAnsi="Arial" w:cs="Arial"/>
          <w:i/>
          <w:iCs/>
        </w:rPr>
        <w:t xml:space="preserve"> </w:t>
      </w:r>
      <w:r w:rsidR="007B6333" w:rsidRPr="00F45B40">
        <w:rPr>
          <w:rFonts w:ascii="Arial" w:hAnsi="Arial" w:cs="Arial"/>
        </w:rPr>
        <w:t>N.C. at 131</w:t>
      </w:r>
      <w:r w:rsidR="00BD2D9A">
        <w:rPr>
          <w:rFonts w:ascii="Arial" w:hAnsi="Arial" w:cs="Arial"/>
        </w:rPr>
        <w:t>; State v. Early, ___ N.C. App. ___, 914 S.E.2d 79, 88 (2025) (treating defendant’s objection as untimely when it was made after closing argument</w:t>
      </w:r>
      <w:r w:rsidR="00AB3814">
        <w:rPr>
          <w:rFonts w:ascii="Arial" w:hAnsi="Arial" w:cs="Arial"/>
        </w:rPr>
        <w:t>s</w:t>
      </w:r>
      <w:r w:rsidR="00BD2D9A">
        <w:rPr>
          <w:rFonts w:ascii="Arial" w:hAnsi="Arial" w:cs="Arial"/>
        </w:rPr>
        <w:t xml:space="preserve"> had concluded</w:t>
      </w:r>
      <w:r w:rsidR="00AB3814">
        <w:rPr>
          <w:rFonts w:ascii="Arial" w:hAnsi="Arial" w:cs="Arial"/>
        </w:rPr>
        <w:t xml:space="preserve"> and</w:t>
      </w:r>
      <w:r w:rsidR="00BD2D9A">
        <w:rPr>
          <w:rFonts w:ascii="Arial" w:hAnsi="Arial" w:cs="Arial"/>
        </w:rPr>
        <w:t xml:space="preserve"> the jury had been instructed and left the courtroom)</w:t>
      </w:r>
      <w:r w:rsidR="007B6333" w:rsidRPr="00F45B40">
        <w:rPr>
          <w:rFonts w:ascii="Arial" w:hAnsi="Arial" w:cs="Arial"/>
        </w:rPr>
        <w:t xml:space="preserve">. </w:t>
      </w:r>
      <w:r w:rsidR="00146471" w:rsidRPr="00F45B40">
        <w:rPr>
          <w:rFonts w:ascii="Arial" w:hAnsi="Arial" w:cs="Arial"/>
        </w:rPr>
        <w:t>A</w:t>
      </w:r>
      <w:r w:rsidR="0020100A" w:rsidRPr="00F45B40">
        <w:rPr>
          <w:rFonts w:ascii="Arial" w:hAnsi="Arial" w:cs="Arial"/>
        </w:rPr>
        <w:t xml:space="preserve"> trial court</w:t>
      </w:r>
      <w:r w:rsidR="00146471" w:rsidRPr="00F45B40">
        <w:rPr>
          <w:rFonts w:ascii="Arial" w:hAnsi="Arial" w:cs="Arial"/>
        </w:rPr>
        <w:t xml:space="preserve"> </w:t>
      </w:r>
      <w:r w:rsidR="0020100A" w:rsidRPr="00F45B40">
        <w:rPr>
          <w:rFonts w:ascii="Arial" w:hAnsi="Arial" w:cs="Arial"/>
        </w:rPr>
        <w:t>abuse</w:t>
      </w:r>
      <w:r w:rsidR="00146471" w:rsidRPr="00F45B40">
        <w:rPr>
          <w:rFonts w:ascii="Arial" w:hAnsi="Arial" w:cs="Arial"/>
        </w:rPr>
        <w:t>s</w:t>
      </w:r>
      <w:r w:rsidR="00310A7C" w:rsidRPr="00F45B40">
        <w:rPr>
          <w:rFonts w:ascii="Arial" w:hAnsi="Arial" w:cs="Arial"/>
        </w:rPr>
        <w:t xml:space="preserve"> </w:t>
      </w:r>
      <w:r w:rsidR="00146471" w:rsidRPr="00F45B40">
        <w:rPr>
          <w:rFonts w:ascii="Arial" w:hAnsi="Arial" w:cs="Arial"/>
        </w:rPr>
        <w:t>its</w:t>
      </w:r>
      <w:r w:rsidR="00310A7C" w:rsidRPr="00F45B40">
        <w:rPr>
          <w:rFonts w:ascii="Arial" w:hAnsi="Arial" w:cs="Arial"/>
        </w:rPr>
        <w:t xml:space="preserve"> discretion if</w:t>
      </w:r>
      <w:r w:rsidR="0020100A" w:rsidRPr="00F45B40">
        <w:rPr>
          <w:rFonts w:ascii="Arial" w:hAnsi="Arial" w:cs="Arial"/>
        </w:rPr>
        <w:t xml:space="preserve"> it</w:t>
      </w:r>
      <w:r w:rsidR="00146471" w:rsidRPr="00F45B40">
        <w:rPr>
          <w:rFonts w:ascii="Arial" w:hAnsi="Arial" w:cs="Arial"/>
        </w:rPr>
        <w:t>s</w:t>
      </w:r>
      <w:r w:rsidR="00310A7C" w:rsidRPr="00F45B40">
        <w:rPr>
          <w:rFonts w:ascii="Arial" w:hAnsi="Arial" w:cs="Arial"/>
        </w:rPr>
        <w:t xml:space="preserve"> fai</w:t>
      </w:r>
      <w:r w:rsidR="00146471" w:rsidRPr="00F45B40">
        <w:rPr>
          <w:rFonts w:ascii="Arial" w:hAnsi="Arial" w:cs="Arial"/>
        </w:rPr>
        <w:t>lure</w:t>
      </w:r>
      <w:r w:rsidR="00310A7C" w:rsidRPr="00F45B40">
        <w:rPr>
          <w:rFonts w:ascii="Arial" w:hAnsi="Arial" w:cs="Arial"/>
        </w:rPr>
        <w:t xml:space="preserve"> to sustain an objection to an</w:t>
      </w:r>
      <w:r w:rsidR="00146471" w:rsidRPr="00F45B40">
        <w:rPr>
          <w:rFonts w:ascii="Arial" w:hAnsi="Arial" w:cs="Arial"/>
        </w:rPr>
        <w:t xml:space="preserve"> </w:t>
      </w:r>
      <w:r w:rsidR="00310A7C" w:rsidRPr="00F45B40">
        <w:rPr>
          <w:rFonts w:ascii="Arial" w:hAnsi="Arial" w:cs="Arial"/>
        </w:rPr>
        <w:t>improper</w:t>
      </w:r>
      <w:r w:rsidR="00FD77F1">
        <w:rPr>
          <w:rFonts w:ascii="Arial" w:hAnsi="Arial" w:cs="Arial"/>
        </w:rPr>
        <w:t xml:space="preserve"> statement or</w:t>
      </w:r>
      <w:r w:rsidR="00310A7C" w:rsidRPr="00F45B40">
        <w:rPr>
          <w:rFonts w:ascii="Arial" w:hAnsi="Arial" w:cs="Arial"/>
        </w:rPr>
        <w:t xml:space="preserve"> argument</w:t>
      </w:r>
      <w:r w:rsidR="00146471" w:rsidRPr="00F45B40">
        <w:rPr>
          <w:rFonts w:ascii="Arial" w:hAnsi="Arial" w:cs="Arial"/>
        </w:rPr>
        <w:t xml:space="preserve"> could not be the result of a reasoned decision. </w:t>
      </w:r>
      <w:r w:rsidR="001F29D9" w:rsidRPr="00F45B40">
        <w:rPr>
          <w:rFonts w:ascii="Arial" w:hAnsi="Arial" w:cs="Arial"/>
          <w:i/>
          <w:iCs/>
        </w:rPr>
        <w:t xml:space="preserve">Jones, </w:t>
      </w:r>
      <w:r w:rsidR="001F29D9" w:rsidRPr="00F45B40">
        <w:rPr>
          <w:rFonts w:ascii="Arial" w:hAnsi="Arial" w:cs="Arial"/>
        </w:rPr>
        <w:t>355</w:t>
      </w:r>
      <w:r w:rsidR="001F29D9" w:rsidRPr="00F45B40">
        <w:rPr>
          <w:rFonts w:ascii="Arial" w:hAnsi="Arial" w:cs="Arial"/>
          <w:i/>
          <w:iCs/>
        </w:rPr>
        <w:t xml:space="preserve"> </w:t>
      </w:r>
      <w:r w:rsidR="001F29D9" w:rsidRPr="00F45B40">
        <w:rPr>
          <w:rFonts w:ascii="Arial" w:hAnsi="Arial" w:cs="Arial"/>
        </w:rPr>
        <w:t>N.C. at 131</w:t>
      </w:r>
      <w:r w:rsidR="00146471" w:rsidRPr="00F45B40">
        <w:rPr>
          <w:rFonts w:ascii="Arial" w:hAnsi="Arial" w:cs="Arial"/>
        </w:rPr>
        <w:t xml:space="preserve">. An abuse of discretion in failing to sustain an objection to an improper </w:t>
      </w:r>
      <w:r w:rsidR="00FD77F1">
        <w:rPr>
          <w:rFonts w:ascii="Arial" w:hAnsi="Arial" w:cs="Arial"/>
        </w:rPr>
        <w:t xml:space="preserve">statement or </w:t>
      </w:r>
      <w:r w:rsidR="00146471" w:rsidRPr="00F45B40">
        <w:rPr>
          <w:rFonts w:ascii="Arial" w:hAnsi="Arial" w:cs="Arial"/>
        </w:rPr>
        <w:t>argument</w:t>
      </w:r>
      <w:r w:rsidR="00310A7C" w:rsidRPr="00F45B40">
        <w:rPr>
          <w:rFonts w:ascii="Arial" w:hAnsi="Arial" w:cs="Arial"/>
        </w:rPr>
        <w:t xml:space="preserve"> </w:t>
      </w:r>
      <w:r w:rsidR="00146471" w:rsidRPr="00F45B40">
        <w:rPr>
          <w:rFonts w:ascii="Arial" w:hAnsi="Arial" w:cs="Arial"/>
        </w:rPr>
        <w:t>is reversible error if it prejudice</w:t>
      </w:r>
      <w:r w:rsidR="00695BD0" w:rsidRPr="00F45B40">
        <w:rPr>
          <w:rFonts w:ascii="Arial" w:hAnsi="Arial" w:cs="Arial"/>
        </w:rPr>
        <w:t>s</w:t>
      </w:r>
      <w:r w:rsidR="00146471" w:rsidRPr="00F45B40">
        <w:rPr>
          <w:rFonts w:ascii="Arial" w:hAnsi="Arial" w:cs="Arial"/>
        </w:rPr>
        <w:t xml:space="preserve"> the defendant</w:t>
      </w:r>
      <w:r w:rsidR="0020100A" w:rsidRPr="00F45B40">
        <w:rPr>
          <w:rFonts w:ascii="Arial" w:hAnsi="Arial" w:cs="Arial"/>
        </w:rPr>
        <w:t xml:space="preserve">. State v. Copley, 374 N.C. 224, 230 (2020). </w:t>
      </w:r>
      <w:r w:rsidR="00BA2330" w:rsidRPr="00F45B40">
        <w:rPr>
          <w:rFonts w:ascii="Arial" w:hAnsi="Arial" w:cs="Arial"/>
        </w:rPr>
        <w:t>P</w:t>
      </w:r>
      <w:r w:rsidR="00146471" w:rsidRPr="00F45B40">
        <w:rPr>
          <w:rFonts w:ascii="Arial" w:hAnsi="Arial" w:cs="Arial"/>
        </w:rPr>
        <w:t>rejudice ex</w:t>
      </w:r>
      <w:r w:rsidR="00BA2330" w:rsidRPr="00F45B40">
        <w:rPr>
          <w:rFonts w:ascii="Arial" w:hAnsi="Arial" w:cs="Arial"/>
        </w:rPr>
        <w:t>ists</w:t>
      </w:r>
      <w:r w:rsidR="00146471" w:rsidRPr="00F45B40">
        <w:rPr>
          <w:rFonts w:ascii="Arial" w:hAnsi="Arial" w:cs="Arial"/>
        </w:rPr>
        <w:t xml:space="preserve"> whe</w:t>
      </w:r>
      <w:r w:rsidR="00BA2330" w:rsidRPr="00F45B40">
        <w:rPr>
          <w:rFonts w:ascii="Arial" w:hAnsi="Arial" w:cs="Arial"/>
        </w:rPr>
        <w:t>re</w:t>
      </w:r>
      <w:r w:rsidR="00146471" w:rsidRPr="00F45B40">
        <w:rPr>
          <w:rFonts w:ascii="Arial" w:hAnsi="Arial" w:cs="Arial"/>
        </w:rPr>
        <w:t xml:space="preserve"> there is a reasonable possibility</w:t>
      </w:r>
      <w:r w:rsidR="00BA2330" w:rsidRPr="00F45B40">
        <w:rPr>
          <w:rFonts w:ascii="Arial" w:hAnsi="Arial" w:cs="Arial"/>
        </w:rPr>
        <w:t>, accounting for the nature and circumstances of the proceeding,</w:t>
      </w:r>
      <w:r w:rsidR="00146471" w:rsidRPr="00F45B40">
        <w:rPr>
          <w:rFonts w:ascii="Arial" w:hAnsi="Arial" w:cs="Arial"/>
        </w:rPr>
        <w:t xml:space="preserve"> that the jury would have reached a different </w:t>
      </w:r>
      <w:r w:rsidR="00BA2330" w:rsidRPr="00F45B40">
        <w:rPr>
          <w:rFonts w:ascii="Arial" w:hAnsi="Arial" w:cs="Arial"/>
        </w:rPr>
        <w:t>verdict</w:t>
      </w:r>
      <w:r w:rsidR="00146471" w:rsidRPr="00F45B40">
        <w:rPr>
          <w:rFonts w:ascii="Arial" w:hAnsi="Arial" w:cs="Arial"/>
        </w:rPr>
        <w:t xml:space="preserve"> absent the error. </w:t>
      </w:r>
      <w:r w:rsidR="00146471" w:rsidRPr="00F45B40">
        <w:rPr>
          <w:rFonts w:ascii="Arial" w:hAnsi="Arial" w:cs="Arial"/>
          <w:i/>
          <w:iCs/>
        </w:rPr>
        <w:t>Id</w:t>
      </w:r>
      <w:r w:rsidR="00146471" w:rsidRPr="00F45B40">
        <w:rPr>
          <w:rFonts w:ascii="Arial" w:hAnsi="Arial" w:cs="Arial"/>
        </w:rPr>
        <w:t>.</w:t>
      </w:r>
      <w:r w:rsidR="004E58DA" w:rsidRPr="00F45B40">
        <w:rPr>
          <w:rFonts w:ascii="Arial" w:hAnsi="Arial" w:cs="Arial"/>
        </w:rPr>
        <w:t xml:space="preserve"> (observing that an argument deemed improper and prejudicial in one case may not be informative as to the propriety or prejudice of a similar argument in a different case)</w:t>
      </w:r>
      <w:r w:rsidR="00146471" w:rsidRPr="00F45B40">
        <w:rPr>
          <w:rFonts w:ascii="Arial" w:hAnsi="Arial" w:cs="Arial"/>
        </w:rPr>
        <w:t xml:space="preserve">; </w:t>
      </w:r>
      <w:r w:rsidR="00146471" w:rsidRPr="00F45B40">
        <w:rPr>
          <w:rFonts w:ascii="Arial" w:hAnsi="Arial" w:cs="Arial"/>
          <w:i/>
          <w:iCs/>
        </w:rPr>
        <w:t>Jones</w:t>
      </w:r>
      <w:r w:rsidR="00146471" w:rsidRPr="00F45B40">
        <w:rPr>
          <w:rFonts w:ascii="Arial" w:hAnsi="Arial" w:cs="Arial"/>
        </w:rPr>
        <w:t>, 355 N.C. at 134 (observing that whether an improper argument is prejudicial in a capital case may depend on whether the argument is made at the guilt/innocence phase or at the sentencing phase</w:t>
      </w:r>
      <w:r w:rsidR="00695BD0" w:rsidRPr="00F45B40">
        <w:rPr>
          <w:rFonts w:ascii="Arial" w:hAnsi="Arial" w:cs="Arial"/>
        </w:rPr>
        <w:t xml:space="preserve"> of the trial</w:t>
      </w:r>
      <w:r w:rsidR="00146471" w:rsidRPr="00F45B40">
        <w:rPr>
          <w:rFonts w:ascii="Arial" w:hAnsi="Arial" w:cs="Arial"/>
        </w:rPr>
        <w:t>)</w:t>
      </w:r>
      <w:r w:rsidR="00053AF5" w:rsidRPr="00F45B40">
        <w:rPr>
          <w:rFonts w:ascii="Arial" w:hAnsi="Arial" w:cs="Arial"/>
        </w:rPr>
        <w:t xml:space="preserve">; State v. Roache, 358 N.C. 243, 297 (2004) (citing </w:t>
      </w:r>
      <w:r w:rsidR="00053AF5" w:rsidRPr="00F45B40">
        <w:rPr>
          <w:rFonts w:ascii="Arial" w:hAnsi="Arial" w:cs="Arial"/>
          <w:i/>
          <w:iCs/>
        </w:rPr>
        <w:t>Jones</w:t>
      </w:r>
      <w:r w:rsidR="00053AF5" w:rsidRPr="00F45B40">
        <w:rPr>
          <w:rFonts w:ascii="Arial" w:hAnsi="Arial" w:cs="Arial"/>
        </w:rPr>
        <w:t xml:space="preserve"> </w:t>
      </w:r>
      <w:r w:rsidR="00BA2330" w:rsidRPr="00F45B40">
        <w:rPr>
          <w:rFonts w:ascii="Arial" w:hAnsi="Arial" w:cs="Arial"/>
        </w:rPr>
        <w:t xml:space="preserve">favorably </w:t>
      </w:r>
      <w:r w:rsidR="00053AF5" w:rsidRPr="00F45B40">
        <w:rPr>
          <w:rFonts w:ascii="Arial" w:hAnsi="Arial" w:cs="Arial"/>
        </w:rPr>
        <w:t>on this point)</w:t>
      </w:r>
      <w:r w:rsidR="00146471" w:rsidRPr="00F45B40">
        <w:rPr>
          <w:rFonts w:ascii="Arial" w:hAnsi="Arial" w:cs="Arial"/>
        </w:rPr>
        <w:t>.</w:t>
      </w:r>
    </w:p>
    <w:p w14:paraId="01D93F13" w14:textId="3725DB6E" w:rsidR="00042C0D" w:rsidRPr="00E25DC5" w:rsidRDefault="00E25DC5" w:rsidP="00C931CF">
      <w:pPr>
        <w:pStyle w:val="ListParagraph"/>
        <w:numPr>
          <w:ilvl w:val="3"/>
          <w:numId w:val="1"/>
        </w:numPr>
        <w:spacing w:after="0" w:line="240" w:lineRule="auto"/>
        <w:ind w:left="2160" w:hanging="720"/>
        <w:rPr>
          <w:rFonts w:ascii="Arial" w:hAnsi="Arial" w:cs="Arial"/>
        </w:rPr>
      </w:pPr>
      <w:r w:rsidRPr="00A63790">
        <w:rPr>
          <w:rFonts w:ascii="Arial" w:hAnsi="Arial" w:cs="Arial"/>
          <w:b/>
          <w:bCs/>
        </w:rPr>
        <w:t xml:space="preserve">Defendant </w:t>
      </w:r>
      <w:r w:rsidR="00AA65D2" w:rsidRPr="00A63790">
        <w:rPr>
          <w:rFonts w:ascii="Arial" w:hAnsi="Arial" w:cs="Arial"/>
          <w:b/>
          <w:bCs/>
        </w:rPr>
        <w:t>D</w:t>
      </w:r>
      <w:r w:rsidRPr="00A63790">
        <w:rPr>
          <w:rFonts w:ascii="Arial" w:hAnsi="Arial" w:cs="Arial"/>
          <w:b/>
          <w:bCs/>
        </w:rPr>
        <w:t xml:space="preserve">oes </w:t>
      </w:r>
      <w:r w:rsidR="00AA65D2" w:rsidRPr="00A63790">
        <w:rPr>
          <w:rFonts w:ascii="Arial" w:hAnsi="Arial" w:cs="Arial"/>
          <w:b/>
          <w:bCs/>
        </w:rPr>
        <w:t>N</w:t>
      </w:r>
      <w:r w:rsidRPr="00A63790">
        <w:rPr>
          <w:rFonts w:ascii="Arial" w:hAnsi="Arial" w:cs="Arial"/>
          <w:b/>
          <w:bCs/>
        </w:rPr>
        <w:t>ot Object</w:t>
      </w:r>
      <w:r w:rsidRPr="00641284">
        <w:rPr>
          <w:rFonts w:ascii="Arial" w:hAnsi="Arial" w:cs="Arial"/>
          <w:b/>
          <w:bCs/>
        </w:rPr>
        <w:t xml:space="preserve">. </w:t>
      </w:r>
      <w:r w:rsidR="007B6333" w:rsidRPr="00E25DC5">
        <w:rPr>
          <w:rFonts w:ascii="Arial" w:hAnsi="Arial" w:cs="Arial"/>
        </w:rPr>
        <w:t xml:space="preserve">If the defendant fails to </w:t>
      </w:r>
      <w:r w:rsidR="00BD2D9A">
        <w:rPr>
          <w:rFonts w:ascii="Arial" w:hAnsi="Arial" w:cs="Arial"/>
        </w:rPr>
        <w:t xml:space="preserve">make a timely </w:t>
      </w:r>
      <w:r w:rsidR="007B6333" w:rsidRPr="00E25DC5">
        <w:rPr>
          <w:rFonts w:ascii="Arial" w:hAnsi="Arial" w:cs="Arial"/>
        </w:rPr>
        <w:t>object</w:t>
      </w:r>
      <w:r w:rsidR="00BD2D9A">
        <w:rPr>
          <w:rFonts w:ascii="Arial" w:hAnsi="Arial" w:cs="Arial"/>
        </w:rPr>
        <w:t>ion</w:t>
      </w:r>
      <w:r w:rsidR="007B6333" w:rsidRPr="00E25DC5">
        <w:rPr>
          <w:rFonts w:ascii="Arial" w:hAnsi="Arial" w:cs="Arial"/>
        </w:rPr>
        <w:t xml:space="preserve">, the appellate courts determine whether the </w:t>
      </w:r>
      <w:r w:rsidR="00FD77F1">
        <w:rPr>
          <w:rFonts w:ascii="Arial" w:hAnsi="Arial" w:cs="Arial"/>
        </w:rPr>
        <w:t xml:space="preserve">statement or </w:t>
      </w:r>
      <w:r w:rsidR="007B6333" w:rsidRPr="00E25DC5">
        <w:rPr>
          <w:rFonts w:ascii="Arial" w:hAnsi="Arial" w:cs="Arial"/>
        </w:rPr>
        <w:t xml:space="preserve">argument </w:t>
      </w:r>
      <w:r w:rsidR="00904953">
        <w:rPr>
          <w:rFonts w:ascii="Arial" w:hAnsi="Arial" w:cs="Arial"/>
        </w:rPr>
        <w:t>was</w:t>
      </w:r>
      <w:r w:rsidR="007B6333" w:rsidRPr="00E25DC5">
        <w:rPr>
          <w:rFonts w:ascii="Arial" w:hAnsi="Arial" w:cs="Arial"/>
        </w:rPr>
        <w:t xml:space="preserve"> so grossly improper that the trial court erred in failing to intervene </w:t>
      </w:r>
      <w:r w:rsidR="00233E7F">
        <w:rPr>
          <w:rFonts w:ascii="Arial" w:hAnsi="Arial" w:cs="Arial"/>
        </w:rPr>
        <w:t>on its own accord</w:t>
      </w:r>
      <w:r w:rsidR="007B6333" w:rsidRPr="00E25DC5">
        <w:rPr>
          <w:rFonts w:ascii="Arial" w:hAnsi="Arial" w:cs="Arial"/>
        </w:rPr>
        <w:t xml:space="preserve">. </w:t>
      </w:r>
      <w:r w:rsidR="00E704B3">
        <w:rPr>
          <w:rFonts w:ascii="Arial" w:hAnsi="Arial" w:cs="Arial"/>
          <w:i/>
          <w:iCs/>
        </w:rPr>
        <w:t>Copley</w:t>
      </w:r>
      <w:r w:rsidR="00E704B3">
        <w:rPr>
          <w:rFonts w:ascii="Arial" w:hAnsi="Arial" w:cs="Arial"/>
        </w:rPr>
        <w:t xml:space="preserve">, </w:t>
      </w:r>
      <w:r w:rsidR="003D23BD">
        <w:rPr>
          <w:rFonts w:ascii="Arial" w:hAnsi="Arial" w:cs="Arial"/>
        </w:rPr>
        <w:t>386</w:t>
      </w:r>
      <w:r w:rsidR="00FF5BD0">
        <w:rPr>
          <w:rFonts w:ascii="Arial" w:hAnsi="Arial" w:cs="Arial"/>
        </w:rPr>
        <w:t xml:space="preserve"> N.C. at </w:t>
      </w:r>
      <w:r w:rsidR="003D23BD">
        <w:rPr>
          <w:rFonts w:ascii="Arial" w:hAnsi="Arial" w:cs="Arial"/>
        </w:rPr>
        <w:t>117-18</w:t>
      </w:r>
      <w:r w:rsidR="00BD2D9A">
        <w:rPr>
          <w:rFonts w:ascii="Arial" w:hAnsi="Arial" w:cs="Arial"/>
        </w:rPr>
        <w:t xml:space="preserve">; </w:t>
      </w:r>
      <w:r w:rsidR="00BD2D9A">
        <w:rPr>
          <w:rFonts w:ascii="Arial" w:hAnsi="Arial" w:cs="Arial"/>
          <w:i/>
          <w:iCs/>
        </w:rPr>
        <w:t>Early</w:t>
      </w:r>
      <w:r w:rsidR="00BD2D9A">
        <w:rPr>
          <w:rFonts w:ascii="Arial" w:hAnsi="Arial" w:cs="Arial"/>
        </w:rPr>
        <w:t>, ___ N.C. App. at ___, 914 S.E.2d at 88</w:t>
      </w:r>
      <w:r w:rsidR="007B6333" w:rsidRPr="00E25DC5">
        <w:rPr>
          <w:rFonts w:ascii="Arial" w:hAnsi="Arial" w:cs="Arial"/>
        </w:rPr>
        <w:t>.</w:t>
      </w:r>
      <w:r w:rsidR="00B35F33" w:rsidRPr="00E25DC5">
        <w:rPr>
          <w:rFonts w:ascii="Arial" w:hAnsi="Arial" w:cs="Arial"/>
        </w:rPr>
        <w:t xml:space="preserve"> </w:t>
      </w:r>
      <w:r w:rsidR="00BA2330" w:rsidRPr="00E25DC5">
        <w:rPr>
          <w:rFonts w:ascii="Arial" w:hAnsi="Arial" w:cs="Arial"/>
        </w:rPr>
        <w:t>A</w:t>
      </w:r>
      <w:r w:rsidR="00363278">
        <w:rPr>
          <w:rFonts w:ascii="Arial" w:hAnsi="Arial" w:cs="Arial"/>
        </w:rPr>
        <w:t>s discussed above, a</w:t>
      </w:r>
      <w:r w:rsidR="00BA2330" w:rsidRPr="00E25DC5">
        <w:rPr>
          <w:rFonts w:ascii="Arial" w:hAnsi="Arial" w:cs="Arial"/>
        </w:rPr>
        <w:t xml:space="preserve"> failure to intervene </w:t>
      </w:r>
      <w:r w:rsidR="00233E7F">
        <w:rPr>
          <w:rFonts w:ascii="Arial" w:hAnsi="Arial" w:cs="Arial"/>
        </w:rPr>
        <w:t>absent an objection from the defendant</w:t>
      </w:r>
      <w:r w:rsidR="00BA2330" w:rsidRPr="00E25DC5">
        <w:rPr>
          <w:rFonts w:ascii="Arial" w:hAnsi="Arial" w:cs="Arial"/>
          <w:i/>
          <w:iCs/>
        </w:rPr>
        <w:t xml:space="preserve"> </w:t>
      </w:r>
      <w:r w:rsidR="00BA2330" w:rsidRPr="00E25DC5">
        <w:rPr>
          <w:rFonts w:ascii="Arial" w:hAnsi="Arial" w:cs="Arial"/>
        </w:rPr>
        <w:t>is reversible error only when a</w:t>
      </w:r>
      <w:r w:rsidR="00FD77F1" w:rsidRPr="00FD77F1">
        <w:rPr>
          <w:rFonts w:ascii="Arial" w:hAnsi="Arial" w:cs="Arial"/>
        </w:rPr>
        <w:t xml:space="preserve"> </w:t>
      </w:r>
      <w:r w:rsidR="00FD77F1">
        <w:rPr>
          <w:rFonts w:ascii="Arial" w:hAnsi="Arial" w:cs="Arial"/>
        </w:rPr>
        <w:t>statement or</w:t>
      </w:r>
      <w:r w:rsidR="00BA2330" w:rsidRPr="00E25DC5">
        <w:rPr>
          <w:rFonts w:ascii="Arial" w:hAnsi="Arial" w:cs="Arial"/>
        </w:rPr>
        <w:t xml:space="preserve"> argument involves extreme impropriety by a prosecutor rendering the trial fundamentally unfair as a matter of due process. </w:t>
      </w:r>
      <w:proofErr w:type="gramStart"/>
      <w:r w:rsidR="00BA2330" w:rsidRPr="00E25DC5">
        <w:rPr>
          <w:rFonts w:ascii="Arial" w:hAnsi="Arial" w:cs="Arial"/>
          <w:i/>
          <w:iCs/>
        </w:rPr>
        <w:t>See</w:t>
      </w:r>
      <w:r w:rsidR="00BA2330" w:rsidRPr="00E25DC5">
        <w:rPr>
          <w:rFonts w:ascii="Arial" w:hAnsi="Arial" w:cs="Arial"/>
        </w:rPr>
        <w:t xml:space="preserve"> </w:t>
      </w:r>
      <w:r w:rsidR="003D23BD" w:rsidRPr="003D23BD">
        <w:rPr>
          <w:rFonts w:ascii="Arial" w:hAnsi="Arial" w:cs="Arial"/>
        </w:rPr>
        <w:t xml:space="preserve"> </w:t>
      </w:r>
      <w:r w:rsidR="003D23BD">
        <w:rPr>
          <w:rFonts w:ascii="Arial" w:hAnsi="Arial" w:cs="Arial"/>
          <w:i/>
          <w:iCs/>
        </w:rPr>
        <w:t>Copley</w:t>
      </w:r>
      <w:proofErr w:type="gramEnd"/>
      <w:r w:rsidR="003D23BD">
        <w:rPr>
          <w:rFonts w:ascii="Arial" w:hAnsi="Arial" w:cs="Arial"/>
        </w:rPr>
        <w:t>,</w:t>
      </w:r>
      <w:r w:rsidR="003D23BD">
        <w:rPr>
          <w:rFonts w:ascii="Arial" w:hAnsi="Arial" w:cs="Arial"/>
          <w:i/>
          <w:iCs/>
        </w:rPr>
        <w:t xml:space="preserve"> </w:t>
      </w:r>
      <w:r w:rsidR="003D23BD">
        <w:rPr>
          <w:rFonts w:ascii="Arial" w:hAnsi="Arial" w:cs="Arial"/>
        </w:rPr>
        <w:t>386 N.C. at 117-18</w:t>
      </w:r>
      <w:r w:rsidR="00904953">
        <w:rPr>
          <w:rFonts w:ascii="Arial" w:hAnsi="Arial" w:cs="Arial"/>
        </w:rPr>
        <w:t xml:space="preserve">; </w:t>
      </w:r>
      <w:r w:rsidR="00F25571" w:rsidRPr="00E25DC5">
        <w:rPr>
          <w:rFonts w:ascii="Arial" w:hAnsi="Arial" w:cs="Arial"/>
        </w:rPr>
        <w:t xml:space="preserve">State v. Parker, 377 N.C. 466, 472 (2021); </w:t>
      </w:r>
      <w:r w:rsidR="00BA2330" w:rsidRPr="00E25DC5">
        <w:rPr>
          <w:rFonts w:ascii="Arial" w:hAnsi="Arial" w:cs="Arial"/>
        </w:rPr>
        <w:t>State v. Huey, 370 N.C. 174, 180-81 (2017).</w:t>
      </w:r>
      <w:r w:rsidR="0046138A">
        <w:rPr>
          <w:rFonts w:ascii="Arial" w:hAnsi="Arial" w:cs="Arial"/>
        </w:rPr>
        <w:t xml:space="preserve"> </w:t>
      </w:r>
    </w:p>
    <w:p w14:paraId="4BD28398" w14:textId="423576EF" w:rsidR="007B6333" w:rsidRPr="00E25DC5" w:rsidRDefault="00FD77F1" w:rsidP="00C931CF">
      <w:pPr>
        <w:pStyle w:val="ListParagraph"/>
        <w:numPr>
          <w:ilvl w:val="3"/>
          <w:numId w:val="1"/>
        </w:numPr>
        <w:spacing w:after="0" w:line="240" w:lineRule="auto"/>
        <w:ind w:left="2160" w:hanging="720"/>
        <w:rPr>
          <w:rFonts w:ascii="Arial" w:hAnsi="Arial" w:cs="Arial"/>
        </w:rPr>
      </w:pPr>
      <w:r w:rsidRPr="00A63790">
        <w:rPr>
          <w:rFonts w:ascii="Arial" w:hAnsi="Arial" w:cs="Arial"/>
          <w:b/>
          <w:bCs/>
        </w:rPr>
        <w:lastRenderedPageBreak/>
        <w:t xml:space="preserve">Statements or </w:t>
      </w:r>
      <w:r w:rsidR="00E25DC5" w:rsidRPr="00A63790">
        <w:rPr>
          <w:rFonts w:ascii="Arial" w:hAnsi="Arial" w:cs="Arial"/>
          <w:b/>
          <w:bCs/>
        </w:rPr>
        <w:t xml:space="preserve">Arguments </w:t>
      </w:r>
      <w:r w:rsidR="00363278" w:rsidRPr="00A63790">
        <w:rPr>
          <w:rFonts w:ascii="Arial" w:hAnsi="Arial" w:cs="Arial"/>
          <w:b/>
          <w:bCs/>
        </w:rPr>
        <w:t xml:space="preserve">Infringing Upon </w:t>
      </w:r>
      <w:r w:rsidR="00796186" w:rsidRPr="00A63790">
        <w:rPr>
          <w:rFonts w:ascii="Arial" w:hAnsi="Arial" w:cs="Arial"/>
          <w:b/>
          <w:bCs/>
        </w:rPr>
        <w:t>Constitutional</w:t>
      </w:r>
      <w:r w:rsidR="00363278" w:rsidRPr="00A63790">
        <w:rPr>
          <w:rFonts w:ascii="Arial" w:hAnsi="Arial" w:cs="Arial"/>
          <w:b/>
          <w:bCs/>
        </w:rPr>
        <w:t xml:space="preserve"> Rights</w:t>
      </w:r>
      <w:r w:rsidR="00E25DC5" w:rsidRPr="00641284">
        <w:rPr>
          <w:rFonts w:ascii="Arial" w:hAnsi="Arial" w:cs="Arial"/>
          <w:b/>
          <w:bCs/>
        </w:rPr>
        <w:t xml:space="preserve">. </w:t>
      </w:r>
      <w:r w:rsidR="00DA44C0" w:rsidRPr="00E25DC5">
        <w:rPr>
          <w:rFonts w:ascii="Arial" w:hAnsi="Arial" w:cs="Arial"/>
        </w:rPr>
        <w:t>W</w:t>
      </w:r>
      <w:r w:rsidR="00495DD3" w:rsidRPr="00E25DC5">
        <w:rPr>
          <w:rFonts w:ascii="Arial" w:hAnsi="Arial" w:cs="Arial"/>
        </w:rPr>
        <w:t>he</w:t>
      </w:r>
      <w:r w:rsidR="00DA44C0" w:rsidRPr="00E25DC5">
        <w:rPr>
          <w:rFonts w:ascii="Arial" w:hAnsi="Arial" w:cs="Arial"/>
        </w:rPr>
        <w:t>n</w:t>
      </w:r>
      <w:r w:rsidR="00B35F33" w:rsidRPr="00E25DC5">
        <w:rPr>
          <w:rFonts w:ascii="Arial" w:hAnsi="Arial" w:cs="Arial"/>
        </w:rPr>
        <w:t xml:space="preserve"> a</w:t>
      </w:r>
      <w:r w:rsidR="00DA44C0" w:rsidRPr="00E25DC5">
        <w:rPr>
          <w:rFonts w:ascii="Arial" w:hAnsi="Arial" w:cs="Arial"/>
        </w:rPr>
        <w:t xml:space="preserve"> defendant objects to a</w:t>
      </w:r>
      <w:r w:rsidR="00B35F33" w:rsidRPr="00E25DC5">
        <w:rPr>
          <w:rFonts w:ascii="Arial" w:hAnsi="Arial" w:cs="Arial"/>
        </w:rPr>
        <w:t xml:space="preserve"> prosecutor</w:t>
      </w:r>
      <w:r w:rsidR="00DA44C0" w:rsidRPr="00E25DC5">
        <w:rPr>
          <w:rFonts w:ascii="Arial" w:hAnsi="Arial" w:cs="Arial"/>
        </w:rPr>
        <w:t>’s</w:t>
      </w:r>
      <w:r w:rsidR="00B35F33" w:rsidRPr="00E25DC5">
        <w:rPr>
          <w:rFonts w:ascii="Arial" w:hAnsi="Arial" w:cs="Arial"/>
        </w:rPr>
        <w:t xml:space="preserve"> improper </w:t>
      </w:r>
      <w:r>
        <w:rPr>
          <w:rFonts w:ascii="Arial" w:hAnsi="Arial" w:cs="Arial"/>
        </w:rPr>
        <w:t xml:space="preserve">statement or </w:t>
      </w:r>
      <w:r w:rsidR="00B35F33" w:rsidRPr="00E25DC5">
        <w:rPr>
          <w:rFonts w:ascii="Arial" w:hAnsi="Arial" w:cs="Arial"/>
        </w:rPr>
        <w:t xml:space="preserve">argument </w:t>
      </w:r>
      <w:r w:rsidR="00FE0BD4" w:rsidRPr="00E25DC5">
        <w:rPr>
          <w:rFonts w:ascii="Arial" w:hAnsi="Arial" w:cs="Arial"/>
        </w:rPr>
        <w:t xml:space="preserve">directly implicating and </w:t>
      </w:r>
      <w:r w:rsidR="00B35F33" w:rsidRPr="00E25DC5">
        <w:rPr>
          <w:rFonts w:ascii="Arial" w:hAnsi="Arial" w:cs="Arial"/>
        </w:rPr>
        <w:t>infring</w:t>
      </w:r>
      <w:r w:rsidR="00DA44C0" w:rsidRPr="00E25DC5">
        <w:rPr>
          <w:rFonts w:ascii="Arial" w:hAnsi="Arial" w:cs="Arial"/>
        </w:rPr>
        <w:t>ing</w:t>
      </w:r>
      <w:r w:rsidR="00B35F33" w:rsidRPr="00E25DC5">
        <w:rPr>
          <w:rFonts w:ascii="Arial" w:hAnsi="Arial" w:cs="Arial"/>
        </w:rPr>
        <w:t xml:space="preserve"> upon </w:t>
      </w:r>
      <w:r w:rsidR="00DA44C0" w:rsidRPr="00E25DC5">
        <w:rPr>
          <w:rFonts w:ascii="Arial" w:hAnsi="Arial" w:cs="Arial"/>
        </w:rPr>
        <w:t>the</w:t>
      </w:r>
      <w:r w:rsidR="00B35F33" w:rsidRPr="00E25DC5">
        <w:rPr>
          <w:rFonts w:ascii="Arial" w:hAnsi="Arial" w:cs="Arial"/>
        </w:rPr>
        <w:t xml:space="preserve"> defendant’s constitutional rights, </w:t>
      </w:r>
      <w:r w:rsidR="00042C0D" w:rsidRPr="00E25DC5">
        <w:rPr>
          <w:rFonts w:ascii="Arial" w:hAnsi="Arial" w:cs="Arial"/>
        </w:rPr>
        <w:t xml:space="preserve">it is reversible error for the trial court to </w:t>
      </w:r>
      <w:r w:rsidR="00147B50">
        <w:rPr>
          <w:rFonts w:ascii="Arial" w:hAnsi="Arial" w:cs="Arial"/>
        </w:rPr>
        <w:t xml:space="preserve">overrule the </w:t>
      </w:r>
      <w:r w:rsidR="00DA44C0" w:rsidRPr="00E25DC5">
        <w:rPr>
          <w:rFonts w:ascii="Arial" w:hAnsi="Arial" w:cs="Arial"/>
        </w:rPr>
        <w:t xml:space="preserve">objection or to </w:t>
      </w:r>
      <w:r w:rsidR="00042C0D" w:rsidRPr="00E25DC5">
        <w:rPr>
          <w:rFonts w:ascii="Arial" w:hAnsi="Arial" w:cs="Arial"/>
        </w:rPr>
        <w:t xml:space="preserve">sustain </w:t>
      </w:r>
      <w:r w:rsidR="00DA44C0" w:rsidRPr="00E25DC5">
        <w:rPr>
          <w:rFonts w:ascii="Arial" w:hAnsi="Arial" w:cs="Arial"/>
        </w:rPr>
        <w:t>the</w:t>
      </w:r>
      <w:r w:rsidR="00042C0D" w:rsidRPr="00E25DC5">
        <w:rPr>
          <w:rFonts w:ascii="Arial" w:hAnsi="Arial" w:cs="Arial"/>
        </w:rPr>
        <w:t xml:space="preserve"> objection but fail to give a </w:t>
      </w:r>
      <w:r w:rsidR="00DA44C0" w:rsidRPr="00E25DC5">
        <w:rPr>
          <w:rFonts w:ascii="Arial" w:hAnsi="Arial" w:cs="Arial"/>
        </w:rPr>
        <w:t>timely and specific</w:t>
      </w:r>
      <w:r w:rsidR="00042C0D" w:rsidRPr="00E25DC5">
        <w:rPr>
          <w:rFonts w:ascii="Arial" w:hAnsi="Arial" w:cs="Arial"/>
        </w:rPr>
        <w:t xml:space="preserve"> curative instruction, unless </w:t>
      </w:r>
      <w:r w:rsidR="00B35F33" w:rsidRPr="00E25DC5">
        <w:rPr>
          <w:rFonts w:ascii="Arial" w:hAnsi="Arial" w:cs="Arial"/>
        </w:rPr>
        <w:t>the State show</w:t>
      </w:r>
      <w:r w:rsidR="00042C0D" w:rsidRPr="00E25DC5">
        <w:rPr>
          <w:rFonts w:ascii="Arial" w:hAnsi="Arial" w:cs="Arial"/>
        </w:rPr>
        <w:t>s</w:t>
      </w:r>
      <w:r w:rsidR="00B35F33" w:rsidRPr="00E25DC5">
        <w:rPr>
          <w:rFonts w:ascii="Arial" w:hAnsi="Arial" w:cs="Arial"/>
        </w:rPr>
        <w:t xml:space="preserve"> the error to be harmless beyond a reasonable doubt. </w:t>
      </w:r>
      <w:r w:rsidR="00495DD3" w:rsidRPr="00E25DC5">
        <w:rPr>
          <w:rFonts w:ascii="Arial" w:hAnsi="Arial" w:cs="Arial"/>
          <w:i/>
          <w:iCs/>
        </w:rPr>
        <w:t>See, e.g.</w:t>
      </w:r>
      <w:r w:rsidR="00495DD3" w:rsidRPr="00E25DC5">
        <w:rPr>
          <w:rFonts w:ascii="Arial" w:hAnsi="Arial" w:cs="Arial"/>
        </w:rPr>
        <w:t>,</w:t>
      </w:r>
      <w:r w:rsidR="00495DD3" w:rsidRPr="00E25DC5">
        <w:rPr>
          <w:rFonts w:ascii="Arial" w:hAnsi="Arial" w:cs="Arial"/>
          <w:i/>
          <w:iCs/>
        </w:rPr>
        <w:t xml:space="preserve"> </w:t>
      </w:r>
      <w:r w:rsidR="00B35F33" w:rsidRPr="00E25DC5">
        <w:rPr>
          <w:rFonts w:ascii="Arial" w:hAnsi="Arial" w:cs="Arial"/>
        </w:rPr>
        <w:t>State v. Kemmerlin, 356 N.C. 446, 482 (2002)</w:t>
      </w:r>
      <w:r w:rsidR="00DA44C0" w:rsidRPr="00E25DC5">
        <w:rPr>
          <w:rFonts w:ascii="Arial" w:hAnsi="Arial" w:cs="Arial"/>
        </w:rPr>
        <w:t xml:space="preserve"> (trial court cured prosecutor’s improper references to defendant’s exercise of right to jury trial and failure to testify by sustaining objection and giving immediate curative instruction)</w:t>
      </w:r>
      <w:r w:rsidR="00B35F33" w:rsidRPr="00E25DC5">
        <w:rPr>
          <w:rFonts w:ascii="Arial" w:hAnsi="Arial" w:cs="Arial"/>
        </w:rPr>
        <w:t>;</w:t>
      </w:r>
      <w:r w:rsidR="00495DD3" w:rsidRPr="00E25DC5">
        <w:rPr>
          <w:rFonts w:ascii="Arial" w:hAnsi="Arial" w:cs="Arial"/>
        </w:rPr>
        <w:t xml:space="preserve"> State v. Reid, 334 N.C. 551 (1993)</w:t>
      </w:r>
      <w:r w:rsidR="00DA44C0" w:rsidRPr="00E25DC5">
        <w:rPr>
          <w:rFonts w:ascii="Arial" w:hAnsi="Arial" w:cs="Arial"/>
        </w:rPr>
        <w:t xml:space="preserve"> (trial court committed reversible error by not sustaining defendant’s objection to prosecutor’s reference to his failure to testify)</w:t>
      </w:r>
      <w:r w:rsidR="00495DD3" w:rsidRPr="00E25DC5">
        <w:rPr>
          <w:rFonts w:ascii="Arial" w:hAnsi="Arial" w:cs="Arial"/>
        </w:rPr>
        <w:t>;</w:t>
      </w:r>
      <w:r w:rsidR="00D72011">
        <w:rPr>
          <w:rFonts w:ascii="Arial" w:hAnsi="Arial" w:cs="Arial"/>
        </w:rPr>
        <w:t xml:space="preserve"> State v. McCall, 286 N.C. 472, 487 (1975) (trial court committed reversible error by sustaining objection to prosecutor’s comment on defendant’s right to not testify without providing curative instruction);</w:t>
      </w:r>
      <w:r w:rsidR="00495DD3" w:rsidRPr="00E25DC5">
        <w:rPr>
          <w:rFonts w:ascii="Arial" w:hAnsi="Arial" w:cs="Arial"/>
        </w:rPr>
        <w:t xml:space="preserve"> </w:t>
      </w:r>
      <w:r w:rsidR="00495DD3" w:rsidRPr="00E25DC5">
        <w:rPr>
          <w:rFonts w:ascii="Arial" w:hAnsi="Arial" w:cs="Arial"/>
          <w:i/>
          <w:iCs/>
        </w:rPr>
        <w:t>see also</w:t>
      </w:r>
      <w:r w:rsidR="00B35F33" w:rsidRPr="00E25DC5">
        <w:rPr>
          <w:rFonts w:ascii="Arial" w:hAnsi="Arial" w:cs="Arial"/>
        </w:rPr>
        <w:t xml:space="preserve"> </w:t>
      </w:r>
      <w:r w:rsidR="00495DD3" w:rsidRPr="00E25DC5">
        <w:rPr>
          <w:rFonts w:ascii="Arial" w:hAnsi="Arial" w:cs="Arial"/>
        </w:rPr>
        <w:t xml:space="preserve">State v. Branche, </w:t>
      </w:r>
      <w:r w:rsidR="00904953">
        <w:rPr>
          <w:rFonts w:ascii="Arial" w:hAnsi="Arial" w:cs="Arial"/>
        </w:rPr>
        <w:t>291</w:t>
      </w:r>
      <w:r w:rsidR="00495DD3" w:rsidRPr="00E25DC5">
        <w:rPr>
          <w:rFonts w:ascii="Arial" w:hAnsi="Arial" w:cs="Arial"/>
        </w:rPr>
        <w:t xml:space="preserve"> N.C. App. </w:t>
      </w:r>
      <w:r w:rsidR="00904953">
        <w:rPr>
          <w:rFonts w:ascii="Arial" w:hAnsi="Arial" w:cs="Arial"/>
        </w:rPr>
        <w:t>214, 229</w:t>
      </w:r>
      <w:r w:rsidR="00495DD3" w:rsidRPr="00E25DC5">
        <w:rPr>
          <w:rFonts w:ascii="Arial" w:hAnsi="Arial" w:cs="Arial"/>
        </w:rPr>
        <w:t xml:space="preserve"> (2023)</w:t>
      </w:r>
      <w:r w:rsidR="00DA44C0" w:rsidRPr="00E25DC5">
        <w:rPr>
          <w:rFonts w:ascii="Arial" w:hAnsi="Arial" w:cs="Arial"/>
        </w:rPr>
        <w:t xml:space="preserve"> (trial court’s failure to cure prosecutor’s reference to defendant’s failure to testify after sustaining objection thereto was harmless error)</w:t>
      </w:r>
      <w:r w:rsidR="00B35F33" w:rsidRPr="00E25DC5">
        <w:rPr>
          <w:rFonts w:ascii="Arial" w:hAnsi="Arial" w:cs="Arial"/>
        </w:rPr>
        <w:t>.</w:t>
      </w:r>
      <w:r w:rsidR="00495DD3" w:rsidRPr="00E25DC5">
        <w:rPr>
          <w:rFonts w:ascii="Arial" w:hAnsi="Arial" w:cs="Arial"/>
        </w:rPr>
        <w:t xml:space="preserve"> </w:t>
      </w:r>
      <w:r w:rsidR="00042C0D" w:rsidRPr="00E25DC5">
        <w:rPr>
          <w:rFonts w:ascii="Arial" w:hAnsi="Arial" w:cs="Arial"/>
        </w:rPr>
        <w:t>If a defendant fails to object to such an improper</w:t>
      </w:r>
      <w:r>
        <w:rPr>
          <w:rFonts w:ascii="Arial" w:hAnsi="Arial" w:cs="Arial"/>
        </w:rPr>
        <w:t xml:space="preserve"> statement or</w:t>
      </w:r>
      <w:r w:rsidR="00042C0D" w:rsidRPr="00E25DC5">
        <w:rPr>
          <w:rFonts w:ascii="Arial" w:hAnsi="Arial" w:cs="Arial"/>
        </w:rPr>
        <w:t xml:space="preserve"> argument, the appellate courts require the defendant to show that the </w:t>
      </w:r>
      <w:r w:rsidR="00DC0AA1">
        <w:rPr>
          <w:rFonts w:ascii="Arial" w:hAnsi="Arial" w:cs="Arial"/>
        </w:rPr>
        <w:t xml:space="preserve">trial court’s failure to intervene </w:t>
      </w:r>
      <w:r w:rsidR="00042C0D" w:rsidRPr="00E25DC5">
        <w:rPr>
          <w:rFonts w:ascii="Arial" w:hAnsi="Arial" w:cs="Arial"/>
        </w:rPr>
        <w:t>was prejudicial</w:t>
      </w:r>
      <w:r w:rsidR="003A5D8B" w:rsidRPr="00E25DC5">
        <w:rPr>
          <w:rFonts w:ascii="Arial" w:hAnsi="Arial" w:cs="Arial"/>
        </w:rPr>
        <w:t xml:space="preserve">. </w:t>
      </w:r>
      <w:r w:rsidR="003A5D8B" w:rsidRPr="00E25DC5">
        <w:rPr>
          <w:rFonts w:ascii="Arial" w:hAnsi="Arial" w:cs="Arial"/>
          <w:i/>
          <w:iCs/>
        </w:rPr>
        <w:t>See</w:t>
      </w:r>
      <w:r w:rsidR="003A5D8B" w:rsidRPr="00E25DC5">
        <w:rPr>
          <w:rFonts w:ascii="Arial" w:hAnsi="Arial" w:cs="Arial"/>
        </w:rPr>
        <w:t xml:space="preserve"> </w:t>
      </w:r>
      <w:r w:rsidR="00495DD3" w:rsidRPr="00E25DC5">
        <w:rPr>
          <w:rFonts w:ascii="Arial" w:hAnsi="Arial" w:cs="Arial"/>
        </w:rPr>
        <w:t xml:space="preserve">State v. Goins, 377 N.C. 475, 478 (2021) (putting burden on defendant to show prejudice arising from prosecutor’s improper </w:t>
      </w:r>
      <w:r w:rsidR="00DA44C0" w:rsidRPr="00E25DC5">
        <w:rPr>
          <w:rFonts w:ascii="Arial" w:hAnsi="Arial" w:cs="Arial"/>
        </w:rPr>
        <w:t>reference to his</w:t>
      </w:r>
      <w:r w:rsidR="00495DD3" w:rsidRPr="00E25DC5">
        <w:rPr>
          <w:rFonts w:ascii="Arial" w:hAnsi="Arial" w:cs="Arial"/>
        </w:rPr>
        <w:t xml:space="preserve"> decision to plead not guilty</w:t>
      </w:r>
      <w:r w:rsidR="00042C0D" w:rsidRPr="00E25DC5">
        <w:rPr>
          <w:rFonts w:ascii="Arial" w:hAnsi="Arial" w:cs="Arial"/>
        </w:rPr>
        <w:t xml:space="preserve"> where the defendant did not object at trial</w:t>
      </w:r>
      <w:r w:rsidR="00495DD3" w:rsidRPr="00E25DC5">
        <w:rPr>
          <w:rFonts w:ascii="Arial" w:hAnsi="Arial" w:cs="Arial"/>
        </w:rPr>
        <w:t>)</w:t>
      </w:r>
      <w:r w:rsidR="00D841ED">
        <w:rPr>
          <w:rFonts w:ascii="Arial" w:hAnsi="Arial" w:cs="Arial"/>
        </w:rPr>
        <w:t xml:space="preserve">; </w:t>
      </w:r>
      <w:r w:rsidR="00D841ED">
        <w:rPr>
          <w:rFonts w:ascii="Arial" w:hAnsi="Arial" w:cs="Arial"/>
          <w:i/>
          <w:iCs/>
        </w:rPr>
        <w:t>Early</w:t>
      </w:r>
      <w:r w:rsidR="00D841ED">
        <w:rPr>
          <w:rFonts w:ascii="Arial" w:hAnsi="Arial" w:cs="Arial"/>
        </w:rPr>
        <w:t>, ___ N.C. App. at ___, 914 S.E.2d at 88 (analyzing prejudice of prosecutor’s closing argument reference to defendant’s pretrial silence to which the defendant failed to object)</w:t>
      </w:r>
      <w:r w:rsidR="000501DF">
        <w:rPr>
          <w:rFonts w:ascii="Arial" w:hAnsi="Arial" w:cs="Arial"/>
        </w:rPr>
        <w:t>; State v. Gilbert, ___ N.C. App. ___, 2025 WL 1813184 (July 2, 2025) (same with respect to prosecutor’s reference to defendant’s failure to testify)</w:t>
      </w:r>
      <w:r w:rsidR="00495DD3" w:rsidRPr="00E25DC5">
        <w:rPr>
          <w:rFonts w:ascii="Arial" w:hAnsi="Arial" w:cs="Arial"/>
        </w:rPr>
        <w:t xml:space="preserve">. </w:t>
      </w:r>
    </w:p>
    <w:p w14:paraId="660F380E" w14:textId="77777777" w:rsidR="00304356" w:rsidRDefault="00304356" w:rsidP="008456DE">
      <w:pPr>
        <w:spacing w:after="0" w:line="240" w:lineRule="auto"/>
        <w:jc w:val="center"/>
        <w:rPr>
          <w:rFonts w:ascii="Arial" w:hAnsi="Arial" w:cs="Arial"/>
          <w:sz w:val="16"/>
          <w:szCs w:val="16"/>
        </w:rPr>
      </w:pPr>
    </w:p>
    <w:p w14:paraId="6FEAD08E" w14:textId="77777777" w:rsidR="008F3763" w:rsidRDefault="008F3763" w:rsidP="008456DE">
      <w:pPr>
        <w:spacing w:after="0" w:line="240" w:lineRule="auto"/>
        <w:jc w:val="center"/>
        <w:rPr>
          <w:rFonts w:ascii="Arial" w:hAnsi="Arial" w:cs="Arial"/>
          <w:sz w:val="16"/>
          <w:szCs w:val="16"/>
        </w:rPr>
      </w:pPr>
    </w:p>
    <w:p w14:paraId="73E3227F" w14:textId="77777777" w:rsidR="008F3763" w:rsidRDefault="008F3763" w:rsidP="008456DE">
      <w:pPr>
        <w:spacing w:after="0" w:line="240" w:lineRule="auto"/>
        <w:jc w:val="center"/>
        <w:rPr>
          <w:rFonts w:ascii="Arial" w:hAnsi="Arial" w:cs="Arial"/>
          <w:sz w:val="16"/>
          <w:szCs w:val="16"/>
        </w:rPr>
      </w:pPr>
    </w:p>
    <w:p w14:paraId="3E99809A" w14:textId="77777777" w:rsidR="008F3763" w:rsidRDefault="008F3763" w:rsidP="008456DE">
      <w:pPr>
        <w:spacing w:after="0" w:line="240" w:lineRule="auto"/>
        <w:jc w:val="center"/>
        <w:rPr>
          <w:rFonts w:ascii="Arial" w:hAnsi="Arial" w:cs="Arial"/>
          <w:sz w:val="16"/>
          <w:szCs w:val="16"/>
        </w:rPr>
      </w:pPr>
    </w:p>
    <w:p w14:paraId="46490B3E" w14:textId="77777777" w:rsidR="008F3763" w:rsidRDefault="008F3763" w:rsidP="008456DE">
      <w:pPr>
        <w:spacing w:after="0" w:line="240" w:lineRule="auto"/>
        <w:jc w:val="center"/>
        <w:rPr>
          <w:rFonts w:ascii="Arial" w:hAnsi="Arial" w:cs="Arial"/>
          <w:sz w:val="16"/>
          <w:szCs w:val="16"/>
        </w:rPr>
      </w:pPr>
    </w:p>
    <w:p w14:paraId="0E8EA619" w14:textId="77777777" w:rsidR="008F3763" w:rsidRDefault="008F3763" w:rsidP="008456DE">
      <w:pPr>
        <w:spacing w:after="0" w:line="240" w:lineRule="auto"/>
        <w:jc w:val="center"/>
        <w:rPr>
          <w:rFonts w:ascii="Arial" w:hAnsi="Arial" w:cs="Arial"/>
          <w:sz w:val="16"/>
          <w:szCs w:val="16"/>
        </w:rPr>
      </w:pPr>
    </w:p>
    <w:p w14:paraId="780F1135" w14:textId="77777777" w:rsidR="008F3763" w:rsidRDefault="008F3763" w:rsidP="008456DE">
      <w:pPr>
        <w:spacing w:after="0" w:line="240" w:lineRule="auto"/>
        <w:jc w:val="center"/>
        <w:rPr>
          <w:rFonts w:ascii="Arial" w:hAnsi="Arial" w:cs="Arial"/>
          <w:sz w:val="16"/>
          <w:szCs w:val="16"/>
        </w:rPr>
      </w:pPr>
    </w:p>
    <w:p w14:paraId="04395489" w14:textId="77777777" w:rsidR="008456DE" w:rsidRDefault="008456DE" w:rsidP="008456DE">
      <w:pPr>
        <w:spacing w:after="0" w:line="240" w:lineRule="auto"/>
        <w:jc w:val="center"/>
        <w:rPr>
          <w:rFonts w:ascii="Arial" w:hAnsi="Arial" w:cs="Arial"/>
          <w:sz w:val="16"/>
          <w:szCs w:val="16"/>
        </w:rPr>
      </w:pPr>
    </w:p>
    <w:p w14:paraId="33175AE6" w14:textId="77777777" w:rsidR="008456DE" w:rsidRDefault="008456DE" w:rsidP="008456DE">
      <w:pPr>
        <w:spacing w:after="0" w:line="240" w:lineRule="auto"/>
        <w:jc w:val="center"/>
        <w:rPr>
          <w:rFonts w:ascii="Arial" w:hAnsi="Arial" w:cs="Arial"/>
          <w:sz w:val="16"/>
          <w:szCs w:val="16"/>
        </w:rPr>
      </w:pPr>
    </w:p>
    <w:p w14:paraId="00737E61" w14:textId="77777777" w:rsidR="008456DE" w:rsidRDefault="008456DE" w:rsidP="008456DE">
      <w:pPr>
        <w:spacing w:after="0" w:line="240" w:lineRule="auto"/>
        <w:jc w:val="center"/>
        <w:rPr>
          <w:rFonts w:ascii="Arial" w:hAnsi="Arial" w:cs="Arial"/>
          <w:sz w:val="16"/>
          <w:szCs w:val="16"/>
        </w:rPr>
      </w:pPr>
    </w:p>
    <w:p w14:paraId="51512F91" w14:textId="77777777" w:rsidR="007F0F83" w:rsidRDefault="007F0F83" w:rsidP="008456DE">
      <w:pPr>
        <w:spacing w:after="0" w:line="240" w:lineRule="auto"/>
        <w:jc w:val="center"/>
        <w:rPr>
          <w:rFonts w:ascii="Arial" w:hAnsi="Arial" w:cs="Arial"/>
          <w:sz w:val="16"/>
          <w:szCs w:val="16"/>
        </w:rPr>
      </w:pPr>
    </w:p>
    <w:p w14:paraId="7058D8CC" w14:textId="77777777" w:rsidR="007F0F83" w:rsidRDefault="007F0F83" w:rsidP="008456DE">
      <w:pPr>
        <w:spacing w:after="0" w:line="240" w:lineRule="auto"/>
        <w:jc w:val="center"/>
        <w:rPr>
          <w:rFonts w:ascii="Arial" w:hAnsi="Arial" w:cs="Arial"/>
          <w:sz w:val="16"/>
          <w:szCs w:val="16"/>
        </w:rPr>
      </w:pPr>
    </w:p>
    <w:p w14:paraId="655CC19F" w14:textId="77777777" w:rsidR="007F0F83" w:rsidRDefault="007F0F83" w:rsidP="008456DE">
      <w:pPr>
        <w:spacing w:after="0" w:line="240" w:lineRule="auto"/>
        <w:jc w:val="center"/>
        <w:rPr>
          <w:rFonts w:ascii="Arial" w:hAnsi="Arial" w:cs="Arial"/>
          <w:sz w:val="16"/>
          <w:szCs w:val="16"/>
        </w:rPr>
      </w:pPr>
    </w:p>
    <w:p w14:paraId="793B9EB1" w14:textId="77777777" w:rsidR="007F0F83" w:rsidRDefault="007F0F83" w:rsidP="008456DE">
      <w:pPr>
        <w:spacing w:after="0" w:line="240" w:lineRule="auto"/>
        <w:jc w:val="center"/>
        <w:rPr>
          <w:rFonts w:ascii="Arial" w:hAnsi="Arial" w:cs="Arial"/>
          <w:sz w:val="16"/>
          <w:szCs w:val="16"/>
        </w:rPr>
      </w:pPr>
    </w:p>
    <w:p w14:paraId="69651E99" w14:textId="77777777" w:rsidR="007F0F83" w:rsidRDefault="007F0F83" w:rsidP="008456DE">
      <w:pPr>
        <w:spacing w:after="0" w:line="240" w:lineRule="auto"/>
        <w:jc w:val="center"/>
        <w:rPr>
          <w:rFonts w:ascii="Arial" w:hAnsi="Arial" w:cs="Arial"/>
          <w:sz w:val="16"/>
          <w:szCs w:val="16"/>
        </w:rPr>
      </w:pPr>
    </w:p>
    <w:p w14:paraId="32E7BF14" w14:textId="77777777" w:rsidR="007F0F83" w:rsidRDefault="007F0F83" w:rsidP="008456DE">
      <w:pPr>
        <w:spacing w:after="0" w:line="240" w:lineRule="auto"/>
        <w:jc w:val="center"/>
        <w:rPr>
          <w:rFonts w:ascii="Arial" w:hAnsi="Arial" w:cs="Arial"/>
          <w:sz w:val="16"/>
          <w:szCs w:val="16"/>
        </w:rPr>
      </w:pPr>
    </w:p>
    <w:p w14:paraId="3BECE997" w14:textId="77777777" w:rsidR="00A63790" w:rsidRDefault="00A63790" w:rsidP="008456DE">
      <w:pPr>
        <w:spacing w:after="0" w:line="240" w:lineRule="auto"/>
        <w:jc w:val="center"/>
        <w:rPr>
          <w:rFonts w:ascii="Arial" w:hAnsi="Arial" w:cs="Arial"/>
          <w:sz w:val="16"/>
          <w:szCs w:val="16"/>
        </w:rPr>
      </w:pPr>
    </w:p>
    <w:p w14:paraId="5C2B9C07" w14:textId="77777777" w:rsidR="007F0F83" w:rsidRDefault="007F0F83" w:rsidP="008456DE">
      <w:pPr>
        <w:spacing w:after="0" w:line="240" w:lineRule="auto"/>
        <w:jc w:val="center"/>
        <w:rPr>
          <w:rFonts w:ascii="Arial" w:hAnsi="Arial" w:cs="Arial"/>
          <w:sz w:val="16"/>
          <w:szCs w:val="16"/>
        </w:rPr>
      </w:pPr>
    </w:p>
    <w:p w14:paraId="78671536" w14:textId="77777777" w:rsidR="007F0F83" w:rsidRDefault="007F0F83" w:rsidP="008456DE">
      <w:pPr>
        <w:spacing w:after="0" w:line="240" w:lineRule="auto"/>
        <w:jc w:val="center"/>
        <w:rPr>
          <w:rFonts w:ascii="Arial" w:hAnsi="Arial" w:cs="Arial"/>
          <w:sz w:val="16"/>
          <w:szCs w:val="16"/>
        </w:rPr>
      </w:pPr>
    </w:p>
    <w:p w14:paraId="622E9C58" w14:textId="77777777" w:rsidR="007F0F83" w:rsidRDefault="007F0F83" w:rsidP="008456DE">
      <w:pPr>
        <w:spacing w:after="0" w:line="240" w:lineRule="auto"/>
        <w:jc w:val="center"/>
        <w:rPr>
          <w:rFonts w:ascii="Arial" w:hAnsi="Arial" w:cs="Arial"/>
          <w:sz w:val="16"/>
          <w:szCs w:val="16"/>
        </w:rPr>
      </w:pPr>
    </w:p>
    <w:p w14:paraId="37481A84" w14:textId="77777777" w:rsidR="007F0F83" w:rsidRDefault="007F0F83" w:rsidP="008456DE">
      <w:pPr>
        <w:spacing w:after="0" w:line="240" w:lineRule="auto"/>
        <w:jc w:val="center"/>
        <w:rPr>
          <w:rFonts w:ascii="Arial" w:hAnsi="Arial" w:cs="Arial"/>
          <w:sz w:val="16"/>
          <w:szCs w:val="16"/>
        </w:rPr>
      </w:pPr>
    </w:p>
    <w:p w14:paraId="54729EAC" w14:textId="77777777" w:rsidR="007F0F83" w:rsidRDefault="007F0F83" w:rsidP="008456DE">
      <w:pPr>
        <w:spacing w:after="0" w:line="240" w:lineRule="auto"/>
        <w:jc w:val="center"/>
        <w:rPr>
          <w:rFonts w:ascii="Arial" w:hAnsi="Arial" w:cs="Arial"/>
          <w:sz w:val="16"/>
          <w:szCs w:val="16"/>
        </w:rPr>
      </w:pPr>
    </w:p>
    <w:p w14:paraId="01579D68" w14:textId="77777777" w:rsidR="007F0F83" w:rsidRDefault="007F0F83" w:rsidP="008456DE">
      <w:pPr>
        <w:spacing w:after="0" w:line="240" w:lineRule="auto"/>
        <w:jc w:val="center"/>
        <w:rPr>
          <w:rFonts w:ascii="Arial" w:hAnsi="Arial" w:cs="Arial"/>
          <w:sz w:val="16"/>
          <w:szCs w:val="16"/>
        </w:rPr>
      </w:pPr>
    </w:p>
    <w:p w14:paraId="1E6426C5" w14:textId="77777777" w:rsidR="008456DE" w:rsidRDefault="008456DE" w:rsidP="008456DE">
      <w:pPr>
        <w:spacing w:after="0" w:line="240" w:lineRule="auto"/>
        <w:jc w:val="center"/>
        <w:rPr>
          <w:rFonts w:ascii="Arial" w:hAnsi="Arial" w:cs="Arial"/>
          <w:sz w:val="16"/>
          <w:szCs w:val="16"/>
        </w:rPr>
      </w:pPr>
    </w:p>
    <w:p w14:paraId="66FDA679" w14:textId="77777777" w:rsidR="008456DE" w:rsidRDefault="008456DE" w:rsidP="008456DE">
      <w:pPr>
        <w:spacing w:after="0" w:line="240" w:lineRule="auto"/>
        <w:jc w:val="center"/>
        <w:rPr>
          <w:rFonts w:ascii="Arial" w:hAnsi="Arial" w:cs="Arial"/>
          <w:sz w:val="16"/>
          <w:szCs w:val="16"/>
        </w:rPr>
      </w:pPr>
    </w:p>
    <w:p w14:paraId="0FFE843B" w14:textId="77777777" w:rsidR="008456DE" w:rsidRDefault="008456DE" w:rsidP="008456DE">
      <w:pPr>
        <w:spacing w:after="0" w:line="240" w:lineRule="auto"/>
        <w:jc w:val="center"/>
        <w:rPr>
          <w:rFonts w:ascii="Arial" w:hAnsi="Arial" w:cs="Arial"/>
          <w:sz w:val="16"/>
          <w:szCs w:val="16"/>
        </w:rPr>
      </w:pPr>
    </w:p>
    <w:p w14:paraId="69BEAA28" w14:textId="3C3CDCFA" w:rsidR="007B6333" w:rsidRPr="00855E59" w:rsidRDefault="00427812" w:rsidP="00C126A2">
      <w:pPr>
        <w:spacing w:after="0" w:line="240" w:lineRule="auto"/>
        <w:jc w:val="center"/>
        <w:rPr>
          <w:rFonts w:ascii="Arial" w:hAnsi="Arial" w:cs="Arial"/>
        </w:rPr>
      </w:pPr>
      <w:r w:rsidRPr="00BD0396">
        <w:rPr>
          <w:rFonts w:ascii="Arial" w:hAnsi="Arial" w:cs="Arial"/>
          <w:sz w:val="18"/>
          <w:szCs w:val="18"/>
        </w:rPr>
        <w:t>© 202</w:t>
      </w:r>
      <w:r w:rsidR="000501DF">
        <w:rPr>
          <w:rFonts w:ascii="Arial" w:hAnsi="Arial" w:cs="Arial"/>
          <w:sz w:val="18"/>
          <w:szCs w:val="18"/>
        </w:rPr>
        <w:t>5</w:t>
      </w:r>
      <w:r w:rsidRPr="00BD0396">
        <w:rPr>
          <w:rFonts w:ascii="Arial" w:hAnsi="Arial" w:cs="Arial"/>
          <w:sz w:val="18"/>
          <w:szCs w:val="18"/>
        </w:rPr>
        <w:t xml:space="preserve"> School of Government. The University of North Carolina at Chapel Hill Use of this publication for commercial purposes or without acknowledgment of its source is prohibited. Reproducing, distributing, or otherwise making available to a </w:t>
      </w:r>
      <w:proofErr w:type="spellStart"/>
      <w:r w:rsidRPr="00BD0396">
        <w:rPr>
          <w:rFonts w:ascii="Arial" w:hAnsi="Arial" w:cs="Arial"/>
          <w:sz w:val="18"/>
          <w:szCs w:val="18"/>
        </w:rPr>
        <w:t>nonpurchaser</w:t>
      </w:r>
      <w:proofErr w:type="spellEnd"/>
      <w:r w:rsidRPr="00BD0396">
        <w:rPr>
          <w:rFonts w:ascii="Arial" w:hAnsi="Arial" w:cs="Arial"/>
          <w:sz w:val="18"/>
          <w:szCs w:val="18"/>
        </w:rPr>
        <w:t xml:space="preserve"> the entire publication, or a substantial portion of it, without express permission, is prohibited. For permissions questions or requests, email the School of Government at copyright_permissions@sog.unc.</w:t>
      </w:r>
      <w:r>
        <w:rPr>
          <w:rFonts w:ascii="Arial" w:hAnsi="Arial" w:cs="Arial"/>
          <w:sz w:val="18"/>
          <w:szCs w:val="18"/>
        </w:rPr>
        <w:t>edu.</w:t>
      </w:r>
    </w:p>
    <w:sectPr w:rsidR="007B6333" w:rsidRPr="00855E59" w:rsidSect="001D4D9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A062" w14:textId="77777777" w:rsidR="00B97A6F" w:rsidRDefault="00B97A6F" w:rsidP="00774468">
      <w:pPr>
        <w:spacing w:after="0" w:line="240" w:lineRule="auto"/>
      </w:pPr>
      <w:r>
        <w:separator/>
      </w:r>
    </w:p>
  </w:endnote>
  <w:endnote w:type="continuationSeparator" w:id="0">
    <w:p w14:paraId="3707F307" w14:textId="77777777" w:rsidR="00B97A6F" w:rsidRDefault="00B97A6F" w:rsidP="0077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10A1" w14:textId="62378B0B" w:rsidR="00304356" w:rsidRPr="00A002E8" w:rsidRDefault="00570F8C" w:rsidP="00A002E8">
    <w:pPr>
      <w:pStyle w:val="Footer"/>
      <w:jc w:val="center"/>
      <w:rPr>
        <w:rFonts w:ascii="Arial" w:hAnsi="Arial" w:cs="Arial"/>
        <w:sz w:val="20"/>
        <w:szCs w:val="20"/>
      </w:rPr>
    </w:pPr>
    <w:r>
      <w:rPr>
        <w:rFonts w:ascii="Arial" w:hAnsi="Arial" w:cs="Arial"/>
        <w:sz w:val="20"/>
        <w:szCs w:val="20"/>
      </w:rPr>
      <w:t>Opening Statements &amp; Closing</w:t>
    </w:r>
    <w:r w:rsidR="00304356" w:rsidRPr="00A002E8">
      <w:rPr>
        <w:rFonts w:ascii="Arial" w:hAnsi="Arial" w:cs="Arial"/>
        <w:sz w:val="20"/>
        <w:szCs w:val="20"/>
      </w:rPr>
      <w:t xml:space="preserve"> Argument</w:t>
    </w:r>
    <w:r>
      <w:rPr>
        <w:rFonts w:ascii="Arial" w:hAnsi="Arial" w:cs="Arial"/>
        <w:sz w:val="20"/>
        <w:szCs w:val="20"/>
      </w:rPr>
      <w:t>s</w:t>
    </w:r>
    <w:r w:rsidR="00304356" w:rsidRPr="00A002E8">
      <w:rPr>
        <w:rFonts w:ascii="Arial" w:hAnsi="Arial" w:cs="Arial"/>
        <w:sz w:val="20"/>
        <w:szCs w:val="20"/>
      </w:rPr>
      <w:t xml:space="preserve"> - </w:t>
    </w:r>
    <w:r w:rsidR="00304356" w:rsidRPr="00A002E8">
      <w:rPr>
        <w:rFonts w:ascii="Arial" w:hAnsi="Arial" w:cs="Arial"/>
        <w:sz w:val="20"/>
        <w:szCs w:val="20"/>
      </w:rPr>
      <w:fldChar w:fldCharType="begin"/>
    </w:r>
    <w:r w:rsidR="00304356" w:rsidRPr="00A002E8">
      <w:rPr>
        <w:rFonts w:ascii="Arial" w:hAnsi="Arial" w:cs="Arial"/>
        <w:sz w:val="20"/>
        <w:szCs w:val="20"/>
      </w:rPr>
      <w:instrText xml:space="preserve"> PAGE   \* MERGEFORMAT </w:instrText>
    </w:r>
    <w:r w:rsidR="00304356" w:rsidRPr="00A002E8">
      <w:rPr>
        <w:rFonts w:ascii="Arial" w:hAnsi="Arial" w:cs="Arial"/>
        <w:sz w:val="20"/>
        <w:szCs w:val="20"/>
      </w:rPr>
      <w:fldChar w:fldCharType="separate"/>
    </w:r>
    <w:r w:rsidR="00130CC8">
      <w:rPr>
        <w:rFonts w:ascii="Arial" w:hAnsi="Arial" w:cs="Arial"/>
        <w:noProof/>
        <w:sz w:val="20"/>
        <w:szCs w:val="20"/>
      </w:rPr>
      <w:t>2</w:t>
    </w:r>
    <w:r w:rsidR="00304356" w:rsidRPr="00A002E8">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3E7E" w14:textId="77777777" w:rsidR="00B97A6F" w:rsidRDefault="00B97A6F" w:rsidP="00774468">
      <w:pPr>
        <w:spacing w:after="0" w:line="240" w:lineRule="auto"/>
      </w:pPr>
      <w:r>
        <w:separator/>
      </w:r>
    </w:p>
  </w:footnote>
  <w:footnote w:type="continuationSeparator" w:id="0">
    <w:p w14:paraId="121B5416" w14:textId="77777777" w:rsidR="00B97A6F" w:rsidRDefault="00B97A6F" w:rsidP="00774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FE43" w14:textId="77777777" w:rsidR="00304356" w:rsidRDefault="00304356">
    <w:pPr>
      <w:pStyle w:val="Header"/>
    </w:pPr>
    <w:r w:rsidRPr="000D1874">
      <w:rPr>
        <w:noProof/>
      </w:rPr>
      <w:drawing>
        <wp:anchor distT="0" distB="0" distL="114300" distR="114300" simplePos="0" relativeHeight="251659264" behindDoc="0" locked="0" layoutInCell="1" allowOverlap="0" wp14:anchorId="7ACB8FC9" wp14:editId="6E5804A8">
          <wp:simplePos x="0" y="0"/>
          <wp:positionH relativeFrom="page">
            <wp:posOffset>152400</wp:posOffset>
          </wp:positionH>
          <wp:positionV relativeFrom="page">
            <wp:posOffset>152400</wp:posOffset>
          </wp:positionV>
          <wp:extent cx="7772400" cy="339725"/>
          <wp:effectExtent l="0" t="0" r="0" b="1270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 SOG  NC Superior Court Judges' Benchbook title page masthead UNC BLACK.pdf"/>
                  <pic:cNvPicPr/>
                </pic:nvPicPr>
                <pic:blipFill>
                  <a:blip r:embed="rId1">
                    <a:extLst>
                      <a:ext uri="{28A0092B-C50C-407E-A947-70E740481C1C}">
                        <a14:useLocalDpi xmlns:a14="http://schemas.microsoft.com/office/drawing/2010/main" val="0"/>
                      </a:ext>
                    </a:extLst>
                  </a:blip>
                  <a:stretch>
                    <a:fillRect/>
                  </a:stretch>
                </pic:blipFill>
                <pic:spPr>
                  <a:xfrm>
                    <a:off x="0" y="0"/>
                    <a:ext cx="7772400" cy="34290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78C3405B" w14:textId="77777777" w:rsidR="00304356" w:rsidRDefault="00304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498"/>
    <w:multiLevelType w:val="hybridMultilevel"/>
    <w:tmpl w:val="65388424"/>
    <w:lvl w:ilvl="0" w:tplc="4CA2312A">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9360A7C"/>
    <w:multiLevelType w:val="hybridMultilevel"/>
    <w:tmpl w:val="3D46300E"/>
    <w:lvl w:ilvl="0" w:tplc="E1E4802E">
      <w:start w:val="1"/>
      <w:numFmt w:val="upperLetter"/>
      <w:lvlText w:val="%1."/>
      <w:lvlJc w:val="left"/>
      <w:pPr>
        <w:ind w:left="1440" w:hanging="720"/>
      </w:pPr>
      <w:rPr>
        <w:rFonts w:ascii="Arial" w:eastAsia="Calibri" w:hAnsi="Arial" w:cs="Arial" w:hint="default"/>
        <w:b/>
        <w:bCs/>
      </w:rPr>
    </w:lvl>
    <w:lvl w:ilvl="1" w:tplc="580C36AA">
      <w:start w:val="1"/>
      <w:numFmt w:val="lowerLetter"/>
      <w:lvlText w:val="%2."/>
      <w:lvlJc w:val="left"/>
      <w:pPr>
        <w:ind w:left="1440" w:hanging="360"/>
      </w:pPr>
      <w:rPr>
        <w:b/>
        <w:bCs/>
      </w:rPr>
    </w:lvl>
    <w:lvl w:ilvl="2" w:tplc="D05E27D8">
      <w:start w:val="1"/>
      <w:numFmt w:val="decimal"/>
      <w:pStyle w:val="Heading3"/>
      <w:lvlText w:val="%3."/>
      <w:lvlJc w:val="left"/>
      <w:pPr>
        <w:ind w:left="2160" w:hanging="720"/>
      </w:pPr>
      <w:rPr>
        <w:rFonts w:ascii="Arial" w:eastAsia="Calibri" w:hAnsi="Arial" w:cs="Arial"/>
        <w:b/>
        <w:bCs/>
      </w:rPr>
    </w:lvl>
    <w:lvl w:ilvl="3" w:tplc="B8E0DEE2">
      <w:start w:val="1"/>
      <w:numFmt w:val="lowerLetter"/>
      <w:lvlText w:val="%4."/>
      <w:lvlJc w:val="left"/>
      <w:pPr>
        <w:ind w:left="2880" w:hanging="360"/>
      </w:pPr>
      <w:rPr>
        <w:rFonts w:ascii="Arial" w:eastAsia="Calibri" w:hAnsi="Arial" w:cs="Arial"/>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2A3299"/>
    <w:multiLevelType w:val="hybridMultilevel"/>
    <w:tmpl w:val="AE6CD05E"/>
    <w:lvl w:ilvl="0" w:tplc="EC844D30">
      <w:start w:val="1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1C125B"/>
    <w:multiLevelType w:val="hybridMultilevel"/>
    <w:tmpl w:val="60201052"/>
    <w:lvl w:ilvl="0" w:tplc="08A01DE6">
      <w:start w:val="1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2802FB4"/>
    <w:multiLevelType w:val="hybridMultilevel"/>
    <w:tmpl w:val="9B54964A"/>
    <w:lvl w:ilvl="0" w:tplc="0FFED4C2">
      <w:start w:val="1"/>
      <w:numFmt w:val="low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04507E"/>
    <w:multiLevelType w:val="multilevel"/>
    <w:tmpl w:val="E9F63596"/>
    <w:styleLink w:val="CurrentList1"/>
    <w:lvl w:ilvl="0">
      <w:start w:val="1"/>
      <w:numFmt w:val="decimal"/>
      <w:lvlText w:val="%1."/>
      <w:lvlJc w:val="left"/>
      <w:pPr>
        <w:ind w:left="1080" w:hanging="360"/>
      </w:pPr>
      <w:rPr>
        <w:rFonts w:ascii="Arial" w:eastAsia="Calibri" w:hAnsi="Arial" w:cs="Arial"/>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2964F19"/>
    <w:multiLevelType w:val="hybridMultilevel"/>
    <w:tmpl w:val="348EB52C"/>
    <w:lvl w:ilvl="0" w:tplc="0F688142">
      <w:start w:val="1"/>
      <w:numFmt w:val="low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371B3BD1"/>
    <w:multiLevelType w:val="hybridMultilevel"/>
    <w:tmpl w:val="663C9C30"/>
    <w:lvl w:ilvl="0" w:tplc="68B8F05C">
      <w:start w:val="1"/>
      <w:numFmt w:val="decimal"/>
      <w:lvlText w:val="%1."/>
      <w:lvlJc w:val="left"/>
      <w:pPr>
        <w:ind w:left="1440"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DB500FB"/>
    <w:multiLevelType w:val="hybridMultilevel"/>
    <w:tmpl w:val="50FEA994"/>
    <w:lvl w:ilvl="0" w:tplc="0A6AE3E4">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E8A008D"/>
    <w:multiLevelType w:val="hybridMultilevel"/>
    <w:tmpl w:val="416C234C"/>
    <w:lvl w:ilvl="0" w:tplc="6DA001DA">
      <w:start w:val="1"/>
      <w:numFmt w:val="decimal"/>
      <w:lvlText w:val="%1."/>
      <w:lvlJc w:val="left"/>
      <w:pPr>
        <w:ind w:left="2160" w:hanging="720"/>
      </w:pPr>
      <w:rPr>
        <w:rFonts w:ascii="Arial" w:eastAsia="Calibri" w:hAnsi="Arial" w:cs="Arial"/>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F6B3560"/>
    <w:multiLevelType w:val="hybridMultilevel"/>
    <w:tmpl w:val="CC9613F8"/>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1" w15:restartNumberingAfterBreak="0">
    <w:nsid w:val="41FE7EA5"/>
    <w:multiLevelType w:val="hybridMultilevel"/>
    <w:tmpl w:val="F856BD6A"/>
    <w:lvl w:ilvl="0" w:tplc="5BB21EC0">
      <w:start w:val="1"/>
      <w:numFmt w:val="upperLetter"/>
      <w:lvlText w:val="%1."/>
      <w:lvlJc w:val="left"/>
      <w:pPr>
        <w:ind w:left="1440" w:hanging="720"/>
      </w:pPr>
      <w:rPr>
        <w:rFonts w:ascii="Arial" w:eastAsia="Calibri"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26BFC"/>
    <w:multiLevelType w:val="hybridMultilevel"/>
    <w:tmpl w:val="34F86234"/>
    <w:lvl w:ilvl="0" w:tplc="BA9472F6">
      <w:start w:val="1"/>
      <w:numFmt w:val="upperLetter"/>
      <w:pStyle w:val="Heading2"/>
      <w:lvlText w:val="%1."/>
      <w:lvlJc w:val="left"/>
      <w:pPr>
        <w:ind w:left="1440" w:hanging="72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5BAB94C">
      <w:start w:val="1"/>
      <w:numFmt w:val="decimal"/>
      <w:lvlText w:val="%4."/>
      <w:lvlJc w:val="left"/>
      <w:pPr>
        <w:ind w:left="3240" w:hanging="360"/>
      </w:pPr>
      <w:rPr>
        <w:rFonts w:ascii="Arial" w:hAnsi="Arial" w:cs="Arial" w:hint="default"/>
        <w:b/>
        <w:bCs/>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3B049EB"/>
    <w:multiLevelType w:val="hybridMultilevel"/>
    <w:tmpl w:val="0848307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5A96CCF"/>
    <w:multiLevelType w:val="hybridMultilevel"/>
    <w:tmpl w:val="2CE845EE"/>
    <w:lvl w:ilvl="0" w:tplc="2A36E656">
      <w:start w:val="1"/>
      <w:numFmt w:val="lowerLetter"/>
      <w:lvlText w:val="%1."/>
      <w:lvlJc w:val="left"/>
      <w:pPr>
        <w:ind w:left="1440" w:hanging="360"/>
      </w:pPr>
      <w:rPr>
        <w:rFonts w:ascii="Calibri" w:eastAsia="Times New Roman" w:hAnsi="Calibri"/>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58D228FF"/>
    <w:multiLevelType w:val="hybridMultilevel"/>
    <w:tmpl w:val="455A19C8"/>
    <w:lvl w:ilvl="0" w:tplc="5AA4B88E">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D221A8"/>
    <w:multiLevelType w:val="hybridMultilevel"/>
    <w:tmpl w:val="CB46E27C"/>
    <w:lvl w:ilvl="0" w:tplc="5C34A086">
      <w:start w:val="1"/>
      <w:numFmt w:val="decimal"/>
      <w:lvlText w:val="%1."/>
      <w:lvlJc w:val="left"/>
      <w:pPr>
        <w:ind w:left="1080" w:hanging="360"/>
      </w:pPr>
      <w:rPr>
        <w:rFonts w:ascii="Arial" w:eastAsia="Calibri" w:hAnsi="Arial" w:cs="Arial"/>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203FF2"/>
    <w:multiLevelType w:val="hybridMultilevel"/>
    <w:tmpl w:val="B638FC26"/>
    <w:lvl w:ilvl="0" w:tplc="8AFA29C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2441A32"/>
    <w:multiLevelType w:val="hybridMultilevel"/>
    <w:tmpl w:val="89CA92B2"/>
    <w:lvl w:ilvl="0" w:tplc="E7E04110">
      <w:start w:val="1"/>
      <w:numFmt w:val="upperRoman"/>
      <w:pStyle w:val="Heading1"/>
      <w:lvlText w:val="%1."/>
      <w:lvlJc w:val="left"/>
      <w:pPr>
        <w:ind w:left="720" w:hanging="720"/>
      </w:pPr>
      <w:rPr>
        <w:rFonts w:ascii="Arial" w:eastAsia="Calibri" w:hAnsi="Arial" w:cs="Arial"/>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A88F382">
      <w:start w:val="1"/>
      <w:numFmt w:val="decimal"/>
      <w:lvlText w:val="%4."/>
      <w:lvlJc w:val="left"/>
      <w:pPr>
        <w:ind w:left="2520" w:hanging="360"/>
      </w:pPr>
      <w:rPr>
        <w:b/>
        <w:bCs/>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F067E12"/>
    <w:multiLevelType w:val="hybridMultilevel"/>
    <w:tmpl w:val="91C47A7C"/>
    <w:lvl w:ilvl="0" w:tplc="06B481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76E87B6E"/>
    <w:multiLevelType w:val="hybridMultilevel"/>
    <w:tmpl w:val="1E3094B2"/>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1" w15:restartNumberingAfterBreak="0">
    <w:nsid w:val="77E8400E"/>
    <w:multiLevelType w:val="hybridMultilevel"/>
    <w:tmpl w:val="3F2C0398"/>
    <w:lvl w:ilvl="0" w:tplc="177E93DA">
      <w:start w:val="1"/>
      <w:numFmt w:val="decimal"/>
      <w:lvlText w:val="%1."/>
      <w:lvlJc w:val="left"/>
      <w:pPr>
        <w:ind w:left="1080" w:hanging="360"/>
      </w:pPr>
      <w:rPr>
        <w:rFonts w:ascii="Arial" w:eastAsia="Times New Roman" w:hAnsi="Arial"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62622703">
    <w:abstractNumId w:val="18"/>
  </w:num>
  <w:num w:numId="2" w16cid:durableId="1039818293">
    <w:abstractNumId w:val="8"/>
  </w:num>
  <w:num w:numId="3" w16cid:durableId="1301498784">
    <w:abstractNumId w:val="17"/>
  </w:num>
  <w:num w:numId="4" w16cid:durableId="1590656491">
    <w:abstractNumId w:val="12"/>
  </w:num>
  <w:num w:numId="5" w16cid:durableId="768352911">
    <w:abstractNumId w:val="19"/>
  </w:num>
  <w:num w:numId="6" w16cid:durableId="2132894832">
    <w:abstractNumId w:val="7"/>
  </w:num>
  <w:num w:numId="7" w16cid:durableId="1183937793">
    <w:abstractNumId w:val="14"/>
  </w:num>
  <w:num w:numId="8" w16cid:durableId="182402028">
    <w:abstractNumId w:val="1"/>
  </w:num>
  <w:num w:numId="9" w16cid:durableId="1208955550">
    <w:abstractNumId w:val="21"/>
  </w:num>
  <w:num w:numId="10" w16cid:durableId="568229746">
    <w:abstractNumId w:val="6"/>
  </w:num>
  <w:num w:numId="11" w16cid:durableId="72355534">
    <w:abstractNumId w:val="2"/>
  </w:num>
  <w:num w:numId="12" w16cid:durableId="1088968464">
    <w:abstractNumId w:val="3"/>
  </w:num>
  <w:num w:numId="13" w16cid:durableId="2034649624">
    <w:abstractNumId w:val="20"/>
  </w:num>
  <w:num w:numId="14" w16cid:durableId="314840006">
    <w:abstractNumId w:val="9"/>
  </w:num>
  <w:num w:numId="15" w16cid:durableId="945045539">
    <w:abstractNumId w:val="10"/>
  </w:num>
  <w:num w:numId="16" w16cid:durableId="283074237">
    <w:abstractNumId w:val="11"/>
  </w:num>
  <w:num w:numId="17" w16cid:durableId="377584692">
    <w:abstractNumId w:val="0"/>
  </w:num>
  <w:num w:numId="18" w16cid:durableId="2144692316">
    <w:abstractNumId w:val="16"/>
  </w:num>
  <w:num w:numId="19" w16cid:durableId="1361278341">
    <w:abstractNumId w:val="15"/>
  </w:num>
  <w:num w:numId="20" w16cid:durableId="1031606851">
    <w:abstractNumId w:val="5"/>
  </w:num>
  <w:num w:numId="21" w16cid:durableId="1087314372">
    <w:abstractNumId w:val="4"/>
  </w:num>
  <w:num w:numId="22" w16cid:durableId="129827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762B"/>
    <w:rsid w:val="00011383"/>
    <w:rsid w:val="00011EB8"/>
    <w:rsid w:val="00013730"/>
    <w:rsid w:val="000142DA"/>
    <w:rsid w:val="00015857"/>
    <w:rsid w:val="0001748E"/>
    <w:rsid w:val="00021604"/>
    <w:rsid w:val="00022A7B"/>
    <w:rsid w:val="000241A3"/>
    <w:rsid w:val="00027F4D"/>
    <w:rsid w:val="0003011B"/>
    <w:rsid w:val="000313BE"/>
    <w:rsid w:val="000342B1"/>
    <w:rsid w:val="00035CEB"/>
    <w:rsid w:val="000372A2"/>
    <w:rsid w:val="00037314"/>
    <w:rsid w:val="000377AB"/>
    <w:rsid w:val="00037965"/>
    <w:rsid w:val="0004055F"/>
    <w:rsid w:val="00040C1D"/>
    <w:rsid w:val="00041AC8"/>
    <w:rsid w:val="00041B02"/>
    <w:rsid w:val="00042C0D"/>
    <w:rsid w:val="000478BF"/>
    <w:rsid w:val="000501DF"/>
    <w:rsid w:val="00051F40"/>
    <w:rsid w:val="00052B1A"/>
    <w:rsid w:val="00053AF5"/>
    <w:rsid w:val="000565C4"/>
    <w:rsid w:val="000624F6"/>
    <w:rsid w:val="0006428E"/>
    <w:rsid w:val="00066AC5"/>
    <w:rsid w:val="00066FDD"/>
    <w:rsid w:val="0007545E"/>
    <w:rsid w:val="00081070"/>
    <w:rsid w:val="000810EB"/>
    <w:rsid w:val="00085792"/>
    <w:rsid w:val="00085D0A"/>
    <w:rsid w:val="00086EB2"/>
    <w:rsid w:val="00087ED2"/>
    <w:rsid w:val="00090F88"/>
    <w:rsid w:val="00097F3F"/>
    <w:rsid w:val="000A04AD"/>
    <w:rsid w:val="000A3AA5"/>
    <w:rsid w:val="000A3DD5"/>
    <w:rsid w:val="000A3F15"/>
    <w:rsid w:val="000A40DE"/>
    <w:rsid w:val="000A4D52"/>
    <w:rsid w:val="000A5367"/>
    <w:rsid w:val="000B1C12"/>
    <w:rsid w:val="000B6E5C"/>
    <w:rsid w:val="000C1E76"/>
    <w:rsid w:val="000D1874"/>
    <w:rsid w:val="000D21AC"/>
    <w:rsid w:val="000D4390"/>
    <w:rsid w:val="000D52F0"/>
    <w:rsid w:val="000D7E68"/>
    <w:rsid w:val="000E01DB"/>
    <w:rsid w:val="000E2393"/>
    <w:rsid w:val="000E25C8"/>
    <w:rsid w:val="000E5972"/>
    <w:rsid w:val="000E6424"/>
    <w:rsid w:val="000E72BA"/>
    <w:rsid w:val="000E7E50"/>
    <w:rsid w:val="000E7ECE"/>
    <w:rsid w:val="000F0004"/>
    <w:rsid w:val="000F0210"/>
    <w:rsid w:val="000F079C"/>
    <w:rsid w:val="000F1051"/>
    <w:rsid w:val="000F159B"/>
    <w:rsid w:val="000F58F8"/>
    <w:rsid w:val="001001B0"/>
    <w:rsid w:val="001032C6"/>
    <w:rsid w:val="00103694"/>
    <w:rsid w:val="0010425A"/>
    <w:rsid w:val="0010686A"/>
    <w:rsid w:val="00107ABC"/>
    <w:rsid w:val="00111376"/>
    <w:rsid w:val="00114DF9"/>
    <w:rsid w:val="00114E24"/>
    <w:rsid w:val="00120A36"/>
    <w:rsid w:val="00120DC5"/>
    <w:rsid w:val="0012154B"/>
    <w:rsid w:val="0012365E"/>
    <w:rsid w:val="00123A37"/>
    <w:rsid w:val="00130723"/>
    <w:rsid w:val="00130CC8"/>
    <w:rsid w:val="001315CF"/>
    <w:rsid w:val="00131939"/>
    <w:rsid w:val="001338B2"/>
    <w:rsid w:val="00140698"/>
    <w:rsid w:val="00141CBA"/>
    <w:rsid w:val="001428A6"/>
    <w:rsid w:val="00143E06"/>
    <w:rsid w:val="00146471"/>
    <w:rsid w:val="00146C2B"/>
    <w:rsid w:val="00147B50"/>
    <w:rsid w:val="0015040E"/>
    <w:rsid w:val="00152481"/>
    <w:rsid w:val="001537DD"/>
    <w:rsid w:val="001603A6"/>
    <w:rsid w:val="00160F2D"/>
    <w:rsid w:val="001614AC"/>
    <w:rsid w:val="001628CD"/>
    <w:rsid w:val="00164E39"/>
    <w:rsid w:val="0016523E"/>
    <w:rsid w:val="001674E9"/>
    <w:rsid w:val="0017006A"/>
    <w:rsid w:val="00172505"/>
    <w:rsid w:val="00172595"/>
    <w:rsid w:val="00174A35"/>
    <w:rsid w:val="00175EE1"/>
    <w:rsid w:val="00176BC8"/>
    <w:rsid w:val="00187CFC"/>
    <w:rsid w:val="001916F3"/>
    <w:rsid w:val="00192B17"/>
    <w:rsid w:val="0019321E"/>
    <w:rsid w:val="001958FC"/>
    <w:rsid w:val="00196333"/>
    <w:rsid w:val="001A3616"/>
    <w:rsid w:val="001A5FB5"/>
    <w:rsid w:val="001A675A"/>
    <w:rsid w:val="001B0615"/>
    <w:rsid w:val="001B156D"/>
    <w:rsid w:val="001B694B"/>
    <w:rsid w:val="001B7436"/>
    <w:rsid w:val="001C2784"/>
    <w:rsid w:val="001D2460"/>
    <w:rsid w:val="001D3148"/>
    <w:rsid w:val="001D4D98"/>
    <w:rsid w:val="001E046F"/>
    <w:rsid w:val="001E15BD"/>
    <w:rsid w:val="001E3E58"/>
    <w:rsid w:val="001E4DE1"/>
    <w:rsid w:val="001E5A93"/>
    <w:rsid w:val="001E6ABC"/>
    <w:rsid w:val="001F110F"/>
    <w:rsid w:val="001F1910"/>
    <w:rsid w:val="001F29D9"/>
    <w:rsid w:val="001F3316"/>
    <w:rsid w:val="001F47CB"/>
    <w:rsid w:val="001F4D87"/>
    <w:rsid w:val="001F4DC7"/>
    <w:rsid w:val="001F59F7"/>
    <w:rsid w:val="001F5BF3"/>
    <w:rsid w:val="001F65E7"/>
    <w:rsid w:val="00200A99"/>
    <w:rsid w:val="0020100A"/>
    <w:rsid w:val="00201C05"/>
    <w:rsid w:val="00201CF2"/>
    <w:rsid w:val="00201EF6"/>
    <w:rsid w:val="002029AB"/>
    <w:rsid w:val="002067C3"/>
    <w:rsid w:val="00206BB8"/>
    <w:rsid w:val="002071D8"/>
    <w:rsid w:val="00220BE7"/>
    <w:rsid w:val="00221A0E"/>
    <w:rsid w:val="00222CCF"/>
    <w:rsid w:val="00223E22"/>
    <w:rsid w:val="00225954"/>
    <w:rsid w:val="0022709E"/>
    <w:rsid w:val="00231B61"/>
    <w:rsid w:val="00233530"/>
    <w:rsid w:val="00233804"/>
    <w:rsid w:val="00233E7F"/>
    <w:rsid w:val="0023539B"/>
    <w:rsid w:val="0024347D"/>
    <w:rsid w:val="0024388E"/>
    <w:rsid w:val="00244488"/>
    <w:rsid w:val="00245097"/>
    <w:rsid w:val="00255364"/>
    <w:rsid w:val="002556ED"/>
    <w:rsid w:val="00264E57"/>
    <w:rsid w:val="0027562B"/>
    <w:rsid w:val="00275CBB"/>
    <w:rsid w:val="00280D59"/>
    <w:rsid w:val="00283AAB"/>
    <w:rsid w:val="00285262"/>
    <w:rsid w:val="002863DE"/>
    <w:rsid w:val="00290A91"/>
    <w:rsid w:val="00292894"/>
    <w:rsid w:val="0029747F"/>
    <w:rsid w:val="00297A73"/>
    <w:rsid w:val="002A0F36"/>
    <w:rsid w:val="002A27D5"/>
    <w:rsid w:val="002A5F04"/>
    <w:rsid w:val="002B0092"/>
    <w:rsid w:val="002B3FED"/>
    <w:rsid w:val="002C23B4"/>
    <w:rsid w:val="002C3809"/>
    <w:rsid w:val="002C39AC"/>
    <w:rsid w:val="002C56AF"/>
    <w:rsid w:val="002C628C"/>
    <w:rsid w:val="002D3143"/>
    <w:rsid w:val="002D44E1"/>
    <w:rsid w:val="002D6989"/>
    <w:rsid w:val="002E0945"/>
    <w:rsid w:val="002E0DAE"/>
    <w:rsid w:val="002E1D3C"/>
    <w:rsid w:val="002E1EC5"/>
    <w:rsid w:val="002E2B96"/>
    <w:rsid w:val="002E38C2"/>
    <w:rsid w:val="002E6D27"/>
    <w:rsid w:val="002F411A"/>
    <w:rsid w:val="002F5539"/>
    <w:rsid w:val="002F6E11"/>
    <w:rsid w:val="002F70DC"/>
    <w:rsid w:val="00301140"/>
    <w:rsid w:val="00301CAB"/>
    <w:rsid w:val="00303B89"/>
    <w:rsid w:val="00304356"/>
    <w:rsid w:val="00310496"/>
    <w:rsid w:val="00310A7C"/>
    <w:rsid w:val="00313168"/>
    <w:rsid w:val="003143A7"/>
    <w:rsid w:val="003153AD"/>
    <w:rsid w:val="00317010"/>
    <w:rsid w:val="00317273"/>
    <w:rsid w:val="00322A18"/>
    <w:rsid w:val="00324392"/>
    <w:rsid w:val="00326F68"/>
    <w:rsid w:val="003272EB"/>
    <w:rsid w:val="00330578"/>
    <w:rsid w:val="003323A9"/>
    <w:rsid w:val="00333604"/>
    <w:rsid w:val="003355A4"/>
    <w:rsid w:val="0033590E"/>
    <w:rsid w:val="0034001F"/>
    <w:rsid w:val="00342918"/>
    <w:rsid w:val="00342ED1"/>
    <w:rsid w:val="00345CAE"/>
    <w:rsid w:val="00346672"/>
    <w:rsid w:val="00350C2D"/>
    <w:rsid w:val="003533E8"/>
    <w:rsid w:val="0035683F"/>
    <w:rsid w:val="00362095"/>
    <w:rsid w:val="003628D5"/>
    <w:rsid w:val="00363278"/>
    <w:rsid w:val="00363A43"/>
    <w:rsid w:val="00363D0E"/>
    <w:rsid w:val="00364461"/>
    <w:rsid w:val="00364C49"/>
    <w:rsid w:val="003712F7"/>
    <w:rsid w:val="0037143E"/>
    <w:rsid w:val="003721E0"/>
    <w:rsid w:val="00372D91"/>
    <w:rsid w:val="003730AA"/>
    <w:rsid w:val="0037394F"/>
    <w:rsid w:val="003742C4"/>
    <w:rsid w:val="0038154F"/>
    <w:rsid w:val="003846B2"/>
    <w:rsid w:val="00386CA1"/>
    <w:rsid w:val="00390D43"/>
    <w:rsid w:val="003910F3"/>
    <w:rsid w:val="003A337A"/>
    <w:rsid w:val="003A5D8B"/>
    <w:rsid w:val="003B1B7B"/>
    <w:rsid w:val="003B26A2"/>
    <w:rsid w:val="003B2C2A"/>
    <w:rsid w:val="003B4A7F"/>
    <w:rsid w:val="003B704F"/>
    <w:rsid w:val="003C1B6D"/>
    <w:rsid w:val="003C2435"/>
    <w:rsid w:val="003C3770"/>
    <w:rsid w:val="003C3966"/>
    <w:rsid w:val="003C6349"/>
    <w:rsid w:val="003D0616"/>
    <w:rsid w:val="003D15B1"/>
    <w:rsid w:val="003D21C2"/>
    <w:rsid w:val="003D23BD"/>
    <w:rsid w:val="003D28E9"/>
    <w:rsid w:val="003D2912"/>
    <w:rsid w:val="003D3008"/>
    <w:rsid w:val="003D5719"/>
    <w:rsid w:val="003D6583"/>
    <w:rsid w:val="003D77D8"/>
    <w:rsid w:val="003E2663"/>
    <w:rsid w:val="003E362C"/>
    <w:rsid w:val="003E3DE1"/>
    <w:rsid w:val="003E5A7B"/>
    <w:rsid w:val="003F0E47"/>
    <w:rsid w:val="003F270E"/>
    <w:rsid w:val="003F4500"/>
    <w:rsid w:val="003F4B75"/>
    <w:rsid w:val="00400C2B"/>
    <w:rsid w:val="00402A77"/>
    <w:rsid w:val="00403D95"/>
    <w:rsid w:val="00403EF8"/>
    <w:rsid w:val="00404D8C"/>
    <w:rsid w:val="00411162"/>
    <w:rsid w:val="004135A5"/>
    <w:rsid w:val="0041557A"/>
    <w:rsid w:val="00415DE6"/>
    <w:rsid w:val="004237A8"/>
    <w:rsid w:val="00424A09"/>
    <w:rsid w:val="00424E7C"/>
    <w:rsid w:val="00426D3D"/>
    <w:rsid w:val="00427812"/>
    <w:rsid w:val="0043137A"/>
    <w:rsid w:val="004315A2"/>
    <w:rsid w:val="00442B38"/>
    <w:rsid w:val="00444529"/>
    <w:rsid w:val="00446D0A"/>
    <w:rsid w:val="00447348"/>
    <w:rsid w:val="0045003B"/>
    <w:rsid w:val="00450FAF"/>
    <w:rsid w:val="00451ED4"/>
    <w:rsid w:val="0045317B"/>
    <w:rsid w:val="00456259"/>
    <w:rsid w:val="00457478"/>
    <w:rsid w:val="0046138A"/>
    <w:rsid w:val="00462D3A"/>
    <w:rsid w:val="00466A67"/>
    <w:rsid w:val="004704A9"/>
    <w:rsid w:val="00472E6F"/>
    <w:rsid w:val="004736E8"/>
    <w:rsid w:val="00477D6F"/>
    <w:rsid w:val="00481425"/>
    <w:rsid w:val="00481DAE"/>
    <w:rsid w:val="00483DC4"/>
    <w:rsid w:val="00487BA2"/>
    <w:rsid w:val="0049323C"/>
    <w:rsid w:val="0049528C"/>
    <w:rsid w:val="00495DD3"/>
    <w:rsid w:val="00496AAB"/>
    <w:rsid w:val="00496C28"/>
    <w:rsid w:val="004A0903"/>
    <w:rsid w:val="004A1D83"/>
    <w:rsid w:val="004A6347"/>
    <w:rsid w:val="004A7736"/>
    <w:rsid w:val="004B1984"/>
    <w:rsid w:val="004B5099"/>
    <w:rsid w:val="004B6F5F"/>
    <w:rsid w:val="004C1BBF"/>
    <w:rsid w:val="004C325B"/>
    <w:rsid w:val="004C37D4"/>
    <w:rsid w:val="004C4E03"/>
    <w:rsid w:val="004C64A6"/>
    <w:rsid w:val="004C7650"/>
    <w:rsid w:val="004D2864"/>
    <w:rsid w:val="004D3282"/>
    <w:rsid w:val="004D3400"/>
    <w:rsid w:val="004D5AC7"/>
    <w:rsid w:val="004D7949"/>
    <w:rsid w:val="004E09F9"/>
    <w:rsid w:val="004E2CED"/>
    <w:rsid w:val="004E58DA"/>
    <w:rsid w:val="004E6FFF"/>
    <w:rsid w:val="004E7541"/>
    <w:rsid w:val="004E7E17"/>
    <w:rsid w:val="004F1251"/>
    <w:rsid w:val="004F14DF"/>
    <w:rsid w:val="004F1D75"/>
    <w:rsid w:val="004F3A80"/>
    <w:rsid w:val="004F5954"/>
    <w:rsid w:val="004F6017"/>
    <w:rsid w:val="004F62AF"/>
    <w:rsid w:val="004F79A9"/>
    <w:rsid w:val="005007B0"/>
    <w:rsid w:val="00500808"/>
    <w:rsid w:val="00505A42"/>
    <w:rsid w:val="00506207"/>
    <w:rsid w:val="0050667B"/>
    <w:rsid w:val="00506A09"/>
    <w:rsid w:val="00517898"/>
    <w:rsid w:val="00517F0B"/>
    <w:rsid w:val="0052152C"/>
    <w:rsid w:val="00530D10"/>
    <w:rsid w:val="005311A3"/>
    <w:rsid w:val="0053279F"/>
    <w:rsid w:val="00535367"/>
    <w:rsid w:val="00541193"/>
    <w:rsid w:val="00543F56"/>
    <w:rsid w:val="00544384"/>
    <w:rsid w:val="00544ADC"/>
    <w:rsid w:val="00550652"/>
    <w:rsid w:val="00551D0C"/>
    <w:rsid w:val="005574CD"/>
    <w:rsid w:val="00557656"/>
    <w:rsid w:val="0056336C"/>
    <w:rsid w:val="00564A9E"/>
    <w:rsid w:val="00566AE3"/>
    <w:rsid w:val="00570B7B"/>
    <w:rsid w:val="00570F8C"/>
    <w:rsid w:val="005723AD"/>
    <w:rsid w:val="005749C6"/>
    <w:rsid w:val="0057688B"/>
    <w:rsid w:val="005777AA"/>
    <w:rsid w:val="00580352"/>
    <w:rsid w:val="0058767F"/>
    <w:rsid w:val="00591A0F"/>
    <w:rsid w:val="00595B2D"/>
    <w:rsid w:val="005A0525"/>
    <w:rsid w:val="005A1159"/>
    <w:rsid w:val="005A2AC7"/>
    <w:rsid w:val="005A48F2"/>
    <w:rsid w:val="005A7019"/>
    <w:rsid w:val="005B0A52"/>
    <w:rsid w:val="005B300F"/>
    <w:rsid w:val="005B38F2"/>
    <w:rsid w:val="005B3FD4"/>
    <w:rsid w:val="005B6172"/>
    <w:rsid w:val="005C1504"/>
    <w:rsid w:val="005C36DE"/>
    <w:rsid w:val="005C3A8C"/>
    <w:rsid w:val="005C66D1"/>
    <w:rsid w:val="005D0030"/>
    <w:rsid w:val="005D151E"/>
    <w:rsid w:val="005D3D32"/>
    <w:rsid w:val="005E0BE3"/>
    <w:rsid w:val="005E3FB6"/>
    <w:rsid w:val="005E62E7"/>
    <w:rsid w:val="005F1294"/>
    <w:rsid w:val="005F33F8"/>
    <w:rsid w:val="005F3CFA"/>
    <w:rsid w:val="005F6303"/>
    <w:rsid w:val="005F6968"/>
    <w:rsid w:val="005F7A21"/>
    <w:rsid w:val="005F7E61"/>
    <w:rsid w:val="006004F7"/>
    <w:rsid w:val="00601463"/>
    <w:rsid w:val="00601ED2"/>
    <w:rsid w:val="006027E2"/>
    <w:rsid w:val="006032EA"/>
    <w:rsid w:val="00604728"/>
    <w:rsid w:val="00604A05"/>
    <w:rsid w:val="0060720C"/>
    <w:rsid w:val="006073EE"/>
    <w:rsid w:val="00611E3C"/>
    <w:rsid w:val="00612DAC"/>
    <w:rsid w:val="00621F86"/>
    <w:rsid w:val="0062281A"/>
    <w:rsid w:val="00627EF5"/>
    <w:rsid w:val="00632AEF"/>
    <w:rsid w:val="006352F6"/>
    <w:rsid w:val="00641284"/>
    <w:rsid w:val="0064275D"/>
    <w:rsid w:val="00644231"/>
    <w:rsid w:val="00644A27"/>
    <w:rsid w:val="0065108C"/>
    <w:rsid w:val="00651196"/>
    <w:rsid w:val="006514D2"/>
    <w:rsid w:val="00653854"/>
    <w:rsid w:val="00653BB1"/>
    <w:rsid w:val="00655634"/>
    <w:rsid w:val="00655A6E"/>
    <w:rsid w:val="00655EBD"/>
    <w:rsid w:val="00662C5F"/>
    <w:rsid w:val="006635DF"/>
    <w:rsid w:val="0066439B"/>
    <w:rsid w:val="00671044"/>
    <w:rsid w:val="006722AF"/>
    <w:rsid w:val="00673BB0"/>
    <w:rsid w:val="00682571"/>
    <w:rsid w:val="00683C9F"/>
    <w:rsid w:val="00684FA0"/>
    <w:rsid w:val="00685DED"/>
    <w:rsid w:val="00692850"/>
    <w:rsid w:val="006939A9"/>
    <w:rsid w:val="00693D57"/>
    <w:rsid w:val="00695BD0"/>
    <w:rsid w:val="0069640B"/>
    <w:rsid w:val="006979CE"/>
    <w:rsid w:val="006B0901"/>
    <w:rsid w:val="006B1035"/>
    <w:rsid w:val="006B1862"/>
    <w:rsid w:val="006B5027"/>
    <w:rsid w:val="006B6325"/>
    <w:rsid w:val="006C11F5"/>
    <w:rsid w:val="006D2601"/>
    <w:rsid w:val="006D3081"/>
    <w:rsid w:val="006E0A54"/>
    <w:rsid w:val="006E3059"/>
    <w:rsid w:val="006E40B7"/>
    <w:rsid w:val="006E43D2"/>
    <w:rsid w:val="006F055E"/>
    <w:rsid w:val="006F28ED"/>
    <w:rsid w:val="006F2A87"/>
    <w:rsid w:val="006F76D2"/>
    <w:rsid w:val="006F7715"/>
    <w:rsid w:val="007016B3"/>
    <w:rsid w:val="0070382B"/>
    <w:rsid w:val="00704A44"/>
    <w:rsid w:val="00713335"/>
    <w:rsid w:val="007137AE"/>
    <w:rsid w:val="00713967"/>
    <w:rsid w:val="00715307"/>
    <w:rsid w:val="00716448"/>
    <w:rsid w:val="007174BF"/>
    <w:rsid w:val="00717E81"/>
    <w:rsid w:val="00721D6D"/>
    <w:rsid w:val="00722EFE"/>
    <w:rsid w:val="00723735"/>
    <w:rsid w:val="00726B25"/>
    <w:rsid w:val="007275B5"/>
    <w:rsid w:val="007312A8"/>
    <w:rsid w:val="007315F4"/>
    <w:rsid w:val="00732C33"/>
    <w:rsid w:val="00740E3F"/>
    <w:rsid w:val="007440F7"/>
    <w:rsid w:val="00747B47"/>
    <w:rsid w:val="0075540D"/>
    <w:rsid w:val="00756EBB"/>
    <w:rsid w:val="0075758B"/>
    <w:rsid w:val="00757E0F"/>
    <w:rsid w:val="0076678E"/>
    <w:rsid w:val="007674FC"/>
    <w:rsid w:val="00774468"/>
    <w:rsid w:val="0077635B"/>
    <w:rsid w:val="0077737B"/>
    <w:rsid w:val="00783A24"/>
    <w:rsid w:val="00784BD4"/>
    <w:rsid w:val="00786D80"/>
    <w:rsid w:val="00790A50"/>
    <w:rsid w:val="00791ABF"/>
    <w:rsid w:val="00792500"/>
    <w:rsid w:val="007930A2"/>
    <w:rsid w:val="00793212"/>
    <w:rsid w:val="00794D17"/>
    <w:rsid w:val="00796186"/>
    <w:rsid w:val="007A223D"/>
    <w:rsid w:val="007A5109"/>
    <w:rsid w:val="007A7D6B"/>
    <w:rsid w:val="007B008B"/>
    <w:rsid w:val="007B0F4E"/>
    <w:rsid w:val="007B1CDB"/>
    <w:rsid w:val="007B1E0B"/>
    <w:rsid w:val="007B31A9"/>
    <w:rsid w:val="007B6333"/>
    <w:rsid w:val="007B6378"/>
    <w:rsid w:val="007C624E"/>
    <w:rsid w:val="007D584D"/>
    <w:rsid w:val="007D58F2"/>
    <w:rsid w:val="007D7B27"/>
    <w:rsid w:val="007E1B00"/>
    <w:rsid w:val="007E2EF0"/>
    <w:rsid w:val="007E7E6D"/>
    <w:rsid w:val="007F09BF"/>
    <w:rsid w:val="007F0DED"/>
    <w:rsid w:val="007F0F83"/>
    <w:rsid w:val="007F13CC"/>
    <w:rsid w:val="007F1A7A"/>
    <w:rsid w:val="007F1B70"/>
    <w:rsid w:val="007F4833"/>
    <w:rsid w:val="007F4AAB"/>
    <w:rsid w:val="008009C1"/>
    <w:rsid w:val="00803212"/>
    <w:rsid w:val="00803F7C"/>
    <w:rsid w:val="00804B7C"/>
    <w:rsid w:val="00804C91"/>
    <w:rsid w:val="008061DE"/>
    <w:rsid w:val="00806EB1"/>
    <w:rsid w:val="00806F46"/>
    <w:rsid w:val="00815D84"/>
    <w:rsid w:val="00816129"/>
    <w:rsid w:val="00816A98"/>
    <w:rsid w:val="0081762B"/>
    <w:rsid w:val="00820C3B"/>
    <w:rsid w:val="00822B5A"/>
    <w:rsid w:val="00822D6B"/>
    <w:rsid w:val="008233E5"/>
    <w:rsid w:val="00823556"/>
    <w:rsid w:val="00831426"/>
    <w:rsid w:val="00832830"/>
    <w:rsid w:val="00833387"/>
    <w:rsid w:val="0083463D"/>
    <w:rsid w:val="00835C50"/>
    <w:rsid w:val="00840EAC"/>
    <w:rsid w:val="00840F04"/>
    <w:rsid w:val="00841D1F"/>
    <w:rsid w:val="00841E6E"/>
    <w:rsid w:val="008439AA"/>
    <w:rsid w:val="00843E03"/>
    <w:rsid w:val="008456DE"/>
    <w:rsid w:val="00847E93"/>
    <w:rsid w:val="008517F4"/>
    <w:rsid w:val="0085183D"/>
    <w:rsid w:val="008549FD"/>
    <w:rsid w:val="00854AB3"/>
    <w:rsid w:val="00855E59"/>
    <w:rsid w:val="008569CE"/>
    <w:rsid w:val="008569D2"/>
    <w:rsid w:val="008606DD"/>
    <w:rsid w:val="0086152B"/>
    <w:rsid w:val="00864562"/>
    <w:rsid w:val="00865910"/>
    <w:rsid w:val="00867A5D"/>
    <w:rsid w:val="00873FAC"/>
    <w:rsid w:val="008755B9"/>
    <w:rsid w:val="00877BA2"/>
    <w:rsid w:val="00880037"/>
    <w:rsid w:val="00880564"/>
    <w:rsid w:val="008805AD"/>
    <w:rsid w:val="00880FF5"/>
    <w:rsid w:val="00882793"/>
    <w:rsid w:val="0088630A"/>
    <w:rsid w:val="00887679"/>
    <w:rsid w:val="00890D24"/>
    <w:rsid w:val="00891823"/>
    <w:rsid w:val="00893B34"/>
    <w:rsid w:val="008941D0"/>
    <w:rsid w:val="008A111A"/>
    <w:rsid w:val="008A13FD"/>
    <w:rsid w:val="008A3A76"/>
    <w:rsid w:val="008A6619"/>
    <w:rsid w:val="008A7901"/>
    <w:rsid w:val="008A7A1C"/>
    <w:rsid w:val="008B1330"/>
    <w:rsid w:val="008B2380"/>
    <w:rsid w:val="008B38FE"/>
    <w:rsid w:val="008B3A28"/>
    <w:rsid w:val="008B3DD4"/>
    <w:rsid w:val="008B5514"/>
    <w:rsid w:val="008B7E23"/>
    <w:rsid w:val="008B7EF6"/>
    <w:rsid w:val="008C112E"/>
    <w:rsid w:val="008C35BC"/>
    <w:rsid w:val="008C391C"/>
    <w:rsid w:val="008C53BA"/>
    <w:rsid w:val="008C79DA"/>
    <w:rsid w:val="008D0125"/>
    <w:rsid w:val="008D0707"/>
    <w:rsid w:val="008D6726"/>
    <w:rsid w:val="008D6ABC"/>
    <w:rsid w:val="008E1FEF"/>
    <w:rsid w:val="008E3AE0"/>
    <w:rsid w:val="008E5A17"/>
    <w:rsid w:val="008F01E0"/>
    <w:rsid w:val="008F0CF3"/>
    <w:rsid w:val="008F1C9D"/>
    <w:rsid w:val="008F24F9"/>
    <w:rsid w:val="008F29C3"/>
    <w:rsid w:val="008F2B34"/>
    <w:rsid w:val="008F3763"/>
    <w:rsid w:val="008F37C5"/>
    <w:rsid w:val="008F4E34"/>
    <w:rsid w:val="008F77B4"/>
    <w:rsid w:val="00901D19"/>
    <w:rsid w:val="00904953"/>
    <w:rsid w:val="00905286"/>
    <w:rsid w:val="00905664"/>
    <w:rsid w:val="00907DA8"/>
    <w:rsid w:val="0091244D"/>
    <w:rsid w:val="009126E9"/>
    <w:rsid w:val="00912F83"/>
    <w:rsid w:val="00914E84"/>
    <w:rsid w:val="00916718"/>
    <w:rsid w:val="00921887"/>
    <w:rsid w:val="00921FD4"/>
    <w:rsid w:val="00922412"/>
    <w:rsid w:val="00923B09"/>
    <w:rsid w:val="009252C6"/>
    <w:rsid w:val="0092627E"/>
    <w:rsid w:val="00930494"/>
    <w:rsid w:val="00930FDF"/>
    <w:rsid w:val="0093262F"/>
    <w:rsid w:val="00934A4E"/>
    <w:rsid w:val="00940DBA"/>
    <w:rsid w:val="00944E80"/>
    <w:rsid w:val="009457A8"/>
    <w:rsid w:val="00945F1A"/>
    <w:rsid w:val="00945F37"/>
    <w:rsid w:val="009468F5"/>
    <w:rsid w:val="00947A0E"/>
    <w:rsid w:val="00953810"/>
    <w:rsid w:val="0095425D"/>
    <w:rsid w:val="00955354"/>
    <w:rsid w:val="00960E13"/>
    <w:rsid w:val="0096172E"/>
    <w:rsid w:val="00963D0F"/>
    <w:rsid w:val="00966769"/>
    <w:rsid w:val="0097024C"/>
    <w:rsid w:val="0097741B"/>
    <w:rsid w:val="00977EFB"/>
    <w:rsid w:val="00985979"/>
    <w:rsid w:val="009862B8"/>
    <w:rsid w:val="00986937"/>
    <w:rsid w:val="009876C2"/>
    <w:rsid w:val="009915F3"/>
    <w:rsid w:val="00991E56"/>
    <w:rsid w:val="009944D7"/>
    <w:rsid w:val="00994D15"/>
    <w:rsid w:val="0099576B"/>
    <w:rsid w:val="00997666"/>
    <w:rsid w:val="009A2658"/>
    <w:rsid w:val="009A277F"/>
    <w:rsid w:val="009A2933"/>
    <w:rsid w:val="009A485B"/>
    <w:rsid w:val="009A4FAA"/>
    <w:rsid w:val="009A615F"/>
    <w:rsid w:val="009B0A05"/>
    <w:rsid w:val="009B25CA"/>
    <w:rsid w:val="009B35F5"/>
    <w:rsid w:val="009B3799"/>
    <w:rsid w:val="009B5CE3"/>
    <w:rsid w:val="009B6D2C"/>
    <w:rsid w:val="009C1EF6"/>
    <w:rsid w:val="009C44A9"/>
    <w:rsid w:val="009D165F"/>
    <w:rsid w:val="009D41F2"/>
    <w:rsid w:val="009D5D38"/>
    <w:rsid w:val="009D6329"/>
    <w:rsid w:val="009D6423"/>
    <w:rsid w:val="009D6840"/>
    <w:rsid w:val="009D6F57"/>
    <w:rsid w:val="009E1434"/>
    <w:rsid w:val="009E22A7"/>
    <w:rsid w:val="009E52ED"/>
    <w:rsid w:val="009E5777"/>
    <w:rsid w:val="009E647B"/>
    <w:rsid w:val="009E74ED"/>
    <w:rsid w:val="009F16FA"/>
    <w:rsid w:val="009F29B8"/>
    <w:rsid w:val="009F475D"/>
    <w:rsid w:val="00A002E8"/>
    <w:rsid w:val="00A0267C"/>
    <w:rsid w:val="00A04D42"/>
    <w:rsid w:val="00A05CD5"/>
    <w:rsid w:val="00A066E3"/>
    <w:rsid w:val="00A0747D"/>
    <w:rsid w:val="00A10CE1"/>
    <w:rsid w:val="00A1109D"/>
    <w:rsid w:val="00A110F2"/>
    <w:rsid w:val="00A1292F"/>
    <w:rsid w:val="00A16007"/>
    <w:rsid w:val="00A16219"/>
    <w:rsid w:val="00A16AA2"/>
    <w:rsid w:val="00A17265"/>
    <w:rsid w:val="00A20A6B"/>
    <w:rsid w:val="00A314DA"/>
    <w:rsid w:val="00A319C9"/>
    <w:rsid w:val="00A322ED"/>
    <w:rsid w:val="00A32A59"/>
    <w:rsid w:val="00A43064"/>
    <w:rsid w:val="00A44F1E"/>
    <w:rsid w:val="00A50D75"/>
    <w:rsid w:val="00A54150"/>
    <w:rsid w:val="00A60693"/>
    <w:rsid w:val="00A60800"/>
    <w:rsid w:val="00A62999"/>
    <w:rsid w:val="00A63790"/>
    <w:rsid w:val="00A63CB1"/>
    <w:rsid w:val="00A646BE"/>
    <w:rsid w:val="00A678FB"/>
    <w:rsid w:val="00A7454D"/>
    <w:rsid w:val="00A7528D"/>
    <w:rsid w:val="00A76332"/>
    <w:rsid w:val="00A768D2"/>
    <w:rsid w:val="00A76C1A"/>
    <w:rsid w:val="00A779D8"/>
    <w:rsid w:val="00A8084D"/>
    <w:rsid w:val="00A81850"/>
    <w:rsid w:val="00A85B51"/>
    <w:rsid w:val="00A8738A"/>
    <w:rsid w:val="00A91A32"/>
    <w:rsid w:val="00A953FC"/>
    <w:rsid w:val="00A97A6F"/>
    <w:rsid w:val="00AA1183"/>
    <w:rsid w:val="00AA3812"/>
    <w:rsid w:val="00AA4F0C"/>
    <w:rsid w:val="00AA65D2"/>
    <w:rsid w:val="00AA71AE"/>
    <w:rsid w:val="00AA77CE"/>
    <w:rsid w:val="00AA7B44"/>
    <w:rsid w:val="00AB37A8"/>
    <w:rsid w:val="00AB3814"/>
    <w:rsid w:val="00AB3CDB"/>
    <w:rsid w:val="00AB58BB"/>
    <w:rsid w:val="00AB5ADB"/>
    <w:rsid w:val="00AC4B50"/>
    <w:rsid w:val="00AC4FA5"/>
    <w:rsid w:val="00AC6248"/>
    <w:rsid w:val="00AD3C07"/>
    <w:rsid w:val="00AD47DE"/>
    <w:rsid w:val="00AD52E1"/>
    <w:rsid w:val="00AD606A"/>
    <w:rsid w:val="00AE5A03"/>
    <w:rsid w:val="00AE646C"/>
    <w:rsid w:val="00AE78CF"/>
    <w:rsid w:val="00AE7FFC"/>
    <w:rsid w:val="00AF120E"/>
    <w:rsid w:val="00AF3983"/>
    <w:rsid w:val="00AF6302"/>
    <w:rsid w:val="00B00607"/>
    <w:rsid w:val="00B05BB8"/>
    <w:rsid w:val="00B07B2E"/>
    <w:rsid w:val="00B100A0"/>
    <w:rsid w:val="00B108A8"/>
    <w:rsid w:val="00B10D29"/>
    <w:rsid w:val="00B119E0"/>
    <w:rsid w:val="00B12D5C"/>
    <w:rsid w:val="00B13AFD"/>
    <w:rsid w:val="00B16EB2"/>
    <w:rsid w:val="00B23A3D"/>
    <w:rsid w:val="00B25504"/>
    <w:rsid w:val="00B25E9C"/>
    <w:rsid w:val="00B31352"/>
    <w:rsid w:val="00B32620"/>
    <w:rsid w:val="00B35F33"/>
    <w:rsid w:val="00B41043"/>
    <w:rsid w:val="00B43A34"/>
    <w:rsid w:val="00B44863"/>
    <w:rsid w:val="00B44866"/>
    <w:rsid w:val="00B4538B"/>
    <w:rsid w:val="00B461DE"/>
    <w:rsid w:val="00B461E0"/>
    <w:rsid w:val="00B50657"/>
    <w:rsid w:val="00B52B03"/>
    <w:rsid w:val="00B547A8"/>
    <w:rsid w:val="00B548D5"/>
    <w:rsid w:val="00B6143D"/>
    <w:rsid w:val="00B6324A"/>
    <w:rsid w:val="00B63A8E"/>
    <w:rsid w:val="00B63E02"/>
    <w:rsid w:val="00B6434D"/>
    <w:rsid w:val="00B64D00"/>
    <w:rsid w:val="00B656AE"/>
    <w:rsid w:val="00B72CEF"/>
    <w:rsid w:val="00B73940"/>
    <w:rsid w:val="00B762BB"/>
    <w:rsid w:val="00B7711A"/>
    <w:rsid w:val="00B93197"/>
    <w:rsid w:val="00B96D35"/>
    <w:rsid w:val="00B979FE"/>
    <w:rsid w:val="00B97A6F"/>
    <w:rsid w:val="00BA1A32"/>
    <w:rsid w:val="00BA2330"/>
    <w:rsid w:val="00BA3FEE"/>
    <w:rsid w:val="00BA5FF5"/>
    <w:rsid w:val="00BB212C"/>
    <w:rsid w:val="00BB4A85"/>
    <w:rsid w:val="00BB62A7"/>
    <w:rsid w:val="00BB7703"/>
    <w:rsid w:val="00BB7F67"/>
    <w:rsid w:val="00BC1E49"/>
    <w:rsid w:val="00BC3658"/>
    <w:rsid w:val="00BC5867"/>
    <w:rsid w:val="00BC5889"/>
    <w:rsid w:val="00BC75BD"/>
    <w:rsid w:val="00BC79BD"/>
    <w:rsid w:val="00BD04F8"/>
    <w:rsid w:val="00BD0D0F"/>
    <w:rsid w:val="00BD1F01"/>
    <w:rsid w:val="00BD1F12"/>
    <w:rsid w:val="00BD2D9A"/>
    <w:rsid w:val="00BD47BE"/>
    <w:rsid w:val="00BD4AE0"/>
    <w:rsid w:val="00BD6170"/>
    <w:rsid w:val="00BD6791"/>
    <w:rsid w:val="00BE12DE"/>
    <w:rsid w:val="00BE373C"/>
    <w:rsid w:val="00BF2178"/>
    <w:rsid w:val="00BF4ED7"/>
    <w:rsid w:val="00BF6169"/>
    <w:rsid w:val="00BF7306"/>
    <w:rsid w:val="00C02C0F"/>
    <w:rsid w:val="00C0308E"/>
    <w:rsid w:val="00C0593E"/>
    <w:rsid w:val="00C10027"/>
    <w:rsid w:val="00C10E1F"/>
    <w:rsid w:val="00C126A2"/>
    <w:rsid w:val="00C133C1"/>
    <w:rsid w:val="00C13883"/>
    <w:rsid w:val="00C170EC"/>
    <w:rsid w:val="00C2105A"/>
    <w:rsid w:val="00C231B5"/>
    <w:rsid w:val="00C24529"/>
    <w:rsid w:val="00C27C1B"/>
    <w:rsid w:val="00C3014F"/>
    <w:rsid w:val="00C334DB"/>
    <w:rsid w:val="00C33931"/>
    <w:rsid w:val="00C379EB"/>
    <w:rsid w:val="00C40F29"/>
    <w:rsid w:val="00C4104A"/>
    <w:rsid w:val="00C42F9F"/>
    <w:rsid w:val="00C437BF"/>
    <w:rsid w:val="00C465E2"/>
    <w:rsid w:val="00C511CC"/>
    <w:rsid w:val="00C545F4"/>
    <w:rsid w:val="00C6003B"/>
    <w:rsid w:val="00C61060"/>
    <w:rsid w:val="00C612CC"/>
    <w:rsid w:val="00C66B52"/>
    <w:rsid w:val="00C72B23"/>
    <w:rsid w:val="00C75628"/>
    <w:rsid w:val="00C85026"/>
    <w:rsid w:val="00C8579D"/>
    <w:rsid w:val="00C85EEF"/>
    <w:rsid w:val="00C8743D"/>
    <w:rsid w:val="00C874A0"/>
    <w:rsid w:val="00C879FF"/>
    <w:rsid w:val="00C9288A"/>
    <w:rsid w:val="00C92AB1"/>
    <w:rsid w:val="00C931CF"/>
    <w:rsid w:val="00C93556"/>
    <w:rsid w:val="00C93DB3"/>
    <w:rsid w:val="00C9539B"/>
    <w:rsid w:val="00C95D96"/>
    <w:rsid w:val="00CA0EDA"/>
    <w:rsid w:val="00CA2A0F"/>
    <w:rsid w:val="00CA2A55"/>
    <w:rsid w:val="00CA4BCD"/>
    <w:rsid w:val="00CA7E6C"/>
    <w:rsid w:val="00CB55FB"/>
    <w:rsid w:val="00CB5CE9"/>
    <w:rsid w:val="00CC0EEB"/>
    <w:rsid w:val="00CC1BA0"/>
    <w:rsid w:val="00CC21BA"/>
    <w:rsid w:val="00CC51AA"/>
    <w:rsid w:val="00CC70EE"/>
    <w:rsid w:val="00CD36B8"/>
    <w:rsid w:val="00CD5484"/>
    <w:rsid w:val="00CD5D6D"/>
    <w:rsid w:val="00CE5A0D"/>
    <w:rsid w:val="00CF33AC"/>
    <w:rsid w:val="00CF4FBE"/>
    <w:rsid w:val="00CF726A"/>
    <w:rsid w:val="00D00824"/>
    <w:rsid w:val="00D01DFF"/>
    <w:rsid w:val="00D050C1"/>
    <w:rsid w:val="00D067CC"/>
    <w:rsid w:val="00D12FDA"/>
    <w:rsid w:val="00D223FB"/>
    <w:rsid w:val="00D231DE"/>
    <w:rsid w:val="00D25593"/>
    <w:rsid w:val="00D25C0F"/>
    <w:rsid w:val="00D25D6A"/>
    <w:rsid w:val="00D262DA"/>
    <w:rsid w:val="00D2675B"/>
    <w:rsid w:val="00D30DD9"/>
    <w:rsid w:val="00D3374A"/>
    <w:rsid w:val="00D33A2A"/>
    <w:rsid w:val="00D3558A"/>
    <w:rsid w:val="00D3664B"/>
    <w:rsid w:val="00D418B2"/>
    <w:rsid w:val="00D44D19"/>
    <w:rsid w:val="00D500C6"/>
    <w:rsid w:val="00D526A5"/>
    <w:rsid w:val="00D52984"/>
    <w:rsid w:val="00D52CD6"/>
    <w:rsid w:val="00D5392B"/>
    <w:rsid w:val="00D56AD3"/>
    <w:rsid w:val="00D63B65"/>
    <w:rsid w:val="00D72011"/>
    <w:rsid w:val="00D7207F"/>
    <w:rsid w:val="00D7414C"/>
    <w:rsid w:val="00D74E25"/>
    <w:rsid w:val="00D75A96"/>
    <w:rsid w:val="00D7717B"/>
    <w:rsid w:val="00D805E9"/>
    <w:rsid w:val="00D82EEB"/>
    <w:rsid w:val="00D841ED"/>
    <w:rsid w:val="00D87080"/>
    <w:rsid w:val="00D92371"/>
    <w:rsid w:val="00D96783"/>
    <w:rsid w:val="00D96C61"/>
    <w:rsid w:val="00DA0688"/>
    <w:rsid w:val="00DA44C0"/>
    <w:rsid w:val="00DA6C4C"/>
    <w:rsid w:val="00DA77CF"/>
    <w:rsid w:val="00DB1B12"/>
    <w:rsid w:val="00DB2697"/>
    <w:rsid w:val="00DB30BF"/>
    <w:rsid w:val="00DB46C4"/>
    <w:rsid w:val="00DB77E7"/>
    <w:rsid w:val="00DC0589"/>
    <w:rsid w:val="00DC0AA1"/>
    <w:rsid w:val="00DC33EC"/>
    <w:rsid w:val="00DC639C"/>
    <w:rsid w:val="00DD0EED"/>
    <w:rsid w:val="00DD2704"/>
    <w:rsid w:val="00DD2D1C"/>
    <w:rsid w:val="00DD5965"/>
    <w:rsid w:val="00DD610E"/>
    <w:rsid w:val="00DD68EE"/>
    <w:rsid w:val="00DE2F1C"/>
    <w:rsid w:val="00DE563A"/>
    <w:rsid w:val="00DE695A"/>
    <w:rsid w:val="00DE6AE6"/>
    <w:rsid w:val="00DF7638"/>
    <w:rsid w:val="00DF76A4"/>
    <w:rsid w:val="00E0013A"/>
    <w:rsid w:val="00E02335"/>
    <w:rsid w:val="00E06A96"/>
    <w:rsid w:val="00E10243"/>
    <w:rsid w:val="00E1028E"/>
    <w:rsid w:val="00E130A7"/>
    <w:rsid w:val="00E14A69"/>
    <w:rsid w:val="00E150AC"/>
    <w:rsid w:val="00E235C2"/>
    <w:rsid w:val="00E248CE"/>
    <w:rsid w:val="00E25634"/>
    <w:rsid w:val="00E25DC5"/>
    <w:rsid w:val="00E26597"/>
    <w:rsid w:val="00E330D2"/>
    <w:rsid w:val="00E421BA"/>
    <w:rsid w:val="00E434EA"/>
    <w:rsid w:val="00E44469"/>
    <w:rsid w:val="00E52D67"/>
    <w:rsid w:val="00E5484C"/>
    <w:rsid w:val="00E558DD"/>
    <w:rsid w:val="00E56B29"/>
    <w:rsid w:val="00E571D0"/>
    <w:rsid w:val="00E57564"/>
    <w:rsid w:val="00E57F36"/>
    <w:rsid w:val="00E57F7A"/>
    <w:rsid w:val="00E60D31"/>
    <w:rsid w:val="00E63175"/>
    <w:rsid w:val="00E633DB"/>
    <w:rsid w:val="00E67F90"/>
    <w:rsid w:val="00E704B3"/>
    <w:rsid w:val="00E74A6E"/>
    <w:rsid w:val="00E77AB4"/>
    <w:rsid w:val="00E77FA2"/>
    <w:rsid w:val="00E81D3D"/>
    <w:rsid w:val="00E843BB"/>
    <w:rsid w:val="00E844F3"/>
    <w:rsid w:val="00E86C42"/>
    <w:rsid w:val="00E87985"/>
    <w:rsid w:val="00E90AE1"/>
    <w:rsid w:val="00E945F6"/>
    <w:rsid w:val="00E947C1"/>
    <w:rsid w:val="00E95325"/>
    <w:rsid w:val="00EA0DB8"/>
    <w:rsid w:val="00EA13F4"/>
    <w:rsid w:val="00EA26DA"/>
    <w:rsid w:val="00EA3826"/>
    <w:rsid w:val="00EA494D"/>
    <w:rsid w:val="00EA5FF4"/>
    <w:rsid w:val="00EA7C70"/>
    <w:rsid w:val="00EB0414"/>
    <w:rsid w:val="00EB56FC"/>
    <w:rsid w:val="00EB71C6"/>
    <w:rsid w:val="00EC02B7"/>
    <w:rsid w:val="00EC084C"/>
    <w:rsid w:val="00EC2525"/>
    <w:rsid w:val="00EC2818"/>
    <w:rsid w:val="00EC5FDF"/>
    <w:rsid w:val="00ED188F"/>
    <w:rsid w:val="00ED20F8"/>
    <w:rsid w:val="00ED4A29"/>
    <w:rsid w:val="00ED53A4"/>
    <w:rsid w:val="00ED571A"/>
    <w:rsid w:val="00ED6105"/>
    <w:rsid w:val="00ED614B"/>
    <w:rsid w:val="00EE4168"/>
    <w:rsid w:val="00EE4737"/>
    <w:rsid w:val="00EE5CFF"/>
    <w:rsid w:val="00EF01C1"/>
    <w:rsid w:val="00EF1A41"/>
    <w:rsid w:val="00EF1BC5"/>
    <w:rsid w:val="00EF2D88"/>
    <w:rsid w:val="00EF53D6"/>
    <w:rsid w:val="00EF5D37"/>
    <w:rsid w:val="00F00DD7"/>
    <w:rsid w:val="00F01BC4"/>
    <w:rsid w:val="00F02C87"/>
    <w:rsid w:val="00F03CD1"/>
    <w:rsid w:val="00F04FDB"/>
    <w:rsid w:val="00F067DD"/>
    <w:rsid w:val="00F10C42"/>
    <w:rsid w:val="00F12FB1"/>
    <w:rsid w:val="00F1300D"/>
    <w:rsid w:val="00F13419"/>
    <w:rsid w:val="00F14954"/>
    <w:rsid w:val="00F251A6"/>
    <w:rsid w:val="00F25571"/>
    <w:rsid w:val="00F274C2"/>
    <w:rsid w:val="00F31F47"/>
    <w:rsid w:val="00F36AEA"/>
    <w:rsid w:val="00F40662"/>
    <w:rsid w:val="00F42A79"/>
    <w:rsid w:val="00F4325B"/>
    <w:rsid w:val="00F45B40"/>
    <w:rsid w:val="00F46A85"/>
    <w:rsid w:val="00F5146D"/>
    <w:rsid w:val="00F55699"/>
    <w:rsid w:val="00F55C18"/>
    <w:rsid w:val="00F57EDC"/>
    <w:rsid w:val="00F62FDD"/>
    <w:rsid w:val="00F64D01"/>
    <w:rsid w:val="00F66677"/>
    <w:rsid w:val="00F66AB7"/>
    <w:rsid w:val="00F67AB5"/>
    <w:rsid w:val="00F70FC0"/>
    <w:rsid w:val="00F71943"/>
    <w:rsid w:val="00F719FA"/>
    <w:rsid w:val="00F74D0F"/>
    <w:rsid w:val="00F76B08"/>
    <w:rsid w:val="00F83BE2"/>
    <w:rsid w:val="00F84E31"/>
    <w:rsid w:val="00F85E4C"/>
    <w:rsid w:val="00F97B6F"/>
    <w:rsid w:val="00FA3D28"/>
    <w:rsid w:val="00FA6B7C"/>
    <w:rsid w:val="00FA7120"/>
    <w:rsid w:val="00FB0E0D"/>
    <w:rsid w:val="00FB164D"/>
    <w:rsid w:val="00FB4662"/>
    <w:rsid w:val="00FB516A"/>
    <w:rsid w:val="00FC0C39"/>
    <w:rsid w:val="00FC279D"/>
    <w:rsid w:val="00FC5AAC"/>
    <w:rsid w:val="00FC7EC6"/>
    <w:rsid w:val="00FC7F28"/>
    <w:rsid w:val="00FD2176"/>
    <w:rsid w:val="00FD37D5"/>
    <w:rsid w:val="00FD5AA5"/>
    <w:rsid w:val="00FD73FB"/>
    <w:rsid w:val="00FD74E2"/>
    <w:rsid w:val="00FD77F1"/>
    <w:rsid w:val="00FE0BD4"/>
    <w:rsid w:val="00FE3085"/>
    <w:rsid w:val="00FE3662"/>
    <w:rsid w:val="00FE7596"/>
    <w:rsid w:val="00FF458B"/>
    <w:rsid w:val="00FF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D127E"/>
  <w15:docId w15:val="{65EDECC3-9E78-4E41-85BC-CC8EE75F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C3B"/>
    <w:pPr>
      <w:spacing w:after="200" w:line="276" w:lineRule="auto"/>
    </w:pPr>
    <w:rPr>
      <w:rFonts w:cs="Calibri"/>
      <w:sz w:val="22"/>
      <w:szCs w:val="22"/>
    </w:rPr>
  </w:style>
  <w:style w:type="paragraph" w:styleId="Heading1">
    <w:name w:val="heading 1"/>
    <w:basedOn w:val="ListParagraph"/>
    <w:next w:val="Normal"/>
    <w:link w:val="Heading1Char"/>
    <w:qFormat/>
    <w:locked/>
    <w:rsid w:val="00A002E8"/>
    <w:pPr>
      <w:numPr>
        <w:numId w:val="1"/>
      </w:numPr>
      <w:outlineLvl w:val="0"/>
    </w:pPr>
    <w:rPr>
      <w:rFonts w:ascii="Arial" w:hAnsi="Arial" w:cs="Arial"/>
      <w:b/>
      <w:bCs/>
    </w:rPr>
  </w:style>
  <w:style w:type="paragraph" w:styleId="Heading2">
    <w:name w:val="heading 2"/>
    <w:basedOn w:val="ListParagraph"/>
    <w:next w:val="Normal"/>
    <w:link w:val="Heading2Char"/>
    <w:unhideWhenUsed/>
    <w:qFormat/>
    <w:locked/>
    <w:rsid w:val="00A002E8"/>
    <w:pPr>
      <w:numPr>
        <w:numId w:val="4"/>
      </w:numPr>
      <w:spacing w:after="0"/>
      <w:outlineLvl w:val="1"/>
    </w:pPr>
    <w:rPr>
      <w:rFonts w:ascii="Arial" w:hAnsi="Arial" w:cs="Arial"/>
      <w:b/>
      <w:bCs/>
    </w:rPr>
  </w:style>
  <w:style w:type="paragraph" w:styleId="Heading3">
    <w:name w:val="heading 3"/>
    <w:basedOn w:val="ListParagraph"/>
    <w:next w:val="Normal"/>
    <w:link w:val="Heading3Char"/>
    <w:unhideWhenUsed/>
    <w:qFormat/>
    <w:locked/>
    <w:rsid w:val="00CF4FBE"/>
    <w:pPr>
      <w:numPr>
        <w:ilvl w:val="2"/>
        <w:numId w:val="8"/>
      </w:numPr>
      <w:spacing w:after="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762B"/>
    <w:pPr>
      <w:ind w:left="720"/>
    </w:pPr>
  </w:style>
  <w:style w:type="character" w:styleId="Hyperlink">
    <w:name w:val="Hyperlink"/>
    <w:uiPriority w:val="99"/>
    <w:rsid w:val="00EA5FF4"/>
    <w:rPr>
      <w:color w:val="0000FF"/>
      <w:u w:val="single"/>
    </w:rPr>
  </w:style>
  <w:style w:type="paragraph" w:styleId="PlainText">
    <w:name w:val="Plain Text"/>
    <w:basedOn w:val="Normal"/>
    <w:link w:val="PlainTextChar"/>
    <w:uiPriority w:val="99"/>
    <w:rsid w:val="00EA5FF4"/>
    <w:pPr>
      <w:spacing w:after="0" w:line="240" w:lineRule="auto"/>
    </w:pPr>
    <w:rPr>
      <w:rFonts w:ascii="Consolas" w:hAnsi="Consolas" w:cs="Consolas"/>
      <w:sz w:val="21"/>
      <w:szCs w:val="21"/>
    </w:rPr>
  </w:style>
  <w:style w:type="character" w:customStyle="1" w:styleId="PlainTextChar">
    <w:name w:val="Plain Text Char"/>
    <w:link w:val="PlainText"/>
    <w:uiPriority w:val="99"/>
    <w:locked/>
    <w:rsid w:val="00EA5FF4"/>
    <w:rPr>
      <w:rFonts w:ascii="Consolas" w:hAnsi="Consolas" w:cs="Consolas"/>
      <w:sz w:val="21"/>
      <w:szCs w:val="21"/>
    </w:rPr>
  </w:style>
  <w:style w:type="paragraph" w:styleId="Header">
    <w:name w:val="header"/>
    <w:basedOn w:val="Normal"/>
    <w:link w:val="HeaderChar"/>
    <w:uiPriority w:val="99"/>
    <w:rsid w:val="0077446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74468"/>
  </w:style>
  <w:style w:type="paragraph" w:styleId="Footer">
    <w:name w:val="footer"/>
    <w:basedOn w:val="Normal"/>
    <w:link w:val="FooterChar"/>
    <w:uiPriority w:val="99"/>
    <w:rsid w:val="0077446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74468"/>
  </w:style>
  <w:style w:type="paragraph" w:styleId="BalloonText">
    <w:name w:val="Balloon Text"/>
    <w:basedOn w:val="Normal"/>
    <w:link w:val="BalloonTextChar"/>
    <w:uiPriority w:val="99"/>
    <w:semiHidden/>
    <w:rsid w:val="00847E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47E93"/>
    <w:rPr>
      <w:rFonts w:ascii="Tahoma" w:hAnsi="Tahoma" w:cs="Tahoma"/>
      <w:sz w:val="16"/>
      <w:szCs w:val="16"/>
    </w:rPr>
  </w:style>
  <w:style w:type="character" w:styleId="CommentReference">
    <w:name w:val="annotation reference"/>
    <w:uiPriority w:val="99"/>
    <w:semiHidden/>
    <w:rsid w:val="00F97B6F"/>
    <w:rPr>
      <w:sz w:val="16"/>
      <w:szCs w:val="16"/>
    </w:rPr>
  </w:style>
  <w:style w:type="paragraph" w:styleId="CommentText">
    <w:name w:val="annotation text"/>
    <w:basedOn w:val="Normal"/>
    <w:link w:val="CommentTextChar"/>
    <w:uiPriority w:val="99"/>
    <w:semiHidden/>
    <w:rsid w:val="00F97B6F"/>
    <w:rPr>
      <w:sz w:val="20"/>
      <w:szCs w:val="20"/>
    </w:rPr>
  </w:style>
  <w:style w:type="character" w:customStyle="1" w:styleId="CommentTextChar">
    <w:name w:val="Comment Text Char"/>
    <w:link w:val="CommentText"/>
    <w:uiPriority w:val="99"/>
    <w:semiHidden/>
    <w:locked/>
    <w:rsid w:val="00A63CB1"/>
    <w:rPr>
      <w:sz w:val="20"/>
      <w:szCs w:val="20"/>
    </w:rPr>
  </w:style>
  <w:style w:type="paragraph" w:styleId="CommentSubject">
    <w:name w:val="annotation subject"/>
    <w:basedOn w:val="CommentText"/>
    <w:next w:val="CommentText"/>
    <w:link w:val="CommentSubjectChar"/>
    <w:uiPriority w:val="99"/>
    <w:semiHidden/>
    <w:rsid w:val="00F97B6F"/>
    <w:rPr>
      <w:b/>
      <w:bCs/>
    </w:rPr>
  </w:style>
  <w:style w:type="character" w:customStyle="1" w:styleId="CommentSubjectChar">
    <w:name w:val="Comment Subject Char"/>
    <w:link w:val="CommentSubject"/>
    <w:uiPriority w:val="99"/>
    <w:semiHidden/>
    <w:locked/>
    <w:rsid w:val="00A63CB1"/>
    <w:rPr>
      <w:b/>
      <w:bCs/>
      <w:sz w:val="20"/>
      <w:szCs w:val="20"/>
    </w:rPr>
  </w:style>
  <w:style w:type="character" w:customStyle="1" w:styleId="Heading1Char">
    <w:name w:val="Heading 1 Char"/>
    <w:basedOn w:val="DefaultParagraphFont"/>
    <w:link w:val="Heading1"/>
    <w:rsid w:val="00A002E8"/>
    <w:rPr>
      <w:rFonts w:ascii="Arial" w:hAnsi="Arial" w:cs="Arial"/>
      <w:b/>
      <w:bCs/>
      <w:sz w:val="22"/>
      <w:szCs w:val="22"/>
    </w:rPr>
  </w:style>
  <w:style w:type="character" w:customStyle="1" w:styleId="Heading2Char">
    <w:name w:val="Heading 2 Char"/>
    <w:basedOn w:val="DefaultParagraphFont"/>
    <w:link w:val="Heading2"/>
    <w:rsid w:val="00A002E8"/>
    <w:rPr>
      <w:rFonts w:ascii="Arial" w:hAnsi="Arial" w:cs="Arial"/>
      <w:b/>
      <w:bCs/>
      <w:sz w:val="22"/>
      <w:szCs w:val="22"/>
    </w:rPr>
  </w:style>
  <w:style w:type="character" w:customStyle="1" w:styleId="Heading3Char">
    <w:name w:val="Heading 3 Char"/>
    <w:basedOn w:val="DefaultParagraphFont"/>
    <w:link w:val="Heading3"/>
    <w:rsid w:val="00CF4FBE"/>
    <w:rPr>
      <w:rFonts w:ascii="Arial" w:hAnsi="Arial" w:cs="Arial"/>
      <w:b/>
      <w:bCs/>
      <w:sz w:val="22"/>
      <w:szCs w:val="22"/>
    </w:rPr>
  </w:style>
  <w:style w:type="paragraph" w:styleId="TOC1">
    <w:name w:val="toc 1"/>
    <w:basedOn w:val="Normal"/>
    <w:next w:val="Normal"/>
    <w:autoRedefine/>
    <w:uiPriority w:val="39"/>
    <w:locked/>
    <w:rsid w:val="00E57F36"/>
    <w:pPr>
      <w:tabs>
        <w:tab w:val="left" w:pos="720"/>
        <w:tab w:val="right" w:leader="dot" w:pos="9350"/>
      </w:tabs>
      <w:spacing w:after="0" w:line="240" w:lineRule="auto"/>
    </w:pPr>
    <w:rPr>
      <w:rFonts w:ascii="Arial" w:hAnsi="Arial"/>
    </w:rPr>
  </w:style>
  <w:style w:type="paragraph" w:styleId="TOC2">
    <w:name w:val="toc 2"/>
    <w:basedOn w:val="Normal"/>
    <w:next w:val="Normal"/>
    <w:autoRedefine/>
    <w:uiPriority w:val="39"/>
    <w:locked/>
    <w:rsid w:val="00CF4FBE"/>
    <w:pPr>
      <w:spacing w:after="0" w:line="240" w:lineRule="auto"/>
      <w:ind w:left="720"/>
    </w:pPr>
    <w:rPr>
      <w:rFonts w:ascii="Arial" w:hAnsi="Arial"/>
    </w:rPr>
  </w:style>
  <w:style w:type="paragraph" w:styleId="TOC3">
    <w:name w:val="toc 3"/>
    <w:basedOn w:val="Normal"/>
    <w:next w:val="Normal"/>
    <w:autoRedefine/>
    <w:uiPriority w:val="39"/>
    <w:locked/>
    <w:rsid w:val="008F3763"/>
    <w:pPr>
      <w:tabs>
        <w:tab w:val="left" w:pos="1920"/>
        <w:tab w:val="right" w:leader="dot" w:pos="9350"/>
      </w:tabs>
      <w:spacing w:after="0" w:line="240" w:lineRule="auto"/>
      <w:ind w:left="1440"/>
    </w:pPr>
    <w:rPr>
      <w:rFonts w:ascii="Arial" w:hAnsi="Arial"/>
    </w:rPr>
  </w:style>
  <w:style w:type="paragraph" w:styleId="Revision">
    <w:name w:val="Revision"/>
    <w:hidden/>
    <w:uiPriority w:val="99"/>
    <w:semiHidden/>
    <w:rsid w:val="004B1984"/>
    <w:rPr>
      <w:rFonts w:cs="Calibri"/>
      <w:sz w:val="22"/>
      <w:szCs w:val="22"/>
    </w:rPr>
  </w:style>
  <w:style w:type="character" w:styleId="UnresolvedMention">
    <w:name w:val="Unresolved Mention"/>
    <w:basedOn w:val="DefaultParagraphFont"/>
    <w:uiPriority w:val="99"/>
    <w:semiHidden/>
    <w:unhideWhenUsed/>
    <w:rsid w:val="00D7207F"/>
    <w:rPr>
      <w:color w:val="605E5C"/>
      <w:shd w:val="clear" w:color="auto" w:fill="E1DFDD"/>
    </w:rPr>
  </w:style>
  <w:style w:type="character" w:styleId="FollowedHyperlink">
    <w:name w:val="FollowedHyperlink"/>
    <w:basedOn w:val="DefaultParagraphFont"/>
    <w:uiPriority w:val="99"/>
    <w:semiHidden/>
    <w:unhideWhenUsed/>
    <w:rsid w:val="005A48F2"/>
    <w:rPr>
      <w:color w:val="800080" w:themeColor="followedHyperlink"/>
      <w:u w:val="single"/>
    </w:rPr>
  </w:style>
  <w:style w:type="numbering" w:customStyle="1" w:styleId="CurrentList1">
    <w:name w:val="Current List1"/>
    <w:uiPriority w:val="99"/>
    <w:rsid w:val="002E1EC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5658">
      <w:bodyDiv w:val="1"/>
      <w:marLeft w:val="0"/>
      <w:marRight w:val="0"/>
      <w:marTop w:val="0"/>
      <w:marBottom w:val="0"/>
      <w:divBdr>
        <w:top w:val="none" w:sz="0" w:space="0" w:color="auto"/>
        <w:left w:val="none" w:sz="0" w:space="0" w:color="auto"/>
        <w:bottom w:val="none" w:sz="0" w:space="0" w:color="auto"/>
        <w:right w:val="none" w:sz="0" w:space="0" w:color="auto"/>
      </w:divBdr>
      <w:divsChild>
        <w:div w:id="1213692573">
          <w:marLeft w:val="0"/>
          <w:marRight w:val="0"/>
          <w:marTop w:val="0"/>
          <w:marBottom w:val="0"/>
          <w:divBdr>
            <w:top w:val="none" w:sz="0" w:space="0" w:color="3D3D3D"/>
            <w:left w:val="none" w:sz="0" w:space="0" w:color="3D3D3D"/>
            <w:bottom w:val="none" w:sz="0" w:space="0" w:color="3D3D3D"/>
            <w:right w:val="none" w:sz="0" w:space="0" w:color="3D3D3D"/>
          </w:divBdr>
          <w:divsChild>
            <w:div w:id="18538323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7327405">
      <w:marLeft w:val="0"/>
      <w:marRight w:val="0"/>
      <w:marTop w:val="0"/>
      <w:marBottom w:val="0"/>
      <w:divBdr>
        <w:top w:val="none" w:sz="0" w:space="0" w:color="auto"/>
        <w:left w:val="none" w:sz="0" w:space="0" w:color="auto"/>
        <w:bottom w:val="none" w:sz="0" w:space="0" w:color="auto"/>
        <w:right w:val="none" w:sz="0" w:space="0" w:color="auto"/>
      </w:divBdr>
      <w:divsChild>
        <w:div w:id="1257327414">
          <w:marLeft w:val="0"/>
          <w:marRight w:val="0"/>
          <w:marTop w:val="0"/>
          <w:marBottom w:val="0"/>
          <w:divBdr>
            <w:top w:val="none" w:sz="0" w:space="0" w:color="auto"/>
            <w:left w:val="none" w:sz="0" w:space="0" w:color="auto"/>
            <w:bottom w:val="none" w:sz="0" w:space="0" w:color="auto"/>
            <w:right w:val="none" w:sz="0" w:space="0" w:color="auto"/>
          </w:divBdr>
          <w:divsChild>
            <w:div w:id="125732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7407">
      <w:marLeft w:val="0"/>
      <w:marRight w:val="0"/>
      <w:marTop w:val="0"/>
      <w:marBottom w:val="0"/>
      <w:divBdr>
        <w:top w:val="none" w:sz="0" w:space="0" w:color="auto"/>
        <w:left w:val="none" w:sz="0" w:space="0" w:color="auto"/>
        <w:bottom w:val="none" w:sz="0" w:space="0" w:color="auto"/>
        <w:right w:val="none" w:sz="0" w:space="0" w:color="auto"/>
      </w:divBdr>
      <w:divsChild>
        <w:div w:id="1257327410">
          <w:marLeft w:val="0"/>
          <w:marRight w:val="0"/>
          <w:marTop w:val="0"/>
          <w:marBottom w:val="0"/>
          <w:divBdr>
            <w:top w:val="none" w:sz="0" w:space="0" w:color="auto"/>
            <w:left w:val="none" w:sz="0" w:space="0" w:color="auto"/>
            <w:bottom w:val="none" w:sz="0" w:space="0" w:color="auto"/>
            <w:right w:val="none" w:sz="0" w:space="0" w:color="auto"/>
          </w:divBdr>
          <w:divsChild>
            <w:div w:id="12573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7411">
      <w:marLeft w:val="0"/>
      <w:marRight w:val="0"/>
      <w:marTop w:val="0"/>
      <w:marBottom w:val="0"/>
      <w:divBdr>
        <w:top w:val="none" w:sz="0" w:space="0" w:color="auto"/>
        <w:left w:val="none" w:sz="0" w:space="0" w:color="auto"/>
        <w:bottom w:val="none" w:sz="0" w:space="0" w:color="auto"/>
        <w:right w:val="none" w:sz="0" w:space="0" w:color="auto"/>
      </w:divBdr>
      <w:divsChild>
        <w:div w:id="1257327409">
          <w:marLeft w:val="0"/>
          <w:marRight w:val="0"/>
          <w:marTop w:val="0"/>
          <w:marBottom w:val="0"/>
          <w:divBdr>
            <w:top w:val="none" w:sz="0" w:space="0" w:color="auto"/>
            <w:left w:val="none" w:sz="0" w:space="0" w:color="auto"/>
            <w:bottom w:val="none" w:sz="0" w:space="0" w:color="auto"/>
            <w:right w:val="none" w:sz="0" w:space="0" w:color="auto"/>
          </w:divBdr>
          <w:divsChild>
            <w:div w:id="12573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7412">
      <w:marLeft w:val="0"/>
      <w:marRight w:val="0"/>
      <w:marTop w:val="0"/>
      <w:marBottom w:val="0"/>
      <w:divBdr>
        <w:top w:val="none" w:sz="0" w:space="0" w:color="auto"/>
        <w:left w:val="none" w:sz="0" w:space="0" w:color="auto"/>
        <w:bottom w:val="none" w:sz="0" w:space="0" w:color="auto"/>
        <w:right w:val="none" w:sz="0" w:space="0" w:color="auto"/>
      </w:divBdr>
      <w:divsChild>
        <w:div w:id="1257327419">
          <w:marLeft w:val="0"/>
          <w:marRight w:val="0"/>
          <w:marTop w:val="0"/>
          <w:marBottom w:val="0"/>
          <w:divBdr>
            <w:top w:val="none" w:sz="0" w:space="0" w:color="auto"/>
            <w:left w:val="none" w:sz="0" w:space="0" w:color="auto"/>
            <w:bottom w:val="none" w:sz="0" w:space="0" w:color="auto"/>
            <w:right w:val="none" w:sz="0" w:space="0" w:color="auto"/>
          </w:divBdr>
          <w:divsChild>
            <w:div w:id="12573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7417">
      <w:marLeft w:val="0"/>
      <w:marRight w:val="0"/>
      <w:marTop w:val="0"/>
      <w:marBottom w:val="0"/>
      <w:divBdr>
        <w:top w:val="none" w:sz="0" w:space="0" w:color="auto"/>
        <w:left w:val="none" w:sz="0" w:space="0" w:color="auto"/>
        <w:bottom w:val="none" w:sz="0" w:space="0" w:color="auto"/>
        <w:right w:val="none" w:sz="0" w:space="0" w:color="auto"/>
      </w:divBdr>
      <w:divsChild>
        <w:div w:id="1257327413">
          <w:marLeft w:val="0"/>
          <w:marRight w:val="0"/>
          <w:marTop w:val="0"/>
          <w:marBottom w:val="0"/>
          <w:divBdr>
            <w:top w:val="none" w:sz="0" w:space="0" w:color="auto"/>
            <w:left w:val="none" w:sz="0" w:space="0" w:color="auto"/>
            <w:bottom w:val="none" w:sz="0" w:space="0" w:color="auto"/>
            <w:right w:val="none" w:sz="0" w:space="0" w:color="auto"/>
          </w:divBdr>
          <w:divsChild>
            <w:div w:id="12573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7420">
      <w:marLeft w:val="0"/>
      <w:marRight w:val="0"/>
      <w:marTop w:val="0"/>
      <w:marBottom w:val="0"/>
      <w:divBdr>
        <w:top w:val="none" w:sz="0" w:space="0" w:color="auto"/>
        <w:left w:val="none" w:sz="0" w:space="0" w:color="auto"/>
        <w:bottom w:val="none" w:sz="0" w:space="0" w:color="auto"/>
        <w:right w:val="none" w:sz="0" w:space="0" w:color="auto"/>
      </w:divBdr>
      <w:divsChild>
        <w:div w:id="1257327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nchbook.sog.unc.edu/criminal/ineffective-assistance-counsel" TargetMode="External"/><Relationship Id="rId13" Type="http://schemas.openxmlformats.org/officeDocument/2006/relationships/hyperlink" Target="https://nccriminallaw.sog.unc.edu/use-of-a-defendants-pre-and-post-arrest-silence-at-tri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criminallaw.sog.unc.edu/when-may-the-state-use-evidence-of-a-defendants-silence-before-tri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criminallaw.sog.unc.edu/letting-the-jury-know-about-collateral-consequences-of-a-convic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cat.sog.unc.edu/cards/?find=1&amp;cats=775&amp;field=all&amp;t=st" TargetMode="External"/><Relationship Id="rId4" Type="http://schemas.openxmlformats.org/officeDocument/2006/relationships/settings" Target="settings.xml"/><Relationship Id="rId9" Type="http://schemas.openxmlformats.org/officeDocument/2006/relationships/hyperlink" Target="https://nccriminallaw.sog.unc.edu/who-goes-last/" TargetMode="External"/><Relationship Id="rId14" Type="http://schemas.openxmlformats.org/officeDocument/2006/relationships/hyperlink" Target="https://benchbook.sog.unc.edu/evidence/impe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ABA2E-AA21-4D95-9A85-39105551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14819</Words>
  <Characters>84473</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JURY ARGUMENT: SUBSTANTIVE ISSUES</vt:lpstr>
    </vt:vector>
  </TitlesOfParts>
  <Company>The University of North Carolina at Chapel Hill</Company>
  <LinksUpToDate>false</LinksUpToDate>
  <CharactersWithSpaces>99094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JURY ARGUMENT: SUBSTANTIVE ISSUES</dc:title>
  <dc:creator>Smith, Jessica</dc:creator>
  <cp:lastModifiedBy>Christopher Tyner</cp:lastModifiedBy>
  <cp:revision>2</cp:revision>
  <cp:lastPrinted>2012-04-24T13:36:00Z</cp:lastPrinted>
  <dcterms:created xsi:type="dcterms:W3CDTF">2025-09-23T15:17:00Z</dcterms:created>
  <dcterms:modified xsi:type="dcterms:W3CDTF">2025-09-23T15:17:00Z</dcterms:modified>
</cp:coreProperties>
</file>