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7A559" w14:textId="77777777" w:rsidR="007B6333" w:rsidRDefault="007B6333" w:rsidP="00CF4FBE">
      <w:pPr>
        <w:spacing w:after="0"/>
        <w:jc w:val="center"/>
        <w:rPr>
          <w:rFonts w:ascii="Arial" w:hAnsi="Arial" w:cs="Arial"/>
          <w:b/>
          <w:bCs/>
          <w:sz w:val="24"/>
          <w:szCs w:val="24"/>
        </w:rPr>
      </w:pPr>
      <w:r w:rsidRPr="00F40662">
        <w:rPr>
          <w:rFonts w:ascii="Arial" w:hAnsi="Arial" w:cs="Arial"/>
          <w:b/>
          <w:bCs/>
          <w:sz w:val="24"/>
          <w:szCs w:val="24"/>
        </w:rPr>
        <w:t xml:space="preserve">JURY ARGUMENT: </w:t>
      </w:r>
      <w:r w:rsidR="00B25504">
        <w:rPr>
          <w:rFonts w:ascii="Arial" w:hAnsi="Arial" w:cs="Arial"/>
          <w:b/>
          <w:bCs/>
          <w:sz w:val="24"/>
          <w:szCs w:val="24"/>
        </w:rPr>
        <w:t xml:space="preserve">CONTENT OF </w:t>
      </w:r>
      <w:r w:rsidR="00A646BE">
        <w:rPr>
          <w:rFonts w:ascii="Arial" w:hAnsi="Arial" w:cs="Arial"/>
          <w:b/>
          <w:bCs/>
          <w:sz w:val="24"/>
          <w:szCs w:val="24"/>
        </w:rPr>
        <w:t>OPENING AND CLOSING STATEMENTS</w:t>
      </w:r>
    </w:p>
    <w:p w14:paraId="4FCF3C38" w14:textId="77777777" w:rsidR="00CF4FBE" w:rsidRPr="00F40662" w:rsidRDefault="00CF4FBE" w:rsidP="00CF4FBE">
      <w:pPr>
        <w:spacing w:after="0"/>
        <w:jc w:val="center"/>
        <w:rPr>
          <w:rFonts w:ascii="Arial" w:hAnsi="Arial" w:cs="Arial"/>
          <w:b/>
          <w:bCs/>
          <w:sz w:val="24"/>
          <w:szCs w:val="24"/>
        </w:rPr>
      </w:pPr>
    </w:p>
    <w:p w14:paraId="5C4617F8" w14:textId="77777777" w:rsidR="007B6333" w:rsidRDefault="007B6333" w:rsidP="00CF4FBE">
      <w:pPr>
        <w:spacing w:after="0"/>
        <w:rPr>
          <w:rFonts w:ascii="Arial" w:hAnsi="Arial" w:cs="Arial"/>
        </w:rPr>
      </w:pPr>
      <w:r w:rsidRPr="00641284">
        <w:rPr>
          <w:rFonts w:ascii="Arial" w:hAnsi="Arial" w:cs="Arial"/>
        </w:rPr>
        <w:t>Jessica Smith, UNC School of Government (April 2012)</w:t>
      </w:r>
    </w:p>
    <w:p w14:paraId="081266F4" w14:textId="63D7ED5B" w:rsidR="00CF4FBE" w:rsidRDefault="001F59F7" w:rsidP="00CF4FBE">
      <w:pPr>
        <w:spacing w:after="0"/>
        <w:rPr>
          <w:rFonts w:ascii="Arial" w:hAnsi="Arial" w:cs="Arial"/>
        </w:rPr>
      </w:pPr>
      <w:r>
        <w:rPr>
          <w:rFonts w:ascii="Arial" w:hAnsi="Arial" w:cs="Arial"/>
        </w:rPr>
        <w:t>Updated by Christopher Tyner (</w:t>
      </w:r>
      <w:r w:rsidR="001D2460">
        <w:rPr>
          <w:rFonts w:ascii="Arial" w:hAnsi="Arial" w:cs="Arial"/>
        </w:rPr>
        <w:t>March</w:t>
      </w:r>
      <w:r>
        <w:rPr>
          <w:rFonts w:ascii="Arial" w:hAnsi="Arial" w:cs="Arial"/>
        </w:rPr>
        <w:t xml:space="preserve"> 202</w:t>
      </w:r>
      <w:r w:rsidR="001D2460">
        <w:rPr>
          <w:rFonts w:ascii="Arial" w:hAnsi="Arial" w:cs="Arial"/>
        </w:rPr>
        <w:t>4</w:t>
      </w:r>
      <w:r>
        <w:rPr>
          <w:rFonts w:ascii="Arial" w:hAnsi="Arial" w:cs="Arial"/>
        </w:rPr>
        <w:t>)</w:t>
      </w:r>
    </w:p>
    <w:p w14:paraId="4E8C1BAB" w14:textId="77777777" w:rsidR="001F59F7" w:rsidRDefault="001F59F7" w:rsidP="00CF4FBE">
      <w:pPr>
        <w:spacing w:after="0"/>
        <w:rPr>
          <w:rFonts w:ascii="Arial" w:hAnsi="Arial" w:cs="Arial"/>
        </w:rPr>
      </w:pPr>
    </w:p>
    <w:p w14:paraId="45045AA9" w14:textId="77777777" w:rsidR="001F3316" w:rsidRDefault="001F3316" w:rsidP="00CF4FBE">
      <w:pPr>
        <w:spacing w:after="0"/>
        <w:rPr>
          <w:rFonts w:ascii="Arial" w:hAnsi="Arial" w:cs="Arial"/>
        </w:rPr>
      </w:pPr>
      <w:r w:rsidRPr="001F3316">
        <w:rPr>
          <w:rFonts w:ascii="Arial" w:hAnsi="Arial" w:cs="Arial"/>
          <w:b/>
        </w:rPr>
        <w:t>Contents</w:t>
      </w:r>
    </w:p>
    <w:p w14:paraId="73A56486" w14:textId="78A9274E" w:rsidR="008456DE" w:rsidRDefault="00304356">
      <w:pPr>
        <w:pStyle w:val="TOC1"/>
        <w:tabs>
          <w:tab w:val="left" w:pos="720"/>
          <w:tab w:val="right" w:leader="dot" w:pos="9350"/>
        </w:tabs>
        <w:rPr>
          <w:rFonts w:asciiTheme="minorHAnsi" w:eastAsiaTheme="minorEastAsia" w:hAnsiTheme="minorHAnsi" w:cstheme="minorBidi"/>
          <w:noProof/>
          <w:kern w:val="2"/>
          <w:sz w:val="24"/>
          <w:szCs w:val="24"/>
          <w14:ligatures w14:val="standardContextual"/>
        </w:rPr>
      </w:pPr>
      <w:r>
        <w:rPr>
          <w:rFonts w:cs="Arial"/>
        </w:rPr>
        <w:fldChar w:fldCharType="begin"/>
      </w:r>
      <w:r>
        <w:rPr>
          <w:rFonts w:cs="Arial"/>
        </w:rPr>
        <w:instrText xml:space="preserve"> TOC \o "1-3" \h \z \u </w:instrText>
      </w:r>
      <w:r>
        <w:rPr>
          <w:rFonts w:cs="Arial"/>
        </w:rPr>
        <w:fldChar w:fldCharType="separate"/>
      </w:r>
      <w:hyperlink w:anchor="_Toc163125195" w:history="1">
        <w:r w:rsidR="008456DE" w:rsidRPr="0096691A">
          <w:rPr>
            <w:rStyle w:val="Hyperlink"/>
            <w:noProof/>
          </w:rPr>
          <w:t>I.</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Introduction</w:t>
        </w:r>
        <w:r w:rsidR="008456DE">
          <w:rPr>
            <w:noProof/>
            <w:webHidden/>
          </w:rPr>
          <w:tab/>
        </w:r>
        <w:r w:rsidR="008456DE">
          <w:rPr>
            <w:noProof/>
            <w:webHidden/>
          </w:rPr>
          <w:fldChar w:fldCharType="begin"/>
        </w:r>
        <w:r w:rsidR="008456DE">
          <w:rPr>
            <w:noProof/>
            <w:webHidden/>
          </w:rPr>
          <w:instrText xml:space="preserve"> PAGEREF _Toc163125195 \h </w:instrText>
        </w:r>
        <w:r w:rsidR="008456DE">
          <w:rPr>
            <w:noProof/>
            <w:webHidden/>
          </w:rPr>
        </w:r>
        <w:r w:rsidR="008456DE">
          <w:rPr>
            <w:noProof/>
            <w:webHidden/>
          </w:rPr>
          <w:fldChar w:fldCharType="separate"/>
        </w:r>
        <w:r w:rsidR="008456DE">
          <w:rPr>
            <w:noProof/>
            <w:webHidden/>
          </w:rPr>
          <w:t>2</w:t>
        </w:r>
        <w:r w:rsidR="008456DE">
          <w:rPr>
            <w:noProof/>
            <w:webHidden/>
          </w:rPr>
          <w:fldChar w:fldCharType="end"/>
        </w:r>
      </w:hyperlink>
    </w:p>
    <w:p w14:paraId="2B0E552D" w14:textId="52CBC636" w:rsidR="008456DE" w:rsidRDefault="00000000">
      <w:pPr>
        <w:pStyle w:val="TOC1"/>
        <w:tabs>
          <w:tab w:val="left" w:pos="720"/>
          <w:tab w:val="right" w:leader="dot" w:pos="9350"/>
        </w:tabs>
        <w:rPr>
          <w:rFonts w:asciiTheme="minorHAnsi" w:eastAsiaTheme="minorEastAsia" w:hAnsiTheme="minorHAnsi" w:cstheme="minorBidi"/>
          <w:noProof/>
          <w:kern w:val="2"/>
          <w:sz w:val="24"/>
          <w:szCs w:val="24"/>
          <w14:ligatures w14:val="standardContextual"/>
        </w:rPr>
      </w:pPr>
      <w:hyperlink w:anchor="_Toc163125196" w:history="1">
        <w:r w:rsidR="008456DE" w:rsidRPr="0096691A">
          <w:rPr>
            <w:rStyle w:val="Hyperlink"/>
            <w:noProof/>
          </w:rPr>
          <w:t>II.</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Timing, Number, and Duration of Arguments</w:t>
        </w:r>
        <w:r w:rsidR="008456DE">
          <w:rPr>
            <w:noProof/>
            <w:webHidden/>
          </w:rPr>
          <w:tab/>
        </w:r>
        <w:r w:rsidR="008456DE">
          <w:rPr>
            <w:noProof/>
            <w:webHidden/>
          </w:rPr>
          <w:fldChar w:fldCharType="begin"/>
        </w:r>
        <w:r w:rsidR="008456DE">
          <w:rPr>
            <w:noProof/>
            <w:webHidden/>
          </w:rPr>
          <w:instrText xml:space="preserve"> PAGEREF _Toc163125196 \h </w:instrText>
        </w:r>
        <w:r w:rsidR="008456DE">
          <w:rPr>
            <w:noProof/>
            <w:webHidden/>
          </w:rPr>
        </w:r>
        <w:r w:rsidR="008456DE">
          <w:rPr>
            <w:noProof/>
            <w:webHidden/>
          </w:rPr>
          <w:fldChar w:fldCharType="separate"/>
        </w:r>
        <w:r w:rsidR="008456DE">
          <w:rPr>
            <w:noProof/>
            <w:webHidden/>
          </w:rPr>
          <w:t>2</w:t>
        </w:r>
        <w:r w:rsidR="008456DE">
          <w:rPr>
            <w:noProof/>
            <w:webHidden/>
          </w:rPr>
          <w:fldChar w:fldCharType="end"/>
        </w:r>
      </w:hyperlink>
    </w:p>
    <w:p w14:paraId="5FE679C9" w14:textId="3D27A098" w:rsidR="008456DE" w:rsidRDefault="00000000">
      <w:pPr>
        <w:pStyle w:val="TOC2"/>
        <w:tabs>
          <w:tab w:val="left" w:pos="1440"/>
          <w:tab w:val="right" w:leader="dot" w:pos="9350"/>
        </w:tabs>
        <w:rPr>
          <w:rFonts w:asciiTheme="minorHAnsi" w:eastAsiaTheme="minorEastAsia" w:hAnsiTheme="minorHAnsi" w:cstheme="minorBidi"/>
          <w:noProof/>
          <w:kern w:val="2"/>
          <w:sz w:val="24"/>
          <w:szCs w:val="24"/>
          <w14:ligatures w14:val="standardContextual"/>
        </w:rPr>
      </w:pPr>
      <w:hyperlink w:anchor="_Toc163125197" w:history="1">
        <w:r w:rsidR="008456DE" w:rsidRPr="0096691A">
          <w:rPr>
            <w:rStyle w:val="Hyperlink"/>
            <w:noProof/>
          </w:rPr>
          <w:t>A.</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Non-Capital Cases</w:t>
        </w:r>
        <w:r w:rsidR="008456DE">
          <w:rPr>
            <w:noProof/>
            <w:webHidden/>
          </w:rPr>
          <w:tab/>
        </w:r>
        <w:r w:rsidR="008456DE">
          <w:rPr>
            <w:noProof/>
            <w:webHidden/>
          </w:rPr>
          <w:fldChar w:fldCharType="begin"/>
        </w:r>
        <w:r w:rsidR="008456DE">
          <w:rPr>
            <w:noProof/>
            <w:webHidden/>
          </w:rPr>
          <w:instrText xml:space="preserve"> PAGEREF _Toc163125197 \h </w:instrText>
        </w:r>
        <w:r w:rsidR="008456DE">
          <w:rPr>
            <w:noProof/>
            <w:webHidden/>
          </w:rPr>
        </w:r>
        <w:r w:rsidR="008456DE">
          <w:rPr>
            <w:noProof/>
            <w:webHidden/>
          </w:rPr>
          <w:fldChar w:fldCharType="separate"/>
        </w:r>
        <w:r w:rsidR="008456DE">
          <w:rPr>
            <w:noProof/>
            <w:webHidden/>
          </w:rPr>
          <w:t>2</w:t>
        </w:r>
        <w:r w:rsidR="008456DE">
          <w:rPr>
            <w:noProof/>
            <w:webHidden/>
          </w:rPr>
          <w:fldChar w:fldCharType="end"/>
        </w:r>
      </w:hyperlink>
    </w:p>
    <w:p w14:paraId="27DAF714" w14:textId="67931D91" w:rsidR="008456DE" w:rsidRDefault="00000000">
      <w:pPr>
        <w:pStyle w:val="TOC2"/>
        <w:tabs>
          <w:tab w:val="left" w:pos="1440"/>
          <w:tab w:val="right" w:leader="dot" w:pos="9350"/>
        </w:tabs>
        <w:rPr>
          <w:rFonts w:asciiTheme="minorHAnsi" w:eastAsiaTheme="minorEastAsia" w:hAnsiTheme="minorHAnsi" w:cstheme="minorBidi"/>
          <w:noProof/>
          <w:kern w:val="2"/>
          <w:sz w:val="24"/>
          <w:szCs w:val="24"/>
          <w14:ligatures w14:val="standardContextual"/>
        </w:rPr>
      </w:pPr>
      <w:hyperlink w:anchor="_Toc163125198" w:history="1">
        <w:r w:rsidR="008456DE" w:rsidRPr="0096691A">
          <w:rPr>
            <w:rStyle w:val="Hyperlink"/>
            <w:noProof/>
          </w:rPr>
          <w:t>B.</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Capital Cases</w:t>
        </w:r>
        <w:r w:rsidR="008456DE">
          <w:rPr>
            <w:noProof/>
            <w:webHidden/>
          </w:rPr>
          <w:tab/>
        </w:r>
        <w:r w:rsidR="008456DE">
          <w:rPr>
            <w:noProof/>
            <w:webHidden/>
          </w:rPr>
          <w:fldChar w:fldCharType="begin"/>
        </w:r>
        <w:r w:rsidR="008456DE">
          <w:rPr>
            <w:noProof/>
            <w:webHidden/>
          </w:rPr>
          <w:instrText xml:space="preserve"> PAGEREF _Toc163125198 \h </w:instrText>
        </w:r>
        <w:r w:rsidR="008456DE">
          <w:rPr>
            <w:noProof/>
            <w:webHidden/>
          </w:rPr>
        </w:r>
        <w:r w:rsidR="008456DE">
          <w:rPr>
            <w:noProof/>
            <w:webHidden/>
          </w:rPr>
          <w:fldChar w:fldCharType="separate"/>
        </w:r>
        <w:r w:rsidR="008456DE">
          <w:rPr>
            <w:noProof/>
            <w:webHidden/>
          </w:rPr>
          <w:t>2</w:t>
        </w:r>
        <w:r w:rsidR="008456DE">
          <w:rPr>
            <w:noProof/>
            <w:webHidden/>
          </w:rPr>
          <w:fldChar w:fldCharType="end"/>
        </w:r>
      </w:hyperlink>
    </w:p>
    <w:p w14:paraId="164572B1" w14:textId="2BF1D2D9" w:rsidR="008456DE" w:rsidRDefault="00000000">
      <w:pPr>
        <w:pStyle w:val="TOC1"/>
        <w:tabs>
          <w:tab w:val="left" w:pos="720"/>
          <w:tab w:val="right" w:leader="dot" w:pos="9350"/>
        </w:tabs>
        <w:rPr>
          <w:rFonts w:asciiTheme="minorHAnsi" w:eastAsiaTheme="minorEastAsia" w:hAnsiTheme="minorHAnsi" w:cstheme="minorBidi"/>
          <w:noProof/>
          <w:kern w:val="2"/>
          <w:sz w:val="24"/>
          <w:szCs w:val="24"/>
          <w14:ligatures w14:val="standardContextual"/>
        </w:rPr>
      </w:pPr>
      <w:hyperlink w:anchor="_Toc163125199" w:history="1">
        <w:r w:rsidR="008456DE" w:rsidRPr="0096691A">
          <w:rPr>
            <w:rStyle w:val="Hyperlink"/>
            <w:noProof/>
          </w:rPr>
          <w:t>III.</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Order of Arguments</w:t>
        </w:r>
        <w:r w:rsidR="008456DE">
          <w:rPr>
            <w:noProof/>
            <w:webHidden/>
          </w:rPr>
          <w:tab/>
        </w:r>
        <w:r w:rsidR="008456DE">
          <w:rPr>
            <w:noProof/>
            <w:webHidden/>
          </w:rPr>
          <w:fldChar w:fldCharType="begin"/>
        </w:r>
        <w:r w:rsidR="008456DE">
          <w:rPr>
            <w:noProof/>
            <w:webHidden/>
          </w:rPr>
          <w:instrText xml:space="preserve"> PAGEREF _Toc163125199 \h </w:instrText>
        </w:r>
        <w:r w:rsidR="008456DE">
          <w:rPr>
            <w:noProof/>
            <w:webHidden/>
          </w:rPr>
        </w:r>
        <w:r w:rsidR="008456DE">
          <w:rPr>
            <w:noProof/>
            <w:webHidden/>
          </w:rPr>
          <w:fldChar w:fldCharType="separate"/>
        </w:r>
        <w:r w:rsidR="008456DE">
          <w:rPr>
            <w:noProof/>
            <w:webHidden/>
          </w:rPr>
          <w:t>3</w:t>
        </w:r>
        <w:r w:rsidR="008456DE">
          <w:rPr>
            <w:noProof/>
            <w:webHidden/>
          </w:rPr>
          <w:fldChar w:fldCharType="end"/>
        </w:r>
      </w:hyperlink>
    </w:p>
    <w:p w14:paraId="014D9B2A" w14:textId="6CD127EA" w:rsidR="008456DE" w:rsidRDefault="00000000">
      <w:pPr>
        <w:pStyle w:val="TOC1"/>
        <w:tabs>
          <w:tab w:val="left" w:pos="720"/>
          <w:tab w:val="right" w:leader="dot" w:pos="9350"/>
        </w:tabs>
        <w:rPr>
          <w:rFonts w:asciiTheme="minorHAnsi" w:eastAsiaTheme="minorEastAsia" w:hAnsiTheme="minorHAnsi" w:cstheme="minorBidi"/>
          <w:noProof/>
          <w:kern w:val="2"/>
          <w:sz w:val="24"/>
          <w:szCs w:val="24"/>
          <w14:ligatures w14:val="standardContextual"/>
        </w:rPr>
      </w:pPr>
      <w:hyperlink w:anchor="_Toc163125200" w:history="1">
        <w:r w:rsidR="008456DE" w:rsidRPr="0096691A">
          <w:rPr>
            <w:rStyle w:val="Hyperlink"/>
            <w:noProof/>
          </w:rPr>
          <w:t>IV.</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Permissible Argument</w:t>
        </w:r>
        <w:r w:rsidR="008456DE">
          <w:rPr>
            <w:noProof/>
            <w:webHidden/>
          </w:rPr>
          <w:tab/>
        </w:r>
        <w:r w:rsidR="008456DE">
          <w:rPr>
            <w:noProof/>
            <w:webHidden/>
          </w:rPr>
          <w:fldChar w:fldCharType="begin"/>
        </w:r>
        <w:r w:rsidR="008456DE">
          <w:rPr>
            <w:noProof/>
            <w:webHidden/>
          </w:rPr>
          <w:instrText xml:space="preserve"> PAGEREF _Toc163125200 \h </w:instrText>
        </w:r>
        <w:r w:rsidR="008456DE">
          <w:rPr>
            <w:noProof/>
            <w:webHidden/>
          </w:rPr>
        </w:r>
        <w:r w:rsidR="008456DE">
          <w:rPr>
            <w:noProof/>
            <w:webHidden/>
          </w:rPr>
          <w:fldChar w:fldCharType="separate"/>
        </w:r>
        <w:r w:rsidR="008456DE">
          <w:rPr>
            <w:noProof/>
            <w:webHidden/>
          </w:rPr>
          <w:t>3</w:t>
        </w:r>
        <w:r w:rsidR="008456DE">
          <w:rPr>
            <w:noProof/>
            <w:webHidden/>
          </w:rPr>
          <w:fldChar w:fldCharType="end"/>
        </w:r>
      </w:hyperlink>
    </w:p>
    <w:p w14:paraId="194649D7" w14:textId="0DD21ADF" w:rsidR="008456DE" w:rsidRDefault="00000000">
      <w:pPr>
        <w:pStyle w:val="TOC2"/>
        <w:tabs>
          <w:tab w:val="left" w:pos="1440"/>
          <w:tab w:val="right" w:leader="dot" w:pos="9350"/>
        </w:tabs>
        <w:rPr>
          <w:rFonts w:asciiTheme="minorHAnsi" w:eastAsiaTheme="minorEastAsia" w:hAnsiTheme="minorHAnsi" w:cstheme="minorBidi"/>
          <w:noProof/>
          <w:kern w:val="2"/>
          <w:sz w:val="24"/>
          <w:szCs w:val="24"/>
          <w14:ligatures w14:val="standardContextual"/>
        </w:rPr>
      </w:pPr>
      <w:hyperlink w:anchor="_Toc163125201" w:history="1">
        <w:r w:rsidR="008456DE" w:rsidRPr="0096691A">
          <w:rPr>
            <w:rStyle w:val="Hyperlink"/>
            <w:noProof/>
          </w:rPr>
          <w:t>A.</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Facts in Evidence and All Reasonable Inferences</w:t>
        </w:r>
        <w:r w:rsidR="008456DE">
          <w:rPr>
            <w:noProof/>
            <w:webHidden/>
          </w:rPr>
          <w:tab/>
        </w:r>
        <w:r w:rsidR="008456DE">
          <w:rPr>
            <w:noProof/>
            <w:webHidden/>
          </w:rPr>
          <w:fldChar w:fldCharType="begin"/>
        </w:r>
        <w:r w:rsidR="008456DE">
          <w:rPr>
            <w:noProof/>
            <w:webHidden/>
          </w:rPr>
          <w:instrText xml:space="preserve"> PAGEREF _Toc163125201 \h </w:instrText>
        </w:r>
        <w:r w:rsidR="008456DE">
          <w:rPr>
            <w:noProof/>
            <w:webHidden/>
          </w:rPr>
        </w:r>
        <w:r w:rsidR="008456DE">
          <w:rPr>
            <w:noProof/>
            <w:webHidden/>
          </w:rPr>
          <w:fldChar w:fldCharType="separate"/>
        </w:r>
        <w:r w:rsidR="008456DE">
          <w:rPr>
            <w:noProof/>
            <w:webHidden/>
          </w:rPr>
          <w:t>4</w:t>
        </w:r>
        <w:r w:rsidR="008456DE">
          <w:rPr>
            <w:noProof/>
            <w:webHidden/>
          </w:rPr>
          <w:fldChar w:fldCharType="end"/>
        </w:r>
      </w:hyperlink>
    </w:p>
    <w:p w14:paraId="388B7DB2" w14:textId="325727BF" w:rsidR="008456DE" w:rsidRDefault="00000000">
      <w:pPr>
        <w:pStyle w:val="TOC2"/>
        <w:tabs>
          <w:tab w:val="left" w:pos="1440"/>
          <w:tab w:val="right" w:leader="dot" w:pos="9350"/>
        </w:tabs>
        <w:rPr>
          <w:rFonts w:asciiTheme="minorHAnsi" w:eastAsiaTheme="minorEastAsia" w:hAnsiTheme="minorHAnsi" w:cstheme="minorBidi"/>
          <w:noProof/>
          <w:kern w:val="2"/>
          <w:sz w:val="24"/>
          <w:szCs w:val="24"/>
          <w14:ligatures w14:val="standardContextual"/>
        </w:rPr>
      </w:pPr>
      <w:hyperlink w:anchor="_Toc163125202" w:history="1">
        <w:r w:rsidR="008456DE" w:rsidRPr="0096691A">
          <w:rPr>
            <w:rStyle w:val="Hyperlink"/>
            <w:noProof/>
          </w:rPr>
          <w:t>B.</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Relevant Law</w:t>
        </w:r>
        <w:r w:rsidR="008456DE">
          <w:rPr>
            <w:noProof/>
            <w:webHidden/>
          </w:rPr>
          <w:tab/>
        </w:r>
        <w:r w:rsidR="008456DE">
          <w:rPr>
            <w:noProof/>
            <w:webHidden/>
          </w:rPr>
          <w:fldChar w:fldCharType="begin"/>
        </w:r>
        <w:r w:rsidR="008456DE">
          <w:rPr>
            <w:noProof/>
            <w:webHidden/>
          </w:rPr>
          <w:instrText xml:space="preserve"> PAGEREF _Toc163125202 \h </w:instrText>
        </w:r>
        <w:r w:rsidR="008456DE">
          <w:rPr>
            <w:noProof/>
            <w:webHidden/>
          </w:rPr>
        </w:r>
        <w:r w:rsidR="008456DE">
          <w:rPr>
            <w:noProof/>
            <w:webHidden/>
          </w:rPr>
          <w:fldChar w:fldCharType="separate"/>
        </w:r>
        <w:r w:rsidR="008456DE">
          <w:rPr>
            <w:noProof/>
            <w:webHidden/>
          </w:rPr>
          <w:t>4</w:t>
        </w:r>
        <w:r w:rsidR="008456DE">
          <w:rPr>
            <w:noProof/>
            <w:webHidden/>
          </w:rPr>
          <w:fldChar w:fldCharType="end"/>
        </w:r>
      </w:hyperlink>
    </w:p>
    <w:p w14:paraId="5A61EAAB" w14:textId="14196780" w:rsidR="008456DE" w:rsidRDefault="00000000">
      <w:pPr>
        <w:pStyle w:val="TOC2"/>
        <w:tabs>
          <w:tab w:val="left" w:pos="1440"/>
          <w:tab w:val="right" w:leader="dot" w:pos="9350"/>
        </w:tabs>
        <w:rPr>
          <w:rFonts w:asciiTheme="minorHAnsi" w:eastAsiaTheme="minorEastAsia" w:hAnsiTheme="minorHAnsi" w:cstheme="minorBidi"/>
          <w:noProof/>
          <w:kern w:val="2"/>
          <w:sz w:val="24"/>
          <w:szCs w:val="24"/>
          <w14:ligatures w14:val="standardContextual"/>
        </w:rPr>
      </w:pPr>
      <w:hyperlink w:anchor="_Toc163125203" w:history="1">
        <w:r w:rsidR="008456DE" w:rsidRPr="0096691A">
          <w:rPr>
            <w:rStyle w:val="Hyperlink"/>
            <w:noProof/>
          </w:rPr>
          <w:t>C.</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Positions or Conclusions</w:t>
        </w:r>
        <w:r w:rsidR="008456DE">
          <w:rPr>
            <w:noProof/>
            <w:webHidden/>
          </w:rPr>
          <w:tab/>
        </w:r>
        <w:r w:rsidR="008456DE">
          <w:rPr>
            <w:noProof/>
            <w:webHidden/>
          </w:rPr>
          <w:fldChar w:fldCharType="begin"/>
        </w:r>
        <w:r w:rsidR="008456DE">
          <w:rPr>
            <w:noProof/>
            <w:webHidden/>
          </w:rPr>
          <w:instrText xml:space="preserve"> PAGEREF _Toc163125203 \h </w:instrText>
        </w:r>
        <w:r w:rsidR="008456DE">
          <w:rPr>
            <w:noProof/>
            <w:webHidden/>
          </w:rPr>
        </w:r>
        <w:r w:rsidR="008456DE">
          <w:rPr>
            <w:noProof/>
            <w:webHidden/>
          </w:rPr>
          <w:fldChar w:fldCharType="separate"/>
        </w:r>
        <w:r w:rsidR="008456DE">
          <w:rPr>
            <w:noProof/>
            <w:webHidden/>
          </w:rPr>
          <w:t>5</w:t>
        </w:r>
        <w:r w:rsidR="008456DE">
          <w:rPr>
            <w:noProof/>
            <w:webHidden/>
          </w:rPr>
          <w:fldChar w:fldCharType="end"/>
        </w:r>
      </w:hyperlink>
    </w:p>
    <w:p w14:paraId="797491E9" w14:textId="15F5A44B" w:rsidR="008456DE" w:rsidRDefault="00000000">
      <w:pPr>
        <w:pStyle w:val="TOC2"/>
        <w:tabs>
          <w:tab w:val="left" w:pos="1440"/>
          <w:tab w:val="right" w:leader="dot" w:pos="9350"/>
        </w:tabs>
        <w:rPr>
          <w:rFonts w:asciiTheme="minorHAnsi" w:eastAsiaTheme="minorEastAsia" w:hAnsiTheme="minorHAnsi" w:cstheme="minorBidi"/>
          <w:noProof/>
          <w:kern w:val="2"/>
          <w:sz w:val="24"/>
          <w:szCs w:val="24"/>
          <w14:ligatures w14:val="standardContextual"/>
        </w:rPr>
      </w:pPr>
      <w:hyperlink w:anchor="_Toc163125204" w:history="1">
        <w:r w:rsidR="008456DE" w:rsidRPr="0096691A">
          <w:rPr>
            <w:rStyle w:val="Hyperlink"/>
            <w:noProof/>
          </w:rPr>
          <w:t>D.</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Credibility of Witnesses</w:t>
        </w:r>
        <w:r w:rsidR="008456DE">
          <w:rPr>
            <w:noProof/>
            <w:webHidden/>
          </w:rPr>
          <w:tab/>
        </w:r>
        <w:r w:rsidR="008456DE">
          <w:rPr>
            <w:noProof/>
            <w:webHidden/>
          </w:rPr>
          <w:fldChar w:fldCharType="begin"/>
        </w:r>
        <w:r w:rsidR="008456DE">
          <w:rPr>
            <w:noProof/>
            <w:webHidden/>
          </w:rPr>
          <w:instrText xml:space="preserve"> PAGEREF _Toc163125204 \h </w:instrText>
        </w:r>
        <w:r w:rsidR="008456DE">
          <w:rPr>
            <w:noProof/>
            <w:webHidden/>
          </w:rPr>
        </w:r>
        <w:r w:rsidR="008456DE">
          <w:rPr>
            <w:noProof/>
            <w:webHidden/>
          </w:rPr>
          <w:fldChar w:fldCharType="separate"/>
        </w:r>
        <w:r w:rsidR="008456DE">
          <w:rPr>
            <w:noProof/>
            <w:webHidden/>
          </w:rPr>
          <w:t>6</w:t>
        </w:r>
        <w:r w:rsidR="008456DE">
          <w:rPr>
            <w:noProof/>
            <w:webHidden/>
          </w:rPr>
          <w:fldChar w:fldCharType="end"/>
        </w:r>
      </w:hyperlink>
    </w:p>
    <w:p w14:paraId="080E9826" w14:textId="75CE0EF8" w:rsidR="008456DE" w:rsidRDefault="00000000">
      <w:pPr>
        <w:pStyle w:val="TOC2"/>
        <w:tabs>
          <w:tab w:val="left" w:pos="1440"/>
          <w:tab w:val="right" w:leader="dot" w:pos="9350"/>
        </w:tabs>
        <w:rPr>
          <w:rFonts w:asciiTheme="minorHAnsi" w:eastAsiaTheme="minorEastAsia" w:hAnsiTheme="minorHAnsi" w:cstheme="minorBidi"/>
          <w:noProof/>
          <w:kern w:val="2"/>
          <w:sz w:val="24"/>
          <w:szCs w:val="24"/>
          <w14:ligatures w14:val="standardContextual"/>
        </w:rPr>
      </w:pPr>
      <w:hyperlink w:anchor="_Toc163125205" w:history="1">
        <w:r w:rsidR="008456DE" w:rsidRPr="0096691A">
          <w:rPr>
            <w:rStyle w:val="Hyperlink"/>
            <w:noProof/>
          </w:rPr>
          <w:t>E.</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Pretrial Silence</w:t>
        </w:r>
        <w:r w:rsidR="008456DE">
          <w:rPr>
            <w:noProof/>
            <w:webHidden/>
          </w:rPr>
          <w:tab/>
        </w:r>
        <w:r w:rsidR="008456DE">
          <w:rPr>
            <w:noProof/>
            <w:webHidden/>
          </w:rPr>
          <w:fldChar w:fldCharType="begin"/>
        </w:r>
        <w:r w:rsidR="008456DE">
          <w:rPr>
            <w:noProof/>
            <w:webHidden/>
          </w:rPr>
          <w:instrText xml:space="preserve"> PAGEREF _Toc163125205 \h </w:instrText>
        </w:r>
        <w:r w:rsidR="008456DE">
          <w:rPr>
            <w:noProof/>
            <w:webHidden/>
          </w:rPr>
        </w:r>
        <w:r w:rsidR="008456DE">
          <w:rPr>
            <w:noProof/>
            <w:webHidden/>
          </w:rPr>
          <w:fldChar w:fldCharType="separate"/>
        </w:r>
        <w:r w:rsidR="008456DE">
          <w:rPr>
            <w:noProof/>
            <w:webHidden/>
          </w:rPr>
          <w:t>6</w:t>
        </w:r>
        <w:r w:rsidR="008456DE">
          <w:rPr>
            <w:noProof/>
            <w:webHidden/>
          </w:rPr>
          <w:fldChar w:fldCharType="end"/>
        </w:r>
      </w:hyperlink>
    </w:p>
    <w:p w14:paraId="32EFB110" w14:textId="7E61E426" w:rsidR="008456DE" w:rsidRDefault="00000000">
      <w:pPr>
        <w:pStyle w:val="TOC2"/>
        <w:tabs>
          <w:tab w:val="left" w:pos="1440"/>
          <w:tab w:val="right" w:leader="dot" w:pos="9350"/>
        </w:tabs>
        <w:rPr>
          <w:rFonts w:asciiTheme="minorHAnsi" w:eastAsiaTheme="minorEastAsia" w:hAnsiTheme="minorHAnsi" w:cstheme="minorBidi"/>
          <w:noProof/>
          <w:kern w:val="2"/>
          <w:sz w:val="24"/>
          <w:szCs w:val="24"/>
          <w14:ligatures w14:val="standardContextual"/>
        </w:rPr>
      </w:pPr>
      <w:hyperlink w:anchor="_Toc163125206" w:history="1">
        <w:r w:rsidR="008456DE" w:rsidRPr="0096691A">
          <w:rPr>
            <w:rStyle w:val="Hyperlink"/>
            <w:noProof/>
          </w:rPr>
          <w:t>F.</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Comment on the Defendant’s Failure to Present Evidence</w:t>
        </w:r>
        <w:r w:rsidR="008456DE">
          <w:rPr>
            <w:noProof/>
            <w:webHidden/>
          </w:rPr>
          <w:tab/>
        </w:r>
        <w:r w:rsidR="008456DE">
          <w:rPr>
            <w:noProof/>
            <w:webHidden/>
          </w:rPr>
          <w:fldChar w:fldCharType="begin"/>
        </w:r>
        <w:r w:rsidR="008456DE">
          <w:rPr>
            <w:noProof/>
            <w:webHidden/>
          </w:rPr>
          <w:instrText xml:space="preserve"> PAGEREF _Toc163125206 \h </w:instrText>
        </w:r>
        <w:r w:rsidR="008456DE">
          <w:rPr>
            <w:noProof/>
            <w:webHidden/>
          </w:rPr>
        </w:r>
        <w:r w:rsidR="008456DE">
          <w:rPr>
            <w:noProof/>
            <w:webHidden/>
          </w:rPr>
          <w:fldChar w:fldCharType="separate"/>
        </w:r>
        <w:r w:rsidR="008456DE">
          <w:rPr>
            <w:noProof/>
            <w:webHidden/>
          </w:rPr>
          <w:t>6</w:t>
        </w:r>
        <w:r w:rsidR="008456DE">
          <w:rPr>
            <w:noProof/>
            <w:webHidden/>
          </w:rPr>
          <w:fldChar w:fldCharType="end"/>
        </w:r>
      </w:hyperlink>
    </w:p>
    <w:p w14:paraId="306882B0" w14:textId="556DB5B6" w:rsidR="008456DE" w:rsidRDefault="00000000">
      <w:pPr>
        <w:pStyle w:val="TOC2"/>
        <w:tabs>
          <w:tab w:val="left" w:pos="1440"/>
          <w:tab w:val="right" w:leader="dot" w:pos="9350"/>
        </w:tabs>
        <w:rPr>
          <w:rFonts w:asciiTheme="minorHAnsi" w:eastAsiaTheme="minorEastAsia" w:hAnsiTheme="minorHAnsi" w:cstheme="minorBidi"/>
          <w:noProof/>
          <w:kern w:val="2"/>
          <w:sz w:val="24"/>
          <w:szCs w:val="24"/>
          <w14:ligatures w14:val="standardContextual"/>
        </w:rPr>
      </w:pPr>
      <w:hyperlink w:anchor="_Toc163125207" w:history="1">
        <w:r w:rsidR="008456DE" w:rsidRPr="0096691A">
          <w:rPr>
            <w:rStyle w:val="Hyperlink"/>
            <w:noProof/>
          </w:rPr>
          <w:t>G.</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Role of Jury</w:t>
        </w:r>
        <w:r w:rsidR="008456DE">
          <w:rPr>
            <w:noProof/>
            <w:webHidden/>
          </w:rPr>
          <w:tab/>
        </w:r>
        <w:r w:rsidR="008456DE">
          <w:rPr>
            <w:noProof/>
            <w:webHidden/>
          </w:rPr>
          <w:fldChar w:fldCharType="begin"/>
        </w:r>
        <w:r w:rsidR="008456DE">
          <w:rPr>
            <w:noProof/>
            <w:webHidden/>
          </w:rPr>
          <w:instrText xml:space="preserve"> PAGEREF _Toc163125207 \h </w:instrText>
        </w:r>
        <w:r w:rsidR="008456DE">
          <w:rPr>
            <w:noProof/>
            <w:webHidden/>
          </w:rPr>
        </w:r>
        <w:r w:rsidR="008456DE">
          <w:rPr>
            <w:noProof/>
            <w:webHidden/>
          </w:rPr>
          <w:fldChar w:fldCharType="separate"/>
        </w:r>
        <w:r w:rsidR="008456DE">
          <w:rPr>
            <w:noProof/>
            <w:webHidden/>
          </w:rPr>
          <w:t>7</w:t>
        </w:r>
        <w:r w:rsidR="008456DE">
          <w:rPr>
            <w:noProof/>
            <w:webHidden/>
          </w:rPr>
          <w:fldChar w:fldCharType="end"/>
        </w:r>
      </w:hyperlink>
    </w:p>
    <w:p w14:paraId="346A658B" w14:textId="0BA6F738" w:rsidR="008456DE" w:rsidRDefault="00000000">
      <w:pPr>
        <w:pStyle w:val="TOC2"/>
        <w:tabs>
          <w:tab w:val="left" w:pos="1440"/>
          <w:tab w:val="right" w:leader="dot" w:pos="9350"/>
        </w:tabs>
        <w:rPr>
          <w:rFonts w:asciiTheme="minorHAnsi" w:eastAsiaTheme="minorEastAsia" w:hAnsiTheme="minorHAnsi" w:cstheme="minorBidi"/>
          <w:noProof/>
          <w:kern w:val="2"/>
          <w:sz w:val="24"/>
          <w:szCs w:val="24"/>
          <w14:ligatures w14:val="standardContextual"/>
        </w:rPr>
      </w:pPr>
      <w:hyperlink w:anchor="_Toc163125208" w:history="1">
        <w:r w:rsidR="008456DE" w:rsidRPr="0096691A">
          <w:rPr>
            <w:rStyle w:val="Hyperlink"/>
            <w:noProof/>
          </w:rPr>
          <w:t>H.</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Display or Use of Evidence</w:t>
        </w:r>
        <w:r w:rsidR="008456DE">
          <w:rPr>
            <w:noProof/>
            <w:webHidden/>
          </w:rPr>
          <w:tab/>
        </w:r>
        <w:r w:rsidR="008456DE">
          <w:rPr>
            <w:noProof/>
            <w:webHidden/>
          </w:rPr>
          <w:fldChar w:fldCharType="begin"/>
        </w:r>
        <w:r w:rsidR="008456DE">
          <w:rPr>
            <w:noProof/>
            <w:webHidden/>
          </w:rPr>
          <w:instrText xml:space="preserve"> PAGEREF _Toc163125208 \h </w:instrText>
        </w:r>
        <w:r w:rsidR="008456DE">
          <w:rPr>
            <w:noProof/>
            <w:webHidden/>
          </w:rPr>
        </w:r>
        <w:r w:rsidR="008456DE">
          <w:rPr>
            <w:noProof/>
            <w:webHidden/>
          </w:rPr>
          <w:fldChar w:fldCharType="separate"/>
        </w:r>
        <w:r w:rsidR="008456DE">
          <w:rPr>
            <w:noProof/>
            <w:webHidden/>
          </w:rPr>
          <w:t>8</w:t>
        </w:r>
        <w:r w:rsidR="008456DE">
          <w:rPr>
            <w:noProof/>
            <w:webHidden/>
          </w:rPr>
          <w:fldChar w:fldCharType="end"/>
        </w:r>
      </w:hyperlink>
    </w:p>
    <w:p w14:paraId="70C64389" w14:textId="498133A1" w:rsidR="008456DE" w:rsidRDefault="00000000">
      <w:pPr>
        <w:pStyle w:val="TOC2"/>
        <w:tabs>
          <w:tab w:val="left" w:pos="1440"/>
          <w:tab w:val="right" w:leader="dot" w:pos="9350"/>
        </w:tabs>
        <w:rPr>
          <w:rFonts w:asciiTheme="minorHAnsi" w:eastAsiaTheme="minorEastAsia" w:hAnsiTheme="minorHAnsi" w:cstheme="minorBidi"/>
          <w:noProof/>
          <w:kern w:val="2"/>
          <w:sz w:val="24"/>
          <w:szCs w:val="24"/>
          <w14:ligatures w14:val="standardContextual"/>
        </w:rPr>
      </w:pPr>
      <w:hyperlink w:anchor="_Toc163125209" w:history="1">
        <w:r w:rsidR="008456DE" w:rsidRPr="0096691A">
          <w:rPr>
            <w:rStyle w:val="Hyperlink"/>
            <w:noProof/>
          </w:rPr>
          <w:t>I.</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Specific Deterrence</w:t>
        </w:r>
        <w:r w:rsidR="008456DE">
          <w:rPr>
            <w:noProof/>
            <w:webHidden/>
          </w:rPr>
          <w:tab/>
        </w:r>
        <w:r w:rsidR="008456DE">
          <w:rPr>
            <w:noProof/>
            <w:webHidden/>
          </w:rPr>
          <w:fldChar w:fldCharType="begin"/>
        </w:r>
        <w:r w:rsidR="008456DE">
          <w:rPr>
            <w:noProof/>
            <w:webHidden/>
          </w:rPr>
          <w:instrText xml:space="preserve"> PAGEREF _Toc163125209 \h </w:instrText>
        </w:r>
        <w:r w:rsidR="008456DE">
          <w:rPr>
            <w:noProof/>
            <w:webHidden/>
          </w:rPr>
        </w:r>
        <w:r w:rsidR="008456DE">
          <w:rPr>
            <w:noProof/>
            <w:webHidden/>
          </w:rPr>
          <w:fldChar w:fldCharType="separate"/>
        </w:r>
        <w:r w:rsidR="008456DE">
          <w:rPr>
            <w:noProof/>
            <w:webHidden/>
          </w:rPr>
          <w:t>8</w:t>
        </w:r>
        <w:r w:rsidR="008456DE">
          <w:rPr>
            <w:noProof/>
            <w:webHidden/>
          </w:rPr>
          <w:fldChar w:fldCharType="end"/>
        </w:r>
      </w:hyperlink>
    </w:p>
    <w:p w14:paraId="0119C7E6" w14:textId="1B7FBC65" w:rsidR="008456DE" w:rsidRDefault="00000000">
      <w:pPr>
        <w:pStyle w:val="TOC1"/>
        <w:tabs>
          <w:tab w:val="left" w:pos="720"/>
          <w:tab w:val="right" w:leader="dot" w:pos="9350"/>
        </w:tabs>
        <w:rPr>
          <w:rFonts w:asciiTheme="minorHAnsi" w:eastAsiaTheme="minorEastAsia" w:hAnsiTheme="minorHAnsi" w:cstheme="minorBidi"/>
          <w:noProof/>
          <w:kern w:val="2"/>
          <w:sz w:val="24"/>
          <w:szCs w:val="24"/>
          <w14:ligatures w14:val="standardContextual"/>
        </w:rPr>
      </w:pPr>
      <w:hyperlink w:anchor="_Toc163125210" w:history="1">
        <w:r w:rsidR="008456DE" w:rsidRPr="0096691A">
          <w:rPr>
            <w:rStyle w:val="Hyperlink"/>
            <w:noProof/>
          </w:rPr>
          <w:t>V.</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Impermissible Argument</w:t>
        </w:r>
        <w:r w:rsidR="008456DE">
          <w:rPr>
            <w:noProof/>
            <w:webHidden/>
          </w:rPr>
          <w:tab/>
        </w:r>
        <w:r w:rsidR="008456DE">
          <w:rPr>
            <w:noProof/>
            <w:webHidden/>
          </w:rPr>
          <w:fldChar w:fldCharType="begin"/>
        </w:r>
        <w:r w:rsidR="008456DE">
          <w:rPr>
            <w:noProof/>
            <w:webHidden/>
          </w:rPr>
          <w:instrText xml:space="preserve"> PAGEREF _Toc163125210 \h </w:instrText>
        </w:r>
        <w:r w:rsidR="008456DE">
          <w:rPr>
            <w:noProof/>
            <w:webHidden/>
          </w:rPr>
        </w:r>
        <w:r w:rsidR="008456DE">
          <w:rPr>
            <w:noProof/>
            <w:webHidden/>
          </w:rPr>
          <w:fldChar w:fldCharType="separate"/>
        </w:r>
        <w:r w:rsidR="008456DE">
          <w:rPr>
            <w:noProof/>
            <w:webHidden/>
          </w:rPr>
          <w:t>9</w:t>
        </w:r>
        <w:r w:rsidR="008456DE">
          <w:rPr>
            <w:noProof/>
            <w:webHidden/>
          </w:rPr>
          <w:fldChar w:fldCharType="end"/>
        </w:r>
      </w:hyperlink>
    </w:p>
    <w:p w14:paraId="55167009" w14:textId="42F8B007" w:rsidR="008456DE" w:rsidRDefault="00000000">
      <w:pPr>
        <w:pStyle w:val="TOC2"/>
        <w:tabs>
          <w:tab w:val="left" w:pos="1440"/>
          <w:tab w:val="right" w:leader="dot" w:pos="9350"/>
        </w:tabs>
        <w:rPr>
          <w:rFonts w:asciiTheme="minorHAnsi" w:eastAsiaTheme="minorEastAsia" w:hAnsiTheme="minorHAnsi" w:cstheme="minorBidi"/>
          <w:noProof/>
          <w:kern w:val="2"/>
          <w:sz w:val="24"/>
          <w:szCs w:val="24"/>
          <w14:ligatures w14:val="standardContextual"/>
        </w:rPr>
      </w:pPr>
      <w:hyperlink w:anchor="_Toc163125211" w:history="1">
        <w:r w:rsidR="008456DE" w:rsidRPr="0096691A">
          <w:rPr>
            <w:rStyle w:val="Hyperlink"/>
            <w:noProof/>
          </w:rPr>
          <w:t>A.</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Generally</w:t>
        </w:r>
        <w:r w:rsidR="008456DE">
          <w:rPr>
            <w:noProof/>
            <w:webHidden/>
          </w:rPr>
          <w:tab/>
        </w:r>
        <w:r w:rsidR="008456DE">
          <w:rPr>
            <w:noProof/>
            <w:webHidden/>
          </w:rPr>
          <w:fldChar w:fldCharType="begin"/>
        </w:r>
        <w:r w:rsidR="008456DE">
          <w:rPr>
            <w:noProof/>
            <w:webHidden/>
          </w:rPr>
          <w:instrText xml:space="preserve"> PAGEREF _Toc163125211 \h </w:instrText>
        </w:r>
        <w:r w:rsidR="008456DE">
          <w:rPr>
            <w:noProof/>
            <w:webHidden/>
          </w:rPr>
        </w:r>
        <w:r w:rsidR="008456DE">
          <w:rPr>
            <w:noProof/>
            <w:webHidden/>
          </w:rPr>
          <w:fldChar w:fldCharType="separate"/>
        </w:r>
        <w:r w:rsidR="008456DE">
          <w:rPr>
            <w:noProof/>
            <w:webHidden/>
          </w:rPr>
          <w:t>9</w:t>
        </w:r>
        <w:r w:rsidR="008456DE">
          <w:rPr>
            <w:noProof/>
            <w:webHidden/>
          </w:rPr>
          <w:fldChar w:fldCharType="end"/>
        </w:r>
      </w:hyperlink>
    </w:p>
    <w:p w14:paraId="58D4ECED" w14:textId="00BD256A" w:rsidR="008456DE" w:rsidRDefault="00000000">
      <w:pPr>
        <w:pStyle w:val="TOC3"/>
        <w:rPr>
          <w:rFonts w:asciiTheme="minorHAnsi" w:eastAsiaTheme="minorEastAsia" w:hAnsiTheme="minorHAnsi" w:cstheme="minorBidi"/>
          <w:noProof/>
          <w:kern w:val="2"/>
          <w:sz w:val="24"/>
          <w:szCs w:val="24"/>
          <w14:ligatures w14:val="standardContextual"/>
        </w:rPr>
      </w:pPr>
      <w:hyperlink w:anchor="_Toc163125212" w:history="1">
        <w:r w:rsidR="008456DE" w:rsidRPr="0096691A">
          <w:rPr>
            <w:rStyle w:val="Hyperlink"/>
            <w:noProof/>
          </w:rPr>
          <w:t>1.</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Abusive Arguments</w:t>
        </w:r>
        <w:r w:rsidR="008456DE">
          <w:rPr>
            <w:noProof/>
            <w:webHidden/>
          </w:rPr>
          <w:tab/>
        </w:r>
        <w:r w:rsidR="008456DE">
          <w:rPr>
            <w:noProof/>
            <w:webHidden/>
          </w:rPr>
          <w:fldChar w:fldCharType="begin"/>
        </w:r>
        <w:r w:rsidR="008456DE">
          <w:rPr>
            <w:noProof/>
            <w:webHidden/>
          </w:rPr>
          <w:instrText xml:space="preserve"> PAGEREF _Toc163125212 \h </w:instrText>
        </w:r>
        <w:r w:rsidR="008456DE">
          <w:rPr>
            <w:noProof/>
            <w:webHidden/>
          </w:rPr>
        </w:r>
        <w:r w:rsidR="008456DE">
          <w:rPr>
            <w:noProof/>
            <w:webHidden/>
          </w:rPr>
          <w:fldChar w:fldCharType="separate"/>
        </w:r>
        <w:r w:rsidR="008456DE">
          <w:rPr>
            <w:noProof/>
            <w:webHidden/>
          </w:rPr>
          <w:t>9</w:t>
        </w:r>
        <w:r w:rsidR="008456DE">
          <w:rPr>
            <w:noProof/>
            <w:webHidden/>
          </w:rPr>
          <w:fldChar w:fldCharType="end"/>
        </w:r>
      </w:hyperlink>
    </w:p>
    <w:p w14:paraId="7B92155D" w14:textId="03ABA413" w:rsidR="008456DE" w:rsidRDefault="00000000">
      <w:pPr>
        <w:pStyle w:val="TOC3"/>
        <w:rPr>
          <w:rFonts w:asciiTheme="minorHAnsi" w:eastAsiaTheme="minorEastAsia" w:hAnsiTheme="minorHAnsi" w:cstheme="minorBidi"/>
          <w:noProof/>
          <w:kern w:val="2"/>
          <w:sz w:val="24"/>
          <w:szCs w:val="24"/>
          <w14:ligatures w14:val="standardContextual"/>
        </w:rPr>
      </w:pPr>
      <w:hyperlink w:anchor="_Toc163125213" w:history="1">
        <w:r w:rsidR="008456DE" w:rsidRPr="0096691A">
          <w:rPr>
            <w:rStyle w:val="Hyperlink"/>
            <w:noProof/>
          </w:rPr>
          <w:t>2.</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Lack of Dignity or Propriety</w:t>
        </w:r>
        <w:r w:rsidR="008456DE">
          <w:rPr>
            <w:noProof/>
            <w:webHidden/>
          </w:rPr>
          <w:tab/>
        </w:r>
        <w:r w:rsidR="008456DE">
          <w:rPr>
            <w:noProof/>
            <w:webHidden/>
          </w:rPr>
          <w:fldChar w:fldCharType="begin"/>
        </w:r>
        <w:r w:rsidR="008456DE">
          <w:rPr>
            <w:noProof/>
            <w:webHidden/>
          </w:rPr>
          <w:instrText xml:space="preserve"> PAGEREF _Toc163125213 \h </w:instrText>
        </w:r>
        <w:r w:rsidR="008456DE">
          <w:rPr>
            <w:noProof/>
            <w:webHidden/>
          </w:rPr>
        </w:r>
        <w:r w:rsidR="008456DE">
          <w:rPr>
            <w:noProof/>
            <w:webHidden/>
          </w:rPr>
          <w:fldChar w:fldCharType="separate"/>
        </w:r>
        <w:r w:rsidR="008456DE">
          <w:rPr>
            <w:noProof/>
            <w:webHidden/>
          </w:rPr>
          <w:t>9</w:t>
        </w:r>
        <w:r w:rsidR="008456DE">
          <w:rPr>
            <w:noProof/>
            <w:webHidden/>
          </w:rPr>
          <w:fldChar w:fldCharType="end"/>
        </w:r>
      </w:hyperlink>
    </w:p>
    <w:p w14:paraId="2E4A85C0" w14:textId="31EE571B" w:rsidR="008456DE" w:rsidRDefault="00000000">
      <w:pPr>
        <w:pStyle w:val="TOC3"/>
        <w:rPr>
          <w:rFonts w:asciiTheme="minorHAnsi" w:eastAsiaTheme="minorEastAsia" w:hAnsiTheme="minorHAnsi" w:cstheme="minorBidi"/>
          <w:noProof/>
          <w:kern w:val="2"/>
          <w:sz w:val="24"/>
          <w:szCs w:val="24"/>
          <w14:ligatures w14:val="standardContextual"/>
        </w:rPr>
      </w:pPr>
      <w:hyperlink w:anchor="_Toc163125214" w:history="1">
        <w:r w:rsidR="008456DE" w:rsidRPr="0096691A">
          <w:rPr>
            <w:rStyle w:val="Hyperlink"/>
            <w:noProof/>
          </w:rPr>
          <w:t>3.</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Arguments Appealing to Passion or Prejudice</w:t>
        </w:r>
        <w:r w:rsidR="008456DE">
          <w:rPr>
            <w:noProof/>
            <w:webHidden/>
          </w:rPr>
          <w:tab/>
        </w:r>
        <w:r w:rsidR="008456DE">
          <w:rPr>
            <w:noProof/>
            <w:webHidden/>
          </w:rPr>
          <w:fldChar w:fldCharType="begin"/>
        </w:r>
        <w:r w:rsidR="008456DE">
          <w:rPr>
            <w:noProof/>
            <w:webHidden/>
          </w:rPr>
          <w:instrText xml:space="preserve"> PAGEREF _Toc163125214 \h </w:instrText>
        </w:r>
        <w:r w:rsidR="008456DE">
          <w:rPr>
            <w:noProof/>
            <w:webHidden/>
          </w:rPr>
        </w:r>
        <w:r w:rsidR="008456DE">
          <w:rPr>
            <w:noProof/>
            <w:webHidden/>
          </w:rPr>
          <w:fldChar w:fldCharType="separate"/>
        </w:r>
        <w:r w:rsidR="008456DE">
          <w:rPr>
            <w:noProof/>
            <w:webHidden/>
          </w:rPr>
          <w:t>9</w:t>
        </w:r>
        <w:r w:rsidR="008456DE">
          <w:rPr>
            <w:noProof/>
            <w:webHidden/>
          </w:rPr>
          <w:fldChar w:fldCharType="end"/>
        </w:r>
      </w:hyperlink>
    </w:p>
    <w:p w14:paraId="7BF9DF0D" w14:textId="023A594C" w:rsidR="008456DE" w:rsidRDefault="00000000">
      <w:pPr>
        <w:pStyle w:val="TOC3"/>
        <w:rPr>
          <w:rFonts w:asciiTheme="minorHAnsi" w:eastAsiaTheme="minorEastAsia" w:hAnsiTheme="minorHAnsi" w:cstheme="minorBidi"/>
          <w:noProof/>
          <w:kern w:val="2"/>
          <w:sz w:val="24"/>
          <w:szCs w:val="24"/>
          <w14:ligatures w14:val="standardContextual"/>
        </w:rPr>
      </w:pPr>
      <w:hyperlink w:anchor="_Toc163125215" w:history="1">
        <w:r w:rsidR="008456DE" w:rsidRPr="0096691A">
          <w:rPr>
            <w:rStyle w:val="Hyperlink"/>
            <w:noProof/>
          </w:rPr>
          <w:t>4.</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Lack of Candor and Unfairness</w:t>
        </w:r>
        <w:r w:rsidR="008456DE">
          <w:rPr>
            <w:noProof/>
            <w:webHidden/>
          </w:rPr>
          <w:tab/>
        </w:r>
        <w:r w:rsidR="008456DE">
          <w:rPr>
            <w:noProof/>
            <w:webHidden/>
          </w:rPr>
          <w:fldChar w:fldCharType="begin"/>
        </w:r>
        <w:r w:rsidR="008456DE">
          <w:rPr>
            <w:noProof/>
            <w:webHidden/>
          </w:rPr>
          <w:instrText xml:space="preserve"> PAGEREF _Toc163125215 \h </w:instrText>
        </w:r>
        <w:r w:rsidR="008456DE">
          <w:rPr>
            <w:noProof/>
            <w:webHidden/>
          </w:rPr>
        </w:r>
        <w:r w:rsidR="008456DE">
          <w:rPr>
            <w:noProof/>
            <w:webHidden/>
          </w:rPr>
          <w:fldChar w:fldCharType="separate"/>
        </w:r>
        <w:r w:rsidR="008456DE">
          <w:rPr>
            <w:noProof/>
            <w:webHidden/>
          </w:rPr>
          <w:t>9</w:t>
        </w:r>
        <w:r w:rsidR="008456DE">
          <w:rPr>
            <w:noProof/>
            <w:webHidden/>
          </w:rPr>
          <w:fldChar w:fldCharType="end"/>
        </w:r>
      </w:hyperlink>
    </w:p>
    <w:p w14:paraId="3BEF00CA" w14:textId="3EB43134" w:rsidR="008456DE" w:rsidRDefault="00000000">
      <w:pPr>
        <w:pStyle w:val="TOC2"/>
        <w:tabs>
          <w:tab w:val="left" w:pos="1440"/>
          <w:tab w:val="right" w:leader="dot" w:pos="9350"/>
        </w:tabs>
        <w:rPr>
          <w:rFonts w:asciiTheme="minorHAnsi" w:eastAsiaTheme="minorEastAsia" w:hAnsiTheme="minorHAnsi" w:cstheme="minorBidi"/>
          <w:noProof/>
          <w:kern w:val="2"/>
          <w:sz w:val="24"/>
          <w:szCs w:val="24"/>
          <w14:ligatures w14:val="standardContextual"/>
        </w:rPr>
      </w:pPr>
      <w:hyperlink w:anchor="_Toc163125216" w:history="1">
        <w:r w:rsidR="008456DE" w:rsidRPr="0096691A">
          <w:rPr>
            <w:rStyle w:val="Hyperlink"/>
            <w:noProof/>
          </w:rPr>
          <w:t>B.</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Specific Types of Impermissible Arguments</w:t>
        </w:r>
        <w:r w:rsidR="008456DE">
          <w:rPr>
            <w:noProof/>
            <w:webHidden/>
          </w:rPr>
          <w:tab/>
        </w:r>
        <w:r w:rsidR="008456DE">
          <w:rPr>
            <w:noProof/>
            <w:webHidden/>
          </w:rPr>
          <w:fldChar w:fldCharType="begin"/>
        </w:r>
        <w:r w:rsidR="008456DE">
          <w:rPr>
            <w:noProof/>
            <w:webHidden/>
          </w:rPr>
          <w:instrText xml:space="preserve"> PAGEREF _Toc163125216 \h </w:instrText>
        </w:r>
        <w:r w:rsidR="008456DE">
          <w:rPr>
            <w:noProof/>
            <w:webHidden/>
          </w:rPr>
        </w:r>
        <w:r w:rsidR="008456DE">
          <w:rPr>
            <w:noProof/>
            <w:webHidden/>
          </w:rPr>
          <w:fldChar w:fldCharType="separate"/>
        </w:r>
        <w:r w:rsidR="008456DE">
          <w:rPr>
            <w:noProof/>
            <w:webHidden/>
          </w:rPr>
          <w:t>9</w:t>
        </w:r>
        <w:r w:rsidR="008456DE">
          <w:rPr>
            <w:noProof/>
            <w:webHidden/>
          </w:rPr>
          <w:fldChar w:fldCharType="end"/>
        </w:r>
      </w:hyperlink>
    </w:p>
    <w:p w14:paraId="5AFE2404" w14:textId="5573FB6C" w:rsidR="008456DE" w:rsidRDefault="00000000">
      <w:pPr>
        <w:pStyle w:val="TOC3"/>
        <w:rPr>
          <w:rFonts w:asciiTheme="minorHAnsi" w:eastAsiaTheme="minorEastAsia" w:hAnsiTheme="minorHAnsi" w:cstheme="minorBidi"/>
          <w:noProof/>
          <w:kern w:val="2"/>
          <w:sz w:val="24"/>
          <w:szCs w:val="24"/>
          <w14:ligatures w14:val="standardContextual"/>
        </w:rPr>
      </w:pPr>
      <w:hyperlink w:anchor="_Toc163125217" w:history="1">
        <w:r w:rsidR="008456DE" w:rsidRPr="0096691A">
          <w:rPr>
            <w:rStyle w:val="Hyperlink"/>
            <w:noProof/>
          </w:rPr>
          <w:t>1.</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Matters Outside the Record</w:t>
        </w:r>
        <w:r w:rsidR="008456DE">
          <w:rPr>
            <w:noProof/>
            <w:webHidden/>
          </w:rPr>
          <w:tab/>
        </w:r>
        <w:r w:rsidR="008456DE">
          <w:rPr>
            <w:noProof/>
            <w:webHidden/>
          </w:rPr>
          <w:fldChar w:fldCharType="begin"/>
        </w:r>
        <w:r w:rsidR="008456DE">
          <w:rPr>
            <w:noProof/>
            <w:webHidden/>
          </w:rPr>
          <w:instrText xml:space="preserve"> PAGEREF _Toc163125217 \h </w:instrText>
        </w:r>
        <w:r w:rsidR="008456DE">
          <w:rPr>
            <w:noProof/>
            <w:webHidden/>
          </w:rPr>
        </w:r>
        <w:r w:rsidR="008456DE">
          <w:rPr>
            <w:noProof/>
            <w:webHidden/>
          </w:rPr>
          <w:fldChar w:fldCharType="separate"/>
        </w:r>
        <w:r w:rsidR="008456DE">
          <w:rPr>
            <w:noProof/>
            <w:webHidden/>
          </w:rPr>
          <w:t>9</w:t>
        </w:r>
        <w:r w:rsidR="008456DE">
          <w:rPr>
            <w:noProof/>
            <w:webHidden/>
          </w:rPr>
          <w:fldChar w:fldCharType="end"/>
        </w:r>
      </w:hyperlink>
    </w:p>
    <w:p w14:paraId="62B8971A" w14:textId="4364CAA6" w:rsidR="008456DE" w:rsidRDefault="00000000">
      <w:pPr>
        <w:pStyle w:val="TOC3"/>
        <w:rPr>
          <w:rFonts w:asciiTheme="minorHAnsi" w:eastAsiaTheme="minorEastAsia" w:hAnsiTheme="minorHAnsi" w:cstheme="minorBidi"/>
          <w:noProof/>
          <w:kern w:val="2"/>
          <w:sz w:val="24"/>
          <w:szCs w:val="24"/>
          <w14:ligatures w14:val="standardContextual"/>
        </w:rPr>
      </w:pPr>
      <w:hyperlink w:anchor="_Toc163125218" w:history="1">
        <w:r w:rsidR="008456DE" w:rsidRPr="0096691A">
          <w:rPr>
            <w:rStyle w:val="Hyperlink"/>
            <w:noProof/>
          </w:rPr>
          <w:t>2.</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Irrelevant Statements of the Law</w:t>
        </w:r>
        <w:r w:rsidR="008456DE">
          <w:rPr>
            <w:noProof/>
            <w:webHidden/>
          </w:rPr>
          <w:tab/>
        </w:r>
        <w:r w:rsidR="008456DE">
          <w:rPr>
            <w:noProof/>
            <w:webHidden/>
          </w:rPr>
          <w:fldChar w:fldCharType="begin"/>
        </w:r>
        <w:r w:rsidR="008456DE">
          <w:rPr>
            <w:noProof/>
            <w:webHidden/>
          </w:rPr>
          <w:instrText xml:space="preserve"> PAGEREF _Toc163125218 \h </w:instrText>
        </w:r>
        <w:r w:rsidR="008456DE">
          <w:rPr>
            <w:noProof/>
            <w:webHidden/>
          </w:rPr>
        </w:r>
        <w:r w:rsidR="008456DE">
          <w:rPr>
            <w:noProof/>
            <w:webHidden/>
          </w:rPr>
          <w:fldChar w:fldCharType="separate"/>
        </w:r>
        <w:r w:rsidR="008456DE">
          <w:rPr>
            <w:noProof/>
            <w:webHidden/>
          </w:rPr>
          <w:t>11</w:t>
        </w:r>
        <w:r w:rsidR="008456DE">
          <w:rPr>
            <w:noProof/>
            <w:webHidden/>
          </w:rPr>
          <w:fldChar w:fldCharType="end"/>
        </w:r>
      </w:hyperlink>
    </w:p>
    <w:p w14:paraId="5E899EA1" w14:textId="1B51217C" w:rsidR="008456DE" w:rsidRDefault="00000000">
      <w:pPr>
        <w:pStyle w:val="TOC3"/>
        <w:rPr>
          <w:rFonts w:asciiTheme="minorHAnsi" w:eastAsiaTheme="minorEastAsia" w:hAnsiTheme="minorHAnsi" w:cstheme="minorBidi"/>
          <w:noProof/>
          <w:kern w:val="2"/>
          <w:sz w:val="24"/>
          <w:szCs w:val="24"/>
          <w14:ligatures w14:val="standardContextual"/>
        </w:rPr>
      </w:pPr>
      <w:hyperlink w:anchor="_Toc163125219" w:history="1">
        <w:r w:rsidR="008456DE" w:rsidRPr="0096691A">
          <w:rPr>
            <w:rStyle w:val="Hyperlink"/>
            <w:noProof/>
          </w:rPr>
          <w:t>3.</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Incorrect Statements of the Law</w:t>
        </w:r>
        <w:r w:rsidR="008456DE">
          <w:rPr>
            <w:noProof/>
            <w:webHidden/>
          </w:rPr>
          <w:tab/>
        </w:r>
        <w:r w:rsidR="008456DE">
          <w:rPr>
            <w:noProof/>
            <w:webHidden/>
          </w:rPr>
          <w:fldChar w:fldCharType="begin"/>
        </w:r>
        <w:r w:rsidR="008456DE">
          <w:rPr>
            <w:noProof/>
            <w:webHidden/>
          </w:rPr>
          <w:instrText xml:space="preserve"> PAGEREF _Toc163125219 \h </w:instrText>
        </w:r>
        <w:r w:rsidR="008456DE">
          <w:rPr>
            <w:noProof/>
            <w:webHidden/>
          </w:rPr>
        </w:r>
        <w:r w:rsidR="008456DE">
          <w:rPr>
            <w:noProof/>
            <w:webHidden/>
          </w:rPr>
          <w:fldChar w:fldCharType="separate"/>
        </w:r>
        <w:r w:rsidR="008456DE">
          <w:rPr>
            <w:noProof/>
            <w:webHidden/>
          </w:rPr>
          <w:t>11</w:t>
        </w:r>
        <w:r w:rsidR="008456DE">
          <w:rPr>
            <w:noProof/>
            <w:webHidden/>
          </w:rPr>
          <w:fldChar w:fldCharType="end"/>
        </w:r>
      </w:hyperlink>
    </w:p>
    <w:p w14:paraId="60976CB0" w14:textId="14FB2C4A" w:rsidR="008456DE" w:rsidRDefault="00000000">
      <w:pPr>
        <w:pStyle w:val="TOC3"/>
        <w:rPr>
          <w:rFonts w:asciiTheme="minorHAnsi" w:eastAsiaTheme="minorEastAsia" w:hAnsiTheme="minorHAnsi" w:cstheme="minorBidi"/>
          <w:noProof/>
          <w:kern w:val="2"/>
          <w:sz w:val="24"/>
          <w:szCs w:val="24"/>
          <w14:ligatures w14:val="standardContextual"/>
        </w:rPr>
      </w:pPr>
      <w:hyperlink w:anchor="_Toc163125220" w:history="1">
        <w:r w:rsidR="008456DE" w:rsidRPr="0096691A">
          <w:rPr>
            <w:rStyle w:val="Hyperlink"/>
            <w:noProof/>
          </w:rPr>
          <w:t>4.</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Arguing that a Result is Mandated by a Prior Case</w:t>
        </w:r>
        <w:r w:rsidR="008456DE">
          <w:rPr>
            <w:noProof/>
            <w:webHidden/>
          </w:rPr>
          <w:tab/>
        </w:r>
        <w:r w:rsidR="008456DE">
          <w:rPr>
            <w:noProof/>
            <w:webHidden/>
          </w:rPr>
          <w:fldChar w:fldCharType="begin"/>
        </w:r>
        <w:r w:rsidR="008456DE">
          <w:rPr>
            <w:noProof/>
            <w:webHidden/>
          </w:rPr>
          <w:instrText xml:space="preserve"> PAGEREF _Toc163125220 \h </w:instrText>
        </w:r>
        <w:r w:rsidR="008456DE">
          <w:rPr>
            <w:noProof/>
            <w:webHidden/>
          </w:rPr>
        </w:r>
        <w:r w:rsidR="008456DE">
          <w:rPr>
            <w:noProof/>
            <w:webHidden/>
          </w:rPr>
          <w:fldChar w:fldCharType="separate"/>
        </w:r>
        <w:r w:rsidR="008456DE">
          <w:rPr>
            <w:noProof/>
            <w:webHidden/>
          </w:rPr>
          <w:t>11</w:t>
        </w:r>
        <w:r w:rsidR="008456DE">
          <w:rPr>
            <w:noProof/>
            <w:webHidden/>
          </w:rPr>
          <w:fldChar w:fldCharType="end"/>
        </w:r>
      </w:hyperlink>
    </w:p>
    <w:p w14:paraId="2C3192DA" w14:textId="38AB9ABD" w:rsidR="008456DE" w:rsidRDefault="00000000">
      <w:pPr>
        <w:pStyle w:val="TOC3"/>
        <w:rPr>
          <w:rFonts w:asciiTheme="minorHAnsi" w:eastAsiaTheme="minorEastAsia" w:hAnsiTheme="minorHAnsi" w:cstheme="minorBidi"/>
          <w:noProof/>
          <w:kern w:val="2"/>
          <w:sz w:val="24"/>
          <w:szCs w:val="24"/>
          <w14:ligatures w14:val="standardContextual"/>
        </w:rPr>
      </w:pPr>
      <w:hyperlink w:anchor="_Toc163125221" w:history="1">
        <w:r w:rsidR="008456DE" w:rsidRPr="0096691A">
          <w:rPr>
            <w:rStyle w:val="Hyperlink"/>
            <w:noProof/>
          </w:rPr>
          <w:t>5.</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Pretrial Silence</w:t>
        </w:r>
        <w:r w:rsidR="008456DE">
          <w:rPr>
            <w:noProof/>
            <w:webHidden/>
          </w:rPr>
          <w:tab/>
        </w:r>
        <w:r w:rsidR="008456DE">
          <w:rPr>
            <w:noProof/>
            <w:webHidden/>
          </w:rPr>
          <w:fldChar w:fldCharType="begin"/>
        </w:r>
        <w:r w:rsidR="008456DE">
          <w:rPr>
            <w:noProof/>
            <w:webHidden/>
          </w:rPr>
          <w:instrText xml:space="preserve"> PAGEREF _Toc163125221 \h </w:instrText>
        </w:r>
        <w:r w:rsidR="008456DE">
          <w:rPr>
            <w:noProof/>
            <w:webHidden/>
          </w:rPr>
        </w:r>
        <w:r w:rsidR="008456DE">
          <w:rPr>
            <w:noProof/>
            <w:webHidden/>
          </w:rPr>
          <w:fldChar w:fldCharType="separate"/>
        </w:r>
        <w:r w:rsidR="008456DE">
          <w:rPr>
            <w:noProof/>
            <w:webHidden/>
          </w:rPr>
          <w:t>12</w:t>
        </w:r>
        <w:r w:rsidR="008456DE">
          <w:rPr>
            <w:noProof/>
            <w:webHidden/>
          </w:rPr>
          <w:fldChar w:fldCharType="end"/>
        </w:r>
      </w:hyperlink>
    </w:p>
    <w:p w14:paraId="04DB72CA" w14:textId="2B69D8E9" w:rsidR="008456DE" w:rsidRDefault="00000000">
      <w:pPr>
        <w:pStyle w:val="TOC3"/>
        <w:rPr>
          <w:rFonts w:asciiTheme="minorHAnsi" w:eastAsiaTheme="minorEastAsia" w:hAnsiTheme="minorHAnsi" w:cstheme="minorBidi"/>
          <w:noProof/>
          <w:kern w:val="2"/>
          <w:sz w:val="24"/>
          <w:szCs w:val="24"/>
          <w14:ligatures w14:val="standardContextual"/>
        </w:rPr>
      </w:pPr>
      <w:hyperlink w:anchor="_Toc163125222" w:history="1">
        <w:r w:rsidR="008456DE" w:rsidRPr="0096691A">
          <w:rPr>
            <w:rStyle w:val="Hyperlink"/>
            <w:noProof/>
          </w:rPr>
          <w:t>6.</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Comment on the Defendant’s Exercise of Right to Jury Trial</w:t>
        </w:r>
        <w:r w:rsidR="008456DE">
          <w:rPr>
            <w:noProof/>
            <w:webHidden/>
          </w:rPr>
          <w:tab/>
        </w:r>
        <w:r w:rsidR="008456DE">
          <w:rPr>
            <w:noProof/>
            <w:webHidden/>
          </w:rPr>
          <w:fldChar w:fldCharType="begin"/>
        </w:r>
        <w:r w:rsidR="008456DE">
          <w:rPr>
            <w:noProof/>
            <w:webHidden/>
          </w:rPr>
          <w:instrText xml:space="preserve"> PAGEREF _Toc163125222 \h </w:instrText>
        </w:r>
        <w:r w:rsidR="008456DE">
          <w:rPr>
            <w:noProof/>
            <w:webHidden/>
          </w:rPr>
        </w:r>
        <w:r w:rsidR="008456DE">
          <w:rPr>
            <w:noProof/>
            <w:webHidden/>
          </w:rPr>
          <w:fldChar w:fldCharType="separate"/>
        </w:r>
        <w:r w:rsidR="008456DE">
          <w:rPr>
            <w:noProof/>
            <w:webHidden/>
          </w:rPr>
          <w:t>12</w:t>
        </w:r>
        <w:r w:rsidR="008456DE">
          <w:rPr>
            <w:noProof/>
            <w:webHidden/>
          </w:rPr>
          <w:fldChar w:fldCharType="end"/>
        </w:r>
      </w:hyperlink>
    </w:p>
    <w:p w14:paraId="71CF6EB2" w14:textId="70952739" w:rsidR="008456DE" w:rsidRDefault="00000000">
      <w:pPr>
        <w:pStyle w:val="TOC3"/>
        <w:rPr>
          <w:rFonts w:asciiTheme="minorHAnsi" w:eastAsiaTheme="minorEastAsia" w:hAnsiTheme="minorHAnsi" w:cstheme="minorBidi"/>
          <w:noProof/>
          <w:kern w:val="2"/>
          <w:sz w:val="24"/>
          <w:szCs w:val="24"/>
          <w14:ligatures w14:val="standardContextual"/>
        </w:rPr>
      </w:pPr>
      <w:hyperlink w:anchor="_Toc163125223" w:history="1">
        <w:r w:rsidR="008456DE" w:rsidRPr="0096691A">
          <w:rPr>
            <w:rStyle w:val="Hyperlink"/>
            <w:noProof/>
          </w:rPr>
          <w:t>7.</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Comment on the Defendant’s Failure to Testify</w:t>
        </w:r>
        <w:r w:rsidR="008456DE">
          <w:rPr>
            <w:noProof/>
            <w:webHidden/>
          </w:rPr>
          <w:tab/>
        </w:r>
        <w:r w:rsidR="008456DE">
          <w:rPr>
            <w:noProof/>
            <w:webHidden/>
          </w:rPr>
          <w:fldChar w:fldCharType="begin"/>
        </w:r>
        <w:r w:rsidR="008456DE">
          <w:rPr>
            <w:noProof/>
            <w:webHidden/>
          </w:rPr>
          <w:instrText xml:space="preserve"> PAGEREF _Toc163125223 \h </w:instrText>
        </w:r>
        <w:r w:rsidR="008456DE">
          <w:rPr>
            <w:noProof/>
            <w:webHidden/>
          </w:rPr>
        </w:r>
        <w:r w:rsidR="008456DE">
          <w:rPr>
            <w:noProof/>
            <w:webHidden/>
          </w:rPr>
          <w:fldChar w:fldCharType="separate"/>
        </w:r>
        <w:r w:rsidR="008456DE">
          <w:rPr>
            <w:noProof/>
            <w:webHidden/>
          </w:rPr>
          <w:t>12</w:t>
        </w:r>
        <w:r w:rsidR="008456DE">
          <w:rPr>
            <w:noProof/>
            <w:webHidden/>
          </w:rPr>
          <w:fldChar w:fldCharType="end"/>
        </w:r>
      </w:hyperlink>
    </w:p>
    <w:p w14:paraId="3DD68F29" w14:textId="3E1B17C6" w:rsidR="008456DE" w:rsidRDefault="00000000">
      <w:pPr>
        <w:pStyle w:val="TOC3"/>
        <w:rPr>
          <w:rFonts w:asciiTheme="minorHAnsi" w:eastAsiaTheme="minorEastAsia" w:hAnsiTheme="minorHAnsi" w:cstheme="minorBidi"/>
          <w:noProof/>
          <w:kern w:val="2"/>
          <w:sz w:val="24"/>
          <w:szCs w:val="24"/>
          <w14:ligatures w14:val="standardContextual"/>
        </w:rPr>
      </w:pPr>
      <w:hyperlink w:anchor="_Toc163125224" w:history="1">
        <w:r w:rsidR="008456DE" w:rsidRPr="0096691A">
          <w:rPr>
            <w:rStyle w:val="Hyperlink"/>
            <w:noProof/>
          </w:rPr>
          <w:t>8.</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Failure To Call a Spouse</w:t>
        </w:r>
        <w:r w:rsidR="008456DE">
          <w:rPr>
            <w:noProof/>
            <w:webHidden/>
          </w:rPr>
          <w:tab/>
        </w:r>
        <w:r w:rsidR="008456DE">
          <w:rPr>
            <w:noProof/>
            <w:webHidden/>
          </w:rPr>
          <w:fldChar w:fldCharType="begin"/>
        </w:r>
        <w:r w:rsidR="008456DE">
          <w:rPr>
            <w:noProof/>
            <w:webHidden/>
          </w:rPr>
          <w:instrText xml:space="preserve"> PAGEREF _Toc163125224 \h </w:instrText>
        </w:r>
        <w:r w:rsidR="008456DE">
          <w:rPr>
            <w:noProof/>
            <w:webHidden/>
          </w:rPr>
        </w:r>
        <w:r w:rsidR="008456DE">
          <w:rPr>
            <w:noProof/>
            <w:webHidden/>
          </w:rPr>
          <w:fldChar w:fldCharType="separate"/>
        </w:r>
        <w:r w:rsidR="008456DE">
          <w:rPr>
            <w:noProof/>
            <w:webHidden/>
          </w:rPr>
          <w:t>13</w:t>
        </w:r>
        <w:r w:rsidR="008456DE">
          <w:rPr>
            <w:noProof/>
            <w:webHidden/>
          </w:rPr>
          <w:fldChar w:fldCharType="end"/>
        </w:r>
      </w:hyperlink>
    </w:p>
    <w:p w14:paraId="6B3EF255" w14:textId="361651AE" w:rsidR="008456DE" w:rsidRDefault="008456DE">
      <w:pPr>
        <w:pStyle w:val="TOC3"/>
        <w:rPr>
          <w:rFonts w:asciiTheme="minorHAnsi" w:eastAsiaTheme="minorEastAsia" w:hAnsiTheme="minorHAnsi" w:cstheme="minorBidi"/>
          <w:noProof/>
          <w:kern w:val="2"/>
          <w:sz w:val="24"/>
          <w:szCs w:val="24"/>
          <w14:ligatures w14:val="standardContextual"/>
        </w:rPr>
      </w:pPr>
      <w:hyperlink w:anchor="_Toc163125225" w:history="1">
        <w:r w:rsidRPr="0096691A">
          <w:rPr>
            <w:rStyle w:val="Hyperlink"/>
            <w:noProof/>
          </w:rPr>
          <w:t>9.</w:t>
        </w:r>
        <w:r>
          <w:rPr>
            <w:rFonts w:asciiTheme="minorHAnsi" w:eastAsiaTheme="minorEastAsia" w:hAnsiTheme="minorHAnsi" w:cstheme="minorBidi"/>
            <w:noProof/>
            <w:kern w:val="2"/>
            <w:sz w:val="24"/>
            <w:szCs w:val="24"/>
            <w14:ligatures w14:val="standardContextual"/>
          </w:rPr>
          <w:tab/>
        </w:r>
        <w:r w:rsidRPr="0096691A">
          <w:rPr>
            <w:rStyle w:val="Hyperlink"/>
            <w:noProof/>
          </w:rPr>
          <w:t>Reading the Indictment</w:t>
        </w:r>
        <w:r>
          <w:rPr>
            <w:noProof/>
            <w:webHidden/>
          </w:rPr>
          <w:tab/>
        </w:r>
        <w:r>
          <w:rPr>
            <w:noProof/>
            <w:webHidden/>
          </w:rPr>
          <w:fldChar w:fldCharType="begin"/>
        </w:r>
        <w:r>
          <w:rPr>
            <w:noProof/>
            <w:webHidden/>
          </w:rPr>
          <w:instrText xml:space="preserve"> PAGEREF _Toc163125225 \h </w:instrText>
        </w:r>
        <w:r>
          <w:rPr>
            <w:noProof/>
            <w:webHidden/>
          </w:rPr>
        </w:r>
        <w:r>
          <w:rPr>
            <w:noProof/>
            <w:webHidden/>
          </w:rPr>
          <w:fldChar w:fldCharType="separate"/>
        </w:r>
        <w:r>
          <w:rPr>
            <w:noProof/>
            <w:webHidden/>
          </w:rPr>
          <w:t>13</w:t>
        </w:r>
        <w:r>
          <w:rPr>
            <w:noProof/>
            <w:webHidden/>
          </w:rPr>
          <w:fldChar w:fldCharType="end"/>
        </w:r>
      </w:hyperlink>
    </w:p>
    <w:p w14:paraId="68E389EF" w14:textId="1C13002B" w:rsidR="008456DE" w:rsidRDefault="00000000">
      <w:pPr>
        <w:pStyle w:val="TOC3"/>
        <w:rPr>
          <w:rFonts w:asciiTheme="minorHAnsi" w:eastAsiaTheme="minorEastAsia" w:hAnsiTheme="minorHAnsi" w:cstheme="minorBidi"/>
          <w:noProof/>
          <w:kern w:val="2"/>
          <w:sz w:val="24"/>
          <w:szCs w:val="24"/>
          <w14:ligatures w14:val="standardContextual"/>
        </w:rPr>
      </w:pPr>
      <w:hyperlink w:anchor="_Toc163125226" w:history="1">
        <w:r w:rsidR="008456DE" w:rsidRPr="0096691A">
          <w:rPr>
            <w:rStyle w:val="Hyperlink"/>
            <w:noProof/>
          </w:rPr>
          <w:t>10.</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Religious Arguments</w:t>
        </w:r>
        <w:r w:rsidR="008456DE">
          <w:rPr>
            <w:noProof/>
            <w:webHidden/>
          </w:rPr>
          <w:tab/>
        </w:r>
        <w:r w:rsidR="008456DE">
          <w:rPr>
            <w:noProof/>
            <w:webHidden/>
          </w:rPr>
          <w:fldChar w:fldCharType="begin"/>
        </w:r>
        <w:r w:rsidR="008456DE">
          <w:rPr>
            <w:noProof/>
            <w:webHidden/>
          </w:rPr>
          <w:instrText xml:space="preserve"> PAGEREF _Toc163125226 \h </w:instrText>
        </w:r>
        <w:r w:rsidR="008456DE">
          <w:rPr>
            <w:noProof/>
            <w:webHidden/>
          </w:rPr>
        </w:r>
        <w:r w:rsidR="008456DE">
          <w:rPr>
            <w:noProof/>
            <w:webHidden/>
          </w:rPr>
          <w:fldChar w:fldCharType="separate"/>
        </w:r>
        <w:r w:rsidR="008456DE">
          <w:rPr>
            <w:noProof/>
            <w:webHidden/>
          </w:rPr>
          <w:t>13</w:t>
        </w:r>
        <w:r w:rsidR="008456DE">
          <w:rPr>
            <w:noProof/>
            <w:webHidden/>
          </w:rPr>
          <w:fldChar w:fldCharType="end"/>
        </w:r>
      </w:hyperlink>
    </w:p>
    <w:p w14:paraId="7C2F749B" w14:textId="5E5EF45C" w:rsidR="008456DE" w:rsidRDefault="00000000">
      <w:pPr>
        <w:pStyle w:val="TOC3"/>
        <w:rPr>
          <w:rFonts w:asciiTheme="minorHAnsi" w:eastAsiaTheme="minorEastAsia" w:hAnsiTheme="minorHAnsi" w:cstheme="minorBidi"/>
          <w:noProof/>
          <w:kern w:val="2"/>
          <w:sz w:val="24"/>
          <w:szCs w:val="24"/>
          <w14:ligatures w14:val="standardContextual"/>
        </w:rPr>
      </w:pPr>
      <w:hyperlink w:anchor="_Toc163125227" w:history="1">
        <w:r w:rsidR="008456DE" w:rsidRPr="0096691A">
          <w:rPr>
            <w:rStyle w:val="Hyperlink"/>
            <w:noProof/>
          </w:rPr>
          <w:t>11.</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Name Calling</w:t>
        </w:r>
        <w:r w:rsidR="008456DE">
          <w:rPr>
            <w:noProof/>
            <w:webHidden/>
          </w:rPr>
          <w:tab/>
        </w:r>
        <w:r w:rsidR="008456DE">
          <w:rPr>
            <w:noProof/>
            <w:webHidden/>
          </w:rPr>
          <w:fldChar w:fldCharType="begin"/>
        </w:r>
        <w:r w:rsidR="008456DE">
          <w:rPr>
            <w:noProof/>
            <w:webHidden/>
          </w:rPr>
          <w:instrText xml:space="preserve"> PAGEREF _Toc163125227 \h </w:instrText>
        </w:r>
        <w:r w:rsidR="008456DE">
          <w:rPr>
            <w:noProof/>
            <w:webHidden/>
          </w:rPr>
        </w:r>
        <w:r w:rsidR="008456DE">
          <w:rPr>
            <w:noProof/>
            <w:webHidden/>
          </w:rPr>
          <w:fldChar w:fldCharType="separate"/>
        </w:r>
        <w:r w:rsidR="008456DE">
          <w:rPr>
            <w:noProof/>
            <w:webHidden/>
          </w:rPr>
          <w:t>14</w:t>
        </w:r>
        <w:r w:rsidR="008456DE">
          <w:rPr>
            <w:noProof/>
            <w:webHidden/>
          </w:rPr>
          <w:fldChar w:fldCharType="end"/>
        </w:r>
      </w:hyperlink>
    </w:p>
    <w:p w14:paraId="439955E5" w14:textId="28487443" w:rsidR="008456DE" w:rsidRDefault="00000000">
      <w:pPr>
        <w:pStyle w:val="TOC3"/>
        <w:rPr>
          <w:rFonts w:asciiTheme="minorHAnsi" w:eastAsiaTheme="minorEastAsia" w:hAnsiTheme="minorHAnsi" w:cstheme="minorBidi"/>
          <w:noProof/>
          <w:kern w:val="2"/>
          <w:sz w:val="24"/>
          <w:szCs w:val="24"/>
          <w14:ligatures w14:val="standardContextual"/>
        </w:rPr>
      </w:pPr>
      <w:hyperlink w:anchor="_Toc163125228" w:history="1">
        <w:r w:rsidR="008456DE" w:rsidRPr="0096691A">
          <w:rPr>
            <w:rStyle w:val="Hyperlink"/>
            <w:noProof/>
          </w:rPr>
          <w:t>12.</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Referring to the Defendant as a Criminal</w:t>
        </w:r>
        <w:r w:rsidR="008456DE">
          <w:rPr>
            <w:noProof/>
            <w:webHidden/>
          </w:rPr>
          <w:tab/>
        </w:r>
        <w:r w:rsidR="008456DE">
          <w:rPr>
            <w:noProof/>
            <w:webHidden/>
          </w:rPr>
          <w:fldChar w:fldCharType="begin"/>
        </w:r>
        <w:r w:rsidR="008456DE">
          <w:rPr>
            <w:noProof/>
            <w:webHidden/>
          </w:rPr>
          <w:instrText xml:space="preserve"> PAGEREF _Toc163125228 \h </w:instrText>
        </w:r>
        <w:r w:rsidR="008456DE">
          <w:rPr>
            <w:noProof/>
            <w:webHidden/>
          </w:rPr>
        </w:r>
        <w:r w:rsidR="008456DE">
          <w:rPr>
            <w:noProof/>
            <w:webHidden/>
          </w:rPr>
          <w:fldChar w:fldCharType="separate"/>
        </w:r>
        <w:r w:rsidR="008456DE">
          <w:rPr>
            <w:noProof/>
            <w:webHidden/>
          </w:rPr>
          <w:t>16</w:t>
        </w:r>
        <w:r w:rsidR="008456DE">
          <w:rPr>
            <w:noProof/>
            <w:webHidden/>
          </w:rPr>
          <w:fldChar w:fldCharType="end"/>
        </w:r>
      </w:hyperlink>
    </w:p>
    <w:p w14:paraId="6C810822" w14:textId="7F65452D" w:rsidR="008456DE" w:rsidRDefault="00000000">
      <w:pPr>
        <w:pStyle w:val="TOC3"/>
        <w:rPr>
          <w:rFonts w:asciiTheme="minorHAnsi" w:eastAsiaTheme="minorEastAsia" w:hAnsiTheme="minorHAnsi" w:cstheme="minorBidi"/>
          <w:noProof/>
          <w:kern w:val="2"/>
          <w:sz w:val="24"/>
          <w:szCs w:val="24"/>
          <w14:ligatures w14:val="standardContextual"/>
        </w:rPr>
      </w:pPr>
      <w:hyperlink w:anchor="_Toc163125229" w:history="1">
        <w:r w:rsidR="008456DE" w:rsidRPr="0096691A">
          <w:rPr>
            <w:rStyle w:val="Hyperlink"/>
            <w:noProof/>
          </w:rPr>
          <w:t>13.</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Comparing the Defendant to an Animal</w:t>
        </w:r>
        <w:r w:rsidR="008456DE">
          <w:rPr>
            <w:noProof/>
            <w:webHidden/>
          </w:rPr>
          <w:tab/>
        </w:r>
        <w:r w:rsidR="008456DE">
          <w:rPr>
            <w:noProof/>
            <w:webHidden/>
          </w:rPr>
          <w:fldChar w:fldCharType="begin"/>
        </w:r>
        <w:r w:rsidR="008456DE">
          <w:rPr>
            <w:noProof/>
            <w:webHidden/>
          </w:rPr>
          <w:instrText xml:space="preserve"> PAGEREF _Toc163125229 \h </w:instrText>
        </w:r>
        <w:r w:rsidR="008456DE">
          <w:rPr>
            <w:noProof/>
            <w:webHidden/>
          </w:rPr>
        </w:r>
        <w:r w:rsidR="008456DE">
          <w:rPr>
            <w:noProof/>
            <w:webHidden/>
          </w:rPr>
          <w:fldChar w:fldCharType="separate"/>
        </w:r>
        <w:r w:rsidR="008456DE">
          <w:rPr>
            <w:noProof/>
            <w:webHidden/>
          </w:rPr>
          <w:t>16</w:t>
        </w:r>
        <w:r w:rsidR="008456DE">
          <w:rPr>
            <w:noProof/>
            <w:webHidden/>
          </w:rPr>
          <w:fldChar w:fldCharType="end"/>
        </w:r>
      </w:hyperlink>
    </w:p>
    <w:p w14:paraId="2D21E74E" w14:textId="263257BF" w:rsidR="008456DE" w:rsidRDefault="00000000">
      <w:pPr>
        <w:pStyle w:val="TOC3"/>
        <w:rPr>
          <w:rFonts w:asciiTheme="minorHAnsi" w:eastAsiaTheme="minorEastAsia" w:hAnsiTheme="minorHAnsi" w:cstheme="minorBidi"/>
          <w:noProof/>
          <w:kern w:val="2"/>
          <w:sz w:val="24"/>
          <w:szCs w:val="24"/>
          <w14:ligatures w14:val="standardContextual"/>
        </w:rPr>
      </w:pPr>
      <w:hyperlink w:anchor="_Toc163125230" w:history="1">
        <w:r w:rsidR="008456DE" w:rsidRPr="0096691A">
          <w:rPr>
            <w:rStyle w:val="Hyperlink"/>
            <w:noProof/>
          </w:rPr>
          <w:t>14.</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Argument Regarding the Defendant’s Appearance</w:t>
        </w:r>
        <w:r w:rsidR="008456DE">
          <w:rPr>
            <w:noProof/>
            <w:webHidden/>
          </w:rPr>
          <w:tab/>
        </w:r>
        <w:r w:rsidR="008456DE">
          <w:rPr>
            <w:noProof/>
            <w:webHidden/>
          </w:rPr>
          <w:fldChar w:fldCharType="begin"/>
        </w:r>
        <w:r w:rsidR="008456DE">
          <w:rPr>
            <w:noProof/>
            <w:webHidden/>
          </w:rPr>
          <w:instrText xml:space="preserve"> PAGEREF _Toc163125230 \h </w:instrText>
        </w:r>
        <w:r w:rsidR="008456DE">
          <w:rPr>
            <w:noProof/>
            <w:webHidden/>
          </w:rPr>
        </w:r>
        <w:r w:rsidR="008456DE">
          <w:rPr>
            <w:noProof/>
            <w:webHidden/>
          </w:rPr>
          <w:fldChar w:fldCharType="separate"/>
        </w:r>
        <w:r w:rsidR="008456DE">
          <w:rPr>
            <w:noProof/>
            <w:webHidden/>
          </w:rPr>
          <w:t>17</w:t>
        </w:r>
        <w:r w:rsidR="008456DE">
          <w:rPr>
            <w:noProof/>
            <w:webHidden/>
          </w:rPr>
          <w:fldChar w:fldCharType="end"/>
        </w:r>
      </w:hyperlink>
    </w:p>
    <w:p w14:paraId="08B364D8" w14:textId="2E29316C" w:rsidR="008456DE" w:rsidRDefault="00000000">
      <w:pPr>
        <w:pStyle w:val="TOC3"/>
        <w:rPr>
          <w:rFonts w:asciiTheme="minorHAnsi" w:eastAsiaTheme="minorEastAsia" w:hAnsiTheme="minorHAnsi" w:cstheme="minorBidi"/>
          <w:noProof/>
          <w:kern w:val="2"/>
          <w:sz w:val="24"/>
          <w:szCs w:val="24"/>
          <w14:ligatures w14:val="standardContextual"/>
        </w:rPr>
      </w:pPr>
      <w:hyperlink w:anchor="_Toc163125231" w:history="1">
        <w:r w:rsidR="008456DE" w:rsidRPr="0096691A">
          <w:rPr>
            <w:rStyle w:val="Hyperlink"/>
            <w:noProof/>
          </w:rPr>
          <w:t>15.</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Racial References</w:t>
        </w:r>
        <w:r w:rsidR="008456DE">
          <w:rPr>
            <w:noProof/>
            <w:webHidden/>
          </w:rPr>
          <w:tab/>
        </w:r>
        <w:r w:rsidR="008456DE">
          <w:rPr>
            <w:noProof/>
            <w:webHidden/>
          </w:rPr>
          <w:fldChar w:fldCharType="begin"/>
        </w:r>
        <w:r w:rsidR="008456DE">
          <w:rPr>
            <w:noProof/>
            <w:webHidden/>
          </w:rPr>
          <w:instrText xml:space="preserve"> PAGEREF _Toc163125231 \h </w:instrText>
        </w:r>
        <w:r w:rsidR="008456DE">
          <w:rPr>
            <w:noProof/>
            <w:webHidden/>
          </w:rPr>
        </w:r>
        <w:r w:rsidR="008456DE">
          <w:rPr>
            <w:noProof/>
            <w:webHidden/>
          </w:rPr>
          <w:fldChar w:fldCharType="separate"/>
        </w:r>
        <w:r w:rsidR="008456DE">
          <w:rPr>
            <w:noProof/>
            <w:webHidden/>
          </w:rPr>
          <w:t>18</w:t>
        </w:r>
        <w:r w:rsidR="008456DE">
          <w:rPr>
            <w:noProof/>
            <w:webHidden/>
          </w:rPr>
          <w:fldChar w:fldCharType="end"/>
        </w:r>
      </w:hyperlink>
    </w:p>
    <w:p w14:paraId="65306D36" w14:textId="773A8DD1" w:rsidR="008456DE" w:rsidRDefault="00000000">
      <w:pPr>
        <w:pStyle w:val="TOC3"/>
        <w:rPr>
          <w:rFonts w:asciiTheme="minorHAnsi" w:eastAsiaTheme="minorEastAsia" w:hAnsiTheme="minorHAnsi" w:cstheme="minorBidi"/>
          <w:noProof/>
          <w:kern w:val="2"/>
          <w:sz w:val="24"/>
          <w:szCs w:val="24"/>
          <w14:ligatures w14:val="standardContextual"/>
        </w:rPr>
      </w:pPr>
      <w:hyperlink w:anchor="_Toc163125232" w:history="1">
        <w:r w:rsidR="008456DE" w:rsidRPr="0096691A">
          <w:rPr>
            <w:rStyle w:val="Hyperlink"/>
            <w:noProof/>
          </w:rPr>
          <w:t>16.</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Referring to Tragic National Events</w:t>
        </w:r>
        <w:r w:rsidR="008456DE">
          <w:rPr>
            <w:noProof/>
            <w:webHidden/>
          </w:rPr>
          <w:tab/>
        </w:r>
        <w:r w:rsidR="008456DE">
          <w:rPr>
            <w:noProof/>
            <w:webHidden/>
          </w:rPr>
          <w:fldChar w:fldCharType="begin"/>
        </w:r>
        <w:r w:rsidR="008456DE">
          <w:rPr>
            <w:noProof/>
            <w:webHidden/>
          </w:rPr>
          <w:instrText xml:space="preserve"> PAGEREF _Toc163125232 \h </w:instrText>
        </w:r>
        <w:r w:rsidR="008456DE">
          <w:rPr>
            <w:noProof/>
            <w:webHidden/>
          </w:rPr>
        </w:r>
        <w:r w:rsidR="008456DE">
          <w:rPr>
            <w:noProof/>
            <w:webHidden/>
          </w:rPr>
          <w:fldChar w:fldCharType="separate"/>
        </w:r>
        <w:r w:rsidR="008456DE">
          <w:rPr>
            <w:noProof/>
            <w:webHidden/>
          </w:rPr>
          <w:t>18</w:t>
        </w:r>
        <w:r w:rsidR="008456DE">
          <w:rPr>
            <w:noProof/>
            <w:webHidden/>
          </w:rPr>
          <w:fldChar w:fldCharType="end"/>
        </w:r>
      </w:hyperlink>
    </w:p>
    <w:p w14:paraId="0DDA9A0B" w14:textId="17FC07A7" w:rsidR="008456DE" w:rsidRDefault="00000000">
      <w:pPr>
        <w:pStyle w:val="TOC3"/>
        <w:rPr>
          <w:rFonts w:asciiTheme="minorHAnsi" w:eastAsiaTheme="minorEastAsia" w:hAnsiTheme="minorHAnsi" w:cstheme="minorBidi"/>
          <w:noProof/>
          <w:kern w:val="2"/>
          <w:sz w:val="24"/>
          <w:szCs w:val="24"/>
          <w14:ligatures w14:val="standardContextual"/>
        </w:rPr>
      </w:pPr>
      <w:hyperlink w:anchor="_Toc163125233" w:history="1">
        <w:r w:rsidR="008456DE" w:rsidRPr="0096691A">
          <w:rPr>
            <w:rStyle w:val="Hyperlink"/>
            <w:noProof/>
          </w:rPr>
          <w:t>17.</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Personal Experiences</w:t>
        </w:r>
        <w:r w:rsidR="008456DE">
          <w:rPr>
            <w:noProof/>
            <w:webHidden/>
          </w:rPr>
          <w:tab/>
        </w:r>
        <w:r w:rsidR="008456DE">
          <w:rPr>
            <w:noProof/>
            <w:webHidden/>
          </w:rPr>
          <w:fldChar w:fldCharType="begin"/>
        </w:r>
        <w:r w:rsidR="008456DE">
          <w:rPr>
            <w:noProof/>
            <w:webHidden/>
          </w:rPr>
          <w:instrText xml:space="preserve"> PAGEREF _Toc163125233 \h </w:instrText>
        </w:r>
        <w:r w:rsidR="008456DE">
          <w:rPr>
            <w:noProof/>
            <w:webHidden/>
          </w:rPr>
        </w:r>
        <w:r w:rsidR="008456DE">
          <w:rPr>
            <w:noProof/>
            <w:webHidden/>
          </w:rPr>
          <w:fldChar w:fldCharType="separate"/>
        </w:r>
        <w:r w:rsidR="008456DE">
          <w:rPr>
            <w:noProof/>
            <w:webHidden/>
          </w:rPr>
          <w:t>18</w:t>
        </w:r>
        <w:r w:rsidR="008456DE">
          <w:rPr>
            <w:noProof/>
            <w:webHidden/>
          </w:rPr>
          <w:fldChar w:fldCharType="end"/>
        </w:r>
      </w:hyperlink>
    </w:p>
    <w:p w14:paraId="16546147" w14:textId="31E23D6E" w:rsidR="008456DE" w:rsidRDefault="00000000">
      <w:pPr>
        <w:pStyle w:val="TOC3"/>
        <w:rPr>
          <w:rFonts w:asciiTheme="minorHAnsi" w:eastAsiaTheme="minorEastAsia" w:hAnsiTheme="minorHAnsi" w:cstheme="minorBidi"/>
          <w:noProof/>
          <w:kern w:val="2"/>
          <w:sz w:val="24"/>
          <w:szCs w:val="24"/>
          <w14:ligatures w14:val="standardContextual"/>
        </w:rPr>
      </w:pPr>
      <w:hyperlink w:anchor="_Toc163125234" w:history="1">
        <w:r w:rsidR="008456DE" w:rsidRPr="0096691A">
          <w:rPr>
            <w:rStyle w:val="Hyperlink"/>
            <w:noProof/>
          </w:rPr>
          <w:t>18.</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Personal Beliefs</w:t>
        </w:r>
        <w:r w:rsidR="008456DE">
          <w:rPr>
            <w:noProof/>
            <w:webHidden/>
          </w:rPr>
          <w:tab/>
        </w:r>
        <w:r w:rsidR="008456DE">
          <w:rPr>
            <w:noProof/>
            <w:webHidden/>
          </w:rPr>
          <w:fldChar w:fldCharType="begin"/>
        </w:r>
        <w:r w:rsidR="008456DE">
          <w:rPr>
            <w:noProof/>
            <w:webHidden/>
          </w:rPr>
          <w:instrText xml:space="preserve"> PAGEREF _Toc163125234 \h </w:instrText>
        </w:r>
        <w:r w:rsidR="008456DE">
          <w:rPr>
            <w:noProof/>
            <w:webHidden/>
          </w:rPr>
        </w:r>
        <w:r w:rsidR="008456DE">
          <w:rPr>
            <w:noProof/>
            <w:webHidden/>
          </w:rPr>
          <w:fldChar w:fldCharType="separate"/>
        </w:r>
        <w:r w:rsidR="008456DE">
          <w:rPr>
            <w:noProof/>
            <w:webHidden/>
          </w:rPr>
          <w:t>18</w:t>
        </w:r>
        <w:r w:rsidR="008456DE">
          <w:rPr>
            <w:noProof/>
            <w:webHidden/>
          </w:rPr>
          <w:fldChar w:fldCharType="end"/>
        </w:r>
      </w:hyperlink>
    </w:p>
    <w:p w14:paraId="3E24ACFF" w14:textId="04DCE77C" w:rsidR="008456DE" w:rsidRDefault="00000000">
      <w:pPr>
        <w:pStyle w:val="TOC3"/>
        <w:rPr>
          <w:rFonts w:asciiTheme="minorHAnsi" w:eastAsiaTheme="minorEastAsia" w:hAnsiTheme="minorHAnsi" w:cstheme="minorBidi"/>
          <w:noProof/>
          <w:kern w:val="2"/>
          <w:sz w:val="24"/>
          <w:szCs w:val="24"/>
          <w14:ligatures w14:val="standardContextual"/>
        </w:rPr>
      </w:pPr>
      <w:hyperlink w:anchor="_Toc163125235" w:history="1">
        <w:r w:rsidR="008456DE" w:rsidRPr="0096691A">
          <w:rPr>
            <w:rStyle w:val="Hyperlink"/>
            <w:noProof/>
          </w:rPr>
          <w:t>19.</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Personal Attacks on Opposing Counsel</w:t>
        </w:r>
        <w:r w:rsidR="008456DE">
          <w:rPr>
            <w:noProof/>
            <w:webHidden/>
          </w:rPr>
          <w:tab/>
        </w:r>
        <w:r w:rsidR="008456DE">
          <w:rPr>
            <w:noProof/>
            <w:webHidden/>
          </w:rPr>
          <w:fldChar w:fldCharType="begin"/>
        </w:r>
        <w:r w:rsidR="008456DE">
          <w:rPr>
            <w:noProof/>
            <w:webHidden/>
          </w:rPr>
          <w:instrText xml:space="preserve"> PAGEREF _Toc163125235 \h </w:instrText>
        </w:r>
        <w:r w:rsidR="008456DE">
          <w:rPr>
            <w:noProof/>
            <w:webHidden/>
          </w:rPr>
        </w:r>
        <w:r w:rsidR="008456DE">
          <w:rPr>
            <w:noProof/>
            <w:webHidden/>
          </w:rPr>
          <w:fldChar w:fldCharType="separate"/>
        </w:r>
        <w:r w:rsidR="008456DE">
          <w:rPr>
            <w:noProof/>
            <w:webHidden/>
          </w:rPr>
          <w:t>19</w:t>
        </w:r>
        <w:r w:rsidR="008456DE">
          <w:rPr>
            <w:noProof/>
            <w:webHidden/>
          </w:rPr>
          <w:fldChar w:fldCharType="end"/>
        </w:r>
      </w:hyperlink>
    </w:p>
    <w:p w14:paraId="200D8210" w14:textId="59F6DB30" w:rsidR="008456DE" w:rsidRDefault="00000000">
      <w:pPr>
        <w:pStyle w:val="TOC3"/>
        <w:rPr>
          <w:rFonts w:asciiTheme="minorHAnsi" w:eastAsiaTheme="minorEastAsia" w:hAnsiTheme="minorHAnsi" w:cstheme="minorBidi"/>
          <w:noProof/>
          <w:kern w:val="2"/>
          <w:sz w:val="24"/>
          <w:szCs w:val="24"/>
          <w14:ligatures w14:val="standardContextual"/>
        </w:rPr>
      </w:pPr>
      <w:hyperlink w:anchor="_Toc163125236" w:history="1">
        <w:r w:rsidR="008456DE" w:rsidRPr="0096691A">
          <w:rPr>
            <w:rStyle w:val="Hyperlink"/>
            <w:noProof/>
          </w:rPr>
          <w:t>20.</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Personal Attacks on Witnesses</w:t>
        </w:r>
        <w:r w:rsidR="008456DE">
          <w:rPr>
            <w:noProof/>
            <w:webHidden/>
          </w:rPr>
          <w:tab/>
        </w:r>
        <w:r w:rsidR="008456DE">
          <w:rPr>
            <w:noProof/>
            <w:webHidden/>
          </w:rPr>
          <w:fldChar w:fldCharType="begin"/>
        </w:r>
        <w:r w:rsidR="008456DE">
          <w:rPr>
            <w:noProof/>
            <w:webHidden/>
          </w:rPr>
          <w:instrText xml:space="preserve"> PAGEREF _Toc163125236 \h </w:instrText>
        </w:r>
        <w:r w:rsidR="008456DE">
          <w:rPr>
            <w:noProof/>
            <w:webHidden/>
          </w:rPr>
        </w:r>
        <w:r w:rsidR="008456DE">
          <w:rPr>
            <w:noProof/>
            <w:webHidden/>
          </w:rPr>
          <w:fldChar w:fldCharType="separate"/>
        </w:r>
        <w:r w:rsidR="008456DE">
          <w:rPr>
            <w:noProof/>
            <w:webHidden/>
          </w:rPr>
          <w:t>19</w:t>
        </w:r>
        <w:r w:rsidR="008456DE">
          <w:rPr>
            <w:noProof/>
            <w:webHidden/>
          </w:rPr>
          <w:fldChar w:fldCharType="end"/>
        </w:r>
      </w:hyperlink>
    </w:p>
    <w:p w14:paraId="414367F8" w14:textId="35486786" w:rsidR="008456DE" w:rsidRDefault="00000000">
      <w:pPr>
        <w:pStyle w:val="TOC3"/>
        <w:rPr>
          <w:rFonts w:asciiTheme="minorHAnsi" w:eastAsiaTheme="minorEastAsia" w:hAnsiTheme="minorHAnsi" w:cstheme="minorBidi"/>
          <w:noProof/>
          <w:kern w:val="2"/>
          <w:sz w:val="24"/>
          <w:szCs w:val="24"/>
          <w14:ligatures w14:val="standardContextual"/>
        </w:rPr>
      </w:pPr>
      <w:hyperlink w:anchor="_Toc163125237" w:history="1">
        <w:r w:rsidR="008456DE" w:rsidRPr="0096691A">
          <w:rPr>
            <w:rStyle w:val="Hyperlink"/>
            <w:noProof/>
          </w:rPr>
          <w:t>21.</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Asking Jurors to Put Themselves in the Victim’s Position</w:t>
        </w:r>
        <w:r w:rsidR="008456DE">
          <w:rPr>
            <w:noProof/>
            <w:webHidden/>
          </w:rPr>
          <w:tab/>
        </w:r>
        <w:r w:rsidR="008456DE">
          <w:rPr>
            <w:noProof/>
            <w:webHidden/>
          </w:rPr>
          <w:fldChar w:fldCharType="begin"/>
        </w:r>
        <w:r w:rsidR="008456DE">
          <w:rPr>
            <w:noProof/>
            <w:webHidden/>
          </w:rPr>
          <w:instrText xml:space="preserve"> PAGEREF _Toc163125237 \h </w:instrText>
        </w:r>
        <w:r w:rsidR="008456DE">
          <w:rPr>
            <w:noProof/>
            <w:webHidden/>
          </w:rPr>
        </w:r>
        <w:r w:rsidR="008456DE">
          <w:rPr>
            <w:noProof/>
            <w:webHidden/>
          </w:rPr>
          <w:fldChar w:fldCharType="separate"/>
        </w:r>
        <w:r w:rsidR="008456DE">
          <w:rPr>
            <w:noProof/>
            <w:webHidden/>
          </w:rPr>
          <w:t>20</w:t>
        </w:r>
        <w:r w:rsidR="008456DE">
          <w:rPr>
            <w:noProof/>
            <w:webHidden/>
          </w:rPr>
          <w:fldChar w:fldCharType="end"/>
        </w:r>
      </w:hyperlink>
    </w:p>
    <w:p w14:paraId="51F86BDC" w14:textId="792FF8F0" w:rsidR="008456DE" w:rsidRDefault="00000000">
      <w:pPr>
        <w:pStyle w:val="TOC3"/>
        <w:rPr>
          <w:rFonts w:asciiTheme="minorHAnsi" w:eastAsiaTheme="minorEastAsia" w:hAnsiTheme="minorHAnsi" w:cstheme="minorBidi"/>
          <w:noProof/>
          <w:kern w:val="2"/>
          <w:sz w:val="24"/>
          <w:szCs w:val="24"/>
          <w14:ligatures w14:val="standardContextual"/>
        </w:rPr>
      </w:pPr>
      <w:hyperlink w:anchor="_Toc163125238" w:history="1">
        <w:r w:rsidR="008456DE" w:rsidRPr="0096691A">
          <w:rPr>
            <w:rStyle w:val="Hyperlink"/>
            <w:noProof/>
          </w:rPr>
          <w:t>22.</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Role of the Jury</w:t>
        </w:r>
        <w:r w:rsidR="008456DE">
          <w:rPr>
            <w:noProof/>
            <w:webHidden/>
          </w:rPr>
          <w:tab/>
        </w:r>
        <w:r w:rsidR="008456DE">
          <w:rPr>
            <w:noProof/>
            <w:webHidden/>
          </w:rPr>
          <w:fldChar w:fldCharType="begin"/>
        </w:r>
        <w:r w:rsidR="008456DE">
          <w:rPr>
            <w:noProof/>
            <w:webHidden/>
          </w:rPr>
          <w:instrText xml:space="preserve"> PAGEREF _Toc163125238 \h </w:instrText>
        </w:r>
        <w:r w:rsidR="008456DE">
          <w:rPr>
            <w:noProof/>
            <w:webHidden/>
          </w:rPr>
        </w:r>
        <w:r w:rsidR="008456DE">
          <w:rPr>
            <w:noProof/>
            <w:webHidden/>
          </w:rPr>
          <w:fldChar w:fldCharType="separate"/>
        </w:r>
        <w:r w:rsidR="008456DE">
          <w:rPr>
            <w:noProof/>
            <w:webHidden/>
          </w:rPr>
          <w:t>21</w:t>
        </w:r>
        <w:r w:rsidR="008456DE">
          <w:rPr>
            <w:noProof/>
            <w:webHidden/>
          </w:rPr>
          <w:fldChar w:fldCharType="end"/>
        </w:r>
      </w:hyperlink>
    </w:p>
    <w:p w14:paraId="424EBDCC" w14:textId="5876CAE7" w:rsidR="008456DE" w:rsidRDefault="00000000">
      <w:pPr>
        <w:pStyle w:val="TOC3"/>
        <w:rPr>
          <w:rFonts w:asciiTheme="minorHAnsi" w:eastAsiaTheme="minorEastAsia" w:hAnsiTheme="minorHAnsi" w:cstheme="minorBidi"/>
          <w:noProof/>
          <w:kern w:val="2"/>
          <w:sz w:val="24"/>
          <w:szCs w:val="24"/>
          <w14:ligatures w14:val="standardContextual"/>
        </w:rPr>
      </w:pPr>
      <w:hyperlink w:anchor="_Toc163125239" w:history="1">
        <w:r w:rsidR="008456DE" w:rsidRPr="0096691A">
          <w:rPr>
            <w:rStyle w:val="Hyperlink"/>
            <w:noProof/>
          </w:rPr>
          <w:t>23.</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Arguments Concerning Punishment or Penalty</w:t>
        </w:r>
        <w:r w:rsidR="008456DE">
          <w:rPr>
            <w:noProof/>
            <w:webHidden/>
          </w:rPr>
          <w:tab/>
        </w:r>
        <w:r w:rsidR="008456DE">
          <w:rPr>
            <w:noProof/>
            <w:webHidden/>
          </w:rPr>
          <w:fldChar w:fldCharType="begin"/>
        </w:r>
        <w:r w:rsidR="008456DE">
          <w:rPr>
            <w:noProof/>
            <w:webHidden/>
          </w:rPr>
          <w:instrText xml:space="preserve"> PAGEREF _Toc163125239 \h </w:instrText>
        </w:r>
        <w:r w:rsidR="008456DE">
          <w:rPr>
            <w:noProof/>
            <w:webHidden/>
          </w:rPr>
        </w:r>
        <w:r w:rsidR="008456DE">
          <w:rPr>
            <w:noProof/>
            <w:webHidden/>
          </w:rPr>
          <w:fldChar w:fldCharType="separate"/>
        </w:r>
        <w:r w:rsidR="008456DE">
          <w:rPr>
            <w:noProof/>
            <w:webHidden/>
          </w:rPr>
          <w:t>22</w:t>
        </w:r>
        <w:r w:rsidR="008456DE">
          <w:rPr>
            <w:noProof/>
            <w:webHidden/>
          </w:rPr>
          <w:fldChar w:fldCharType="end"/>
        </w:r>
      </w:hyperlink>
    </w:p>
    <w:p w14:paraId="61D42402" w14:textId="67644308" w:rsidR="008456DE" w:rsidRDefault="00000000">
      <w:pPr>
        <w:pStyle w:val="TOC3"/>
        <w:rPr>
          <w:rFonts w:asciiTheme="minorHAnsi" w:eastAsiaTheme="minorEastAsia" w:hAnsiTheme="minorHAnsi" w:cstheme="minorBidi"/>
          <w:noProof/>
          <w:kern w:val="2"/>
          <w:sz w:val="24"/>
          <w:szCs w:val="24"/>
          <w14:ligatures w14:val="standardContextual"/>
        </w:rPr>
      </w:pPr>
      <w:hyperlink w:anchor="_Toc163125240" w:history="1">
        <w:r w:rsidR="008456DE" w:rsidRPr="0096691A">
          <w:rPr>
            <w:rStyle w:val="Hyperlink"/>
            <w:noProof/>
          </w:rPr>
          <w:t>24.</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Appealing to Juror’s Fears</w:t>
        </w:r>
        <w:r w:rsidR="008456DE">
          <w:rPr>
            <w:noProof/>
            <w:webHidden/>
          </w:rPr>
          <w:tab/>
        </w:r>
        <w:r w:rsidR="008456DE">
          <w:rPr>
            <w:noProof/>
            <w:webHidden/>
          </w:rPr>
          <w:fldChar w:fldCharType="begin"/>
        </w:r>
        <w:r w:rsidR="008456DE">
          <w:rPr>
            <w:noProof/>
            <w:webHidden/>
          </w:rPr>
          <w:instrText xml:space="preserve"> PAGEREF _Toc163125240 \h </w:instrText>
        </w:r>
        <w:r w:rsidR="008456DE">
          <w:rPr>
            <w:noProof/>
            <w:webHidden/>
          </w:rPr>
        </w:r>
        <w:r w:rsidR="008456DE">
          <w:rPr>
            <w:noProof/>
            <w:webHidden/>
          </w:rPr>
          <w:fldChar w:fldCharType="separate"/>
        </w:r>
        <w:r w:rsidR="008456DE">
          <w:rPr>
            <w:noProof/>
            <w:webHidden/>
          </w:rPr>
          <w:t>22</w:t>
        </w:r>
        <w:r w:rsidR="008456DE">
          <w:rPr>
            <w:noProof/>
            <w:webHidden/>
          </w:rPr>
          <w:fldChar w:fldCharType="end"/>
        </w:r>
      </w:hyperlink>
    </w:p>
    <w:p w14:paraId="227645F5" w14:textId="38CA9F10" w:rsidR="008456DE" w:rsidRDefault="00000000">
      <w:pPr>
        <w:pStyle w:val="TOC3"/>
        <w:rPr>
          <w:rFonts w:asciiTheme="minorHAnsi" w:eastAsiaTheme="minorEastAsia" w:hAnsiTheme="minorHAnsi" w:cstheme="minorBidi"/>
          <w:noProof/>
          <w:kern w:val="2"/>
          <w:sz w:val="24"/>
          <w:szCs w:val="24"/>
          <w14:ligatures w14:val="standardContextual"/>
        </w:rPr>
      </w:pPr>
      <w:hyperlink w:anchor="_Toc163125241" w:history="1">
        <w:r w:rsidR="008456DE" w:rsidRPr="0096691A">
          <w:rPr>
            <w:rStyle w:val="Hyperlink"/>
            <w:noProof/>
          </w:rPr>
          <w:t>25.</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Appellate Review and Other Post-Conviction Procedures</w:t>
        </w:r>
        <w:r w:rsidR="008456DE">
          <w:rPr>
            <w:noProof/>
            <w:webHidden/>
          </w:rPr>
          <w:tab/>
        </w:r>
        <w:r w:rsidR="008456DE">
          <w:rPr>
            <w:noProof/>
            <w:webHidden/>
          </w:rPr>
          <w:fldChar w:fldCharType="begin"/>
        </w:r>
        <w:r w:rsidR="008456DE">
          <w:rPr>
            <w:noProof/>
            <w:webHidden/>
          </w:rPr>
          <w:instrText xml:space="preserve"> PAGEREF _Toc163125241 \h </w:instrText>
        </w:r>
        <w:r w:rsidR="008456DE">
          <w:rPr>
            <w:noProof/>
            <w:webHidden/>
          </w:rPr>
        </w:r>
        <w:r w:rsidR="008456DE">
          <w:rPr>
            <w:noProof/>
            <w:webHidden/>
          </w:rPr>
          <w:fldChar w:fldCharType="separate"/>
        </w:r>
        <w:r w:rsidR="008456DE">
          <w:rPr>
            <w:noProof/>
            <w:webHidden/>
          </w:rPr>
          <w:t>22</w:t>
        </w:r>
        <w:r w:rsidR="008456DE">
          <w:rPr>
            <w:noProof/>
            <w:webHidden/>
          </w:rPr>
          <w:fldChar w:fldCharType="end"/>
        </w:r>
      </w:hyperlink>
    </w:p>
    <w:p w14:paraId="2E668AB1" w14:textId="0224B69D" w:rsidR="008456DE" w:rsidRDefault="00000000">
      <w:pPr>
        <w:pStyle w:val="TOC1"/>
        <w:tabs>
          <w:tab w:val="left" w:pos="720"/>
          <w:tab w:val="right" w:leader="dot" w:pos="9350"/>
        </w:tabs>
        <w:rPr>
          <w:rFonts w:asciiTheme="minorHAnsi" w:eastAsiaTheme="minorEastAsia" w:hAnsiTheme="minorHAnsi" w:cstheme="minorBidi"/>
          <w:noProof/>
          <w:kern w:val="2"/>
          <w:sz w:val="24"/>
          <w:szCs w:val="24"/>
          <w14:ligatures w14:val="standardContextual"/>
        </w:rPr>
      </w:pPr>
      <w:hyperlink w:anchor="_Toc163125242" w:history="1">
        <w:r w:rsidR="008456DE" w:rsidRPr="0096691A">
          <w:rPr>
            <w:rStyle w:val="Hyperlink"/>
            <w:noProof/>
          </w:rPr>
          <w:t>VI.</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Judge’s Role</w:t>
        </w:r>
        <w:r w:rsidR="008456DE">
          <w:rPr>
            <w:noProof/>
            <w:webHidden/>
          </w:rPr>
          <w:tab/>
        </w:r>
        <w:r w:rsidR="008456DE">
          <w:rPr>
            <w:noProof/>
            <w:webHidden/>
          </w:rPr>
          <w:fldChar w:fldCharType="begin"/>
        </w:r>
        <w:r w:rsidR="008456DE">
          <w:rPr>
            <w:noProof/>
            <w:webHidden/>
          </w:rPr>
          <w:instrText xml:space="preserve"> PAGEREF _Toc163125242 \h </w:instrText>
        </w:r>
        <w:r w:rsidR="008456DE">
          <w:rPr>
            <w:noProof/>
            <w:webHidden/>
          </w:rPr>
        </w:r>
        <w:r w:rsidR="008456DE">
          <w:rPr>
            <w:noProof/>
            <w:webHidden/>
          </w:rPr>
          <w:fldChar w:fldCharType="separate"/>
        </w:r>
        <w:r w:rsidR="008456DE">
          <w:rPr>
            <w:noProof/>
            <w:webHidden/>
          </w:rPr>
          <w:t>23</w:t>
        </w:r>
        <w:r w:rsidR="008456DE">
          <w:rPr>
            <w:noProof/>
            <w:webHidden/>
          </w:rPr>
          <w:fldChar w:fldCharType="end"/>
        </w:r>
      </w:hyperlink>
    </w:p>
    <w:p w14:paraId="2EE3751B" w14:textId="68676A2C" w:rsidR="008456DE" w:rsidRDefault="00000000">
      <w:pPr>
        <w:pStyle w:val="TOC2"/>
        <w:tabs>
          <w:tab w:val="left" w:pos="1440"/>
          <w:tab w:val="right" w:leader="dot" w:pos="9350"/>
        </w:tabs>
        <w:rPr>
          <w:rFonts w:asciiTheme="minorHAnsi" w:eastAsiaTheme="minorEastAsia" w:hAnsiTheme="minorHAnsi" w:cstheme="minorBidi"/>
          <w:noProof/>
          <w:kern w:val="2"/>
          <w:sz w:val="24"/>
          <w:szCs w:val="24"/>
          <w14:ligatures w14:val="standardContextual"/>
        </w:rPr>
      </w:pPr>
      <w:hyperlink w:anchor="_Toc163125243" w:history="1">
        <w:r w:rsidR="008456DE" w:rsidRPr="0096691A">
          <w:rPr>
            <w:rStyle w:val="Hyperlink"/>
            <w:noProof/>
          </w:rPr>
          <w:t>A.</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Generally</w:t>
        </w:r>
        <w:r w:rsidR="008456DE">
          <w:rPr>
            <w:noProof/>
            <w:webHidden/>
          </w:rPr>
          <w:tab/>
        </w:r>
        <w:r w:rsidR="008456DE">
          <w:rPr>
            <w:noProof/>
            <w:webHidden/>
          </w:rPr>
          <w:fldChar w:fldCharType="begin"/>
        </w:r>
        <w:r w:rsidR="008456DE">
          <w:rPr>
            <w:noProof/>
            <w:webHidden/>
          </w:rPr>
          <w:instrText xml:space="preserve"> PAGEREF _Toc163125243 \h </w:instrText>
        </w:r>
        <w:r w:rsidR="008456DE">
          <w:rPr>
            <w:noProof/>
            <w:webHidden/>
          </w:rPr>
        </w:r>
        <w:r w:rsidR="008456DE">
          <w:rPr>
            <w:noProof/>
            <w:webHidden/>
          </w:rPr>
          <w:fldChar w:fldCharType="separate"/>
        </w:r>
        <w:r w:rsidR="008456DE">
          <w:rPr>
            <w:noProof/>
            <w:webHidden/>
          </w:rPr>
          <w:t>23</w:t>
        </w:r>
        <w:r w:rsidR="008456DE">
          <w:rPr>
            <w:noProof/>
            <w:webHidden/>
          </w:rPr>
          <w:fldChar w:fldCharType="end"/>
        </w:r>
      </w:hyperlink>
    </w:p>
    <w:p w14:paraId="67104740" w14:textId="3DF7E5FF" w:rsidR="008456DE" w:rsidRDefault="00000000">
      <w:pPr>
        <w:pStyle w:val="TOC2"/>
        <w:tabs>
          <w:tab w:val="left" w:pos="1440"/>
          <w:tab w:val="right" w:leader="dot" w:pos="9350"/>
        </w:tabs>
        <w:rPr>
          <w:rFonts w:asciiTheme="minorHAnsi" w:eastAsiaTheme="minorEastAsia" w:hAnsiTheme="minorHAnsi" w:cstheme="minorBidi"/>
          <w:noProof/>
          <w:kern w:val="2"/>
          <w:sz w:val="24"/>
          <w:szCs w:val="24"/>
          <w14:ligatures w14:val="standardContextual"/>
        </w:rPr>
      </w:pPr>
      <w:hyperlink w:anchor="_Toc163125244" w:history="1">
        <w:r w:rsidR="008456DE" w:rsidRPr="0096691A">
          <w:rPr>
            <w:rStyle w:val="Hyperlink"/>
            <w:noProof/>
          </w:rPr>
          <w:t>B.</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Remarks to Jurors Before Final Arguments.</w:t>
        </w:r>
        <w:r w:rsidR="008456DE">
          <w:rPr>
            <w:noProof/>
            <w:webHidden/>
          </w:rPr>
          <w:tab/>
        </w:r>
        <w:r w:rsidR="008456DE">
          <w:rPr>
            <w:noProof/>
            <w:webHidden/>
          </w:rPr>
          <w:fldChar w:fldCharType="begin"/>
        </w:r>
        <w:r w:rsidR="008456DE">
          <w:rPr>
            <w:noProof/>
            <w:webHidden/>
          </w:rPr>
          <w:instrText xml:space="preserve"> PAGEREF _Toc163125244 \h </w:instrText>
        </w:r>
        <w:r w:rsidR="008456DE">
          <w:rPr>
            <w:noProof/>
            <w:webHidden/>
          </w:rPr>
        </w:r>
        <w:r w:rsidR="008456DE">
          <w:rPr>
            <w:noProof/>
            <w:webHidden/>
          </w:rPr>
          <w:fldChar w:fldCharType="separate"/>
        </w:r>
        <w:r w:rsidR="008456DE">
          <w:rPr>
            <w:noProof/>
            <w:webHidden/>
          </w:rPr>
          <w:t>23</w:t>
        </w:r>
        <w:r w:rsidR="008456DE">
          <w:rPr>
            <w:noProof/>
            <w:webHidden/>
          </w:rPr>
          <w:fldChar w:fldCharType="end"/>
        </w:r>
      </w:hyperlink>
    </w:p>
    <w:p w14:paraId="768A5629" w14:textId="1569D1E5" w:rsidR="008456DE" w:rsidRDefault="00000000">
      <w:pPr>
        <w:pStyle w:val="TOC2"/>
        <w:tabs>
          <w:tab w:val="left" w:pos="1440"/>
          <w:tab w:val="right" w:leader="dot" w:pos="9350"/>
        </w:tabs>
        <w:rPr>
          <w:rFonts w:asciiTheme="minorHAnsi" w:eastAsiaTheme="minorEastAsia" w:hAnsiTheme="minorHAnsi" w:cstheme="minorBidi"/>
          <w:noProof/>
          <w:kern w:val="2"/>
          <w:sz w:val="24"/>
          <w:szCs w:val="24"/>
          <w14:ligatures w14:val="standardContextual"/>
        </w:rPr>
      </w:pPr>
      <w:hyperlink w:anchor="_Toc163125245" w:history="1">
        <w:r w:rsidR="008456DE" w:rsidRPr="0096691A">
          <w:rPr>
            <w:rStyle w:val="Hyperlink"/>
            <w:noProof/>
          </w:rPr>
          <w:t>C.</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Curative Instructions</w:t>
        </w:r>
        <w:r w:rsidR="008456DE">
          <w:rPr>
            <w:noProof/>
            <w:webHidden/>
          </w:rPr>
          <w:tab/>
        </w:r>
        <w:r w:rsidR="008456DE">
          <w:rPr>
            <w:noProof/>
            <w:webHidden/>
          </w:rPr>
          <w:fldChar w:fldCharType="begin"/>
        </w:r>
        <w:r w:rsidR="008456DE">
          <w:rPr>
            <w:noProof/>
            <w:webHidden/>
          </w:rPr>
          <w:instrText xml:space="preserve"> PAGEREF _Toc163125245 \h </w:instrText>
        </w:r>
        <w:r w:rsidR="008456DE">
          <w:rPr>
            <w:noProof/>
            <w:webHidden/>
          </w:rPr>
        </w:r>
        <w:r w:rsidR="008456DE">
          <w:rPr>
            <w:noProof/>
            <w:webHidden/>
          </w:rPr>
          <w:fldChar w:fldCharType="separate"/>
        </w:r>
        <w:r w:rsidR="008456DE">
          <w:rPr>
            <w:noProof/>
            <w:webHidden/>
          </w:rPr>
          <w:t>23</w:t>
        </w:r>
        <w:r w:rsidR="008456DE">
          <w:rPr>
            <w:noProof/>
            <w:webHidden/>
          </w:rPr>
          <w:fldChar w:fldCharType="end"/>
        </w:r>
      </w:hyperlink>
    </w:p>
    <w:p w14:paraId="34186306" w14:textId="561DA8CE" w:rsidR="008456DE" w:rsidRDefault="00000000">
      <w:pPr>
        <w:pStyle w:val="TOC2"/>
        <w:tabs>
          <w:tab w:val="left" w:pos="1440"/>
          <w:tab w:val="right" w:leader="dot" w:pos="9350"/>
        </w:tabs>
        <w:rPr>
          <w:rFonts w:asciiTheme="minorHAnsi" w:eastAsiaTheme="minorEastAsia" w:hAnsiTheme="minorHAnsi" w:cstheme="minorBidi"/>
          <w:noProof/>
          <w:kern w:val="2"/>
          <w:sz w:val="24"/>
          <w:szCs w:val="24"/>
          <w14:ligatures w14:val="standardContextual"/>
        </w:rPr>
      </w:pPr>
      <w:hyperlink w:anchor="_Toc163125246" w:history="1">
        <w:r w:rsidR="008456DE" w:rsidRPr="0096691A">
          <w:rPr>
            <w:rStyle w:val="Hyperlink"/>
            <w:noProof/>
          </w:rPr>
          <w:t>D.</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Standard of Review</w:t>
        </w:r>
        <w:r w:rsidR="008456DE">
          <w:rPr>
            <w:noProof/>
            <w:webHidden/>
          </w:rPr>
          <w:tab/>
        </w:r>
        <w:r w:rsidR="008456DE">
          <w:rPr>
            <w:noProof/>
            <w:webHidden/>
          </w:rPr>
          <w:fldChar w:fldCharType="begin"/>
        </w:r>
        <w:r w:rsidR="008456DE">
          <w:rPr>
            <w:noProof/>
            <w:webHidden/>
          </w:rPr>
          <w:instrText xml:space="preserve"> PAGEREF _Toc163125246 \h </w:instrText>
        </w:r>
        <w:r w:rsidR="008456DE">
          <w:rPr>
            <w:noProof/>
            <w:webHidden/>
          </w:rPr>
        </w:r>
        <w:r w:rsidR="008456DE">
          <w:rPr>
            <w:noProof/>
            <w:webHidden/>
          </w:rPr>
          <w:fldChar w:fldCharType="separate"/>
        </w:r>
        <w:r w:rsidR="008456DE">
          <w:rPr>
            <w:noProof/>
            <w:webHidden/>
          </w:rPr>
          <w:t>24</w:t>
        </w:r>
        <w:r w:rsidR="008456DE">
          <w:rPr>
            <w:noProof/>
            <w:webHidden/>
          </w:rPr>
          <w:fldChar w:fldCharType="end"/>
        </w:r>
      </w:hyperlink>
    </w:p>
    <w:p w14:paraId="269BA7E3" w14:textId="55D6CE69" w:rsidR="008456DE" w:rsidRDefault="00000000">
      <w:pPr>
        <w:pStyle w:val="TOC3"/>
        <w:rPr>
          <w:rFonts w:asciiTheme="minorHAnsi" w:eastAsiaTheme="minorEastAsia" w:hAnsiTheme="minorHAnsi" w:cstheme="minorBidi"/>
          <w:noProof/>
          <w:kern w:val="2"/>
          <w:sz w:val="24"/>
          <w:szCs w:val="24"/>
          <w14:ligatures w14:val="standardContextual"/>
        </w:rPr>
      </w:pPr>
      <w:hyperlink w:anchor="_Toc163125247" w:history="1">
        <w:r w:rsidR="008456DE" w:rsidRPr="0096691A">
          <w:rPr>
            <w:rStyle w:val="Hyperlink"/>
            <w:noProof/>
          </w:rPr>
          <w:t>1.</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Defendant Objects</w:t>
        </w:r>
        <w:r w:rsidR="008456DE">
          <w:rPr>
            <w:noProof/>
            <w:webHidden/>
          </w:rPr>
          <w:tab/>
        </w:r>
        <w:r w:rsidR="008456DE">
          <w:rPr>
            <w:noProof/>
            <w:webHidden/>
          </w:rPr>
          <w:fldChar w:fldCharType="begin"/>
        </w:r>
        <w:r w:rsidR="008456DE">
          <w:rPr>
            <w:noProof/>
            <w:webHidden/>
          </w:rPr>
          <w:instrText xml:space="preserve"> PAGEREF _Toc163125247 \h </w:instrText>
        </w:r>
        <w:r w:rsidR="008456DE">
          <w:rPr>
            <w:noProof/>
            <w:webHidden/>
          </w:rPr>
        </w:r>
        <w:r w:rsidR="008456DE">
          <w:rPr>
            <w:noProof/>
            <w:webHidden/>
          </w:rPr>
          <w:fldChar w:fldCharType="separate"/>
        </w:r>
        <w:r w:rsidR="008456DE">
          <w:rPr>
            <w:noProof/>
            <w:webHidden/>
          </w:rPr>
          <w:t>24</w:t>
        </w:r>
        <w:r w:rsidR="008456DE">
          <w:rPr>
            <w:noProof/>
            <w:webHidden/>
          </w:rPr>
          <w:fldChar w:fldCharType="end"/>
        </w:r>
      </w:hyperlink>
    </w:p>
    <w:p w14:paraId="3C84669D" w14:textId="6098B268" w:rsidR="008456DE" w:rsidRDefault="00000000">
      <w:pPr>
        <w:pStyle w:val="TOC3"/>
        <w:rPr>
          <w:rFonts w:asciiTheme="minorHAnsi" w:eastAsiaTheme="minorEastAsia" w:hAnsiTheme="minorHAnsi" w:cstheme="minorBidi"/>
          <w:noProof/>
          <w:kern w:val="2"/>
          <w:sz w:val="24"/>
          <w:szCs w:val="24"/>
          <w14:ligatures w14:val="standardContextual"/>
        </w:rPr>
      </w:pPr>
      <w:hyperlink w:anchor="_Toc163125248" w:history="1">
        <w:r w:rsidR="008456DE" w:rsidRPr="0096691A">
          <w:rPr>
            <w:rStyle w:val="Hyperlink"/>
            <w:noProof/>
          </w:rPr>
          <w:t>2.</w:t>
        </w:r>
        <w:r w:rsidR="008456DE">
          <w:rPr>
            <w:rFonts w:asciiTheme="minorHAnsi" w:eastAsiaTheme="minorEastAsia" w:hAnsiTheme="minorHAnsi" w:cstheme="minorBidi"/>
            <w:noProof/>
            <w:kern w:val="2"/>
            <w:sz w:val="24"/>
            <w:szCs w:val="24"/>
            <w14:ligatures w14:val="standardContextual"/>
          </w:rPr>
          <w:tab/>
        </w:r>
        <w:r w:rsidR="008456DE" w:rsidRPr="0096691A">
          <w:rPr>
            <w:rStyle w:val="Hyperlink"/>
            <w:noProof/>
          </w:rPr>
          <w:t>Defendant does not Object</w:t>
        </w:r>
        <w:r w:rsidR="008456DE">
          <w:rPr>
            <w:noProof/>
            <w:webHidden/>
          </w:rPr>
          <w:tab/>
        </w:r>
        <w:r w:rsidR="008456DE">
          <w:rPr>
            <w:noProof/>
            <w:webHidden/>
          </w:rPr>
          <w:fldChar w:fldCharType="begin"/>
        </w:r>
        <w:r w:rsidR="008456DE">
          <w:rPr>
            <w:noProof/>
            <w:webHidden/>
          </w:rPr>
          <w:instrText xml:space="preserve"> PAGEREF _Toc163125248 \h </w:instrText>
        </w:r>
        <w:r w:rsidR="008456DE">
          <w:rPr>
            <w:noProof/>
            <w:webHidden/>
          </w:rPr>
        </w:r>
        <w:r w:rsidR="008456DE">
          <w:rPr>
            <w:noProof/>
            <w:webHidden/>
          </w:rPr>
          <w:fldChar w:fldCharType="separate"/>
        </w:r>
        <w:r w:rsidR="008456DE">
          <w:rPr>
            <w:noProof/>
            <w:webHidden/>
          </w:rPr>
          <w:t>24</w:t>
        </w:r>
        <w:r w:rsidR="008456DE">
          <w:rPr>
            <w:noProof/>
            <w:webHidden/>
          </w:rPr>
          <w:fldChar w:fldCharType="end"/>
        </w:r>
      </w:hyperlink>
    </w:p>
    <w:p w14:paraId="30D82AE0" w14:textId="3E6162E3" w:rsidR="00CF4FBE" w:rsidRDefault="00304356" w:rsidP="00CF4FBE">
      <w:pPr>
        <w:spacing w:after="0"/>
        <w:rPr>
          <w:rFonts w:ascii="Arial" w:hAnsi="Arial" w:cs="Arial"/>
        </w:rPr>
      </w:pPr>
      <w:r>
        <w:rPr>
          <w:rFonts w:ascii="Arial" w:hAnsi="Arial" w:cs="Arial"/>
        </w:rPr>
        <w:fldChar w:fldCharType="end"/>
      </w:r>
    </w:p>
    <w:p w14:paraId="6FF1AF76" w14:textId="77777777" w:rsidR="00CF4FBE" w:rsidRPr="00641284" w:rsidRDefault="00CF4FBE" w:rsidP="00DB30BF">
      <w:pPr>
        <w:spacing w:after="0" w:line="240" w:lineRule="auto"/>
        <w:rPr>
          <w:rFonts w:ascii="Arial" w:hAnsi="Arial" w:cs="Arial"/>
        </w:rPr>
      </w:pPr>
    </w:p>
    <w:p w14:paraId="7246A6AB" w14:textId="4AA14931" w:rsidR="001916F3" w:rsidRDefault="007B6333" w:rsidP="00DB30BF">
      <w:pPr>
        <w:pStyle w:val="ListParagraph"/>
        <w:numPr>
          <w:ilvl w:val="0"/>
          <w:numId w:val="1"/>
        </w:numPr>
        <w:spacing w:after="0" w:line="240" w:lineRule="auto"/>
        <w:rPr>
          <w:rFonts w:ascii="Arial" w:hAnsi="Arial" w:cs="Arial"/>
        </w:rPr>
      </w:pPr>
      <w:bookmarkStart w:id="0" w:name="_Toc402880152"/>
      <w:bookmarkStart w:id="1" w:name="_Toc402880710"/>
      <w:bookmarkStart w:id="2" w:name="_Toc163125195"/>
      <w:r w:rsidRPr="00A002E8">
        <w:rPr>
          <w:rStyle w:val="Heading1Char"/>
        </w:rPr>
        <w:t>Introduction</w:t>
      </w:r>
      <w:bookmarkEnd w:id="0"/>
      <w:bookmarkEnd w:id="1"/>
      <w:bookmarkEnd w:id="2"/>
      <w:r w:rsidRPr="005C36DE">
        <w:rPr>
          <w:rFonts w:ascii="Arial" w:hAnsi="Arial" w:cs="Arial"/>
          <w:b/>
          <w:bCs/>
        </w:rPr>
        <w:t>.</w:t>
      </w:r>
      <w:r w:rsidRPr="005C36DE">
        <w:rPr>
          <w:rFonts w:ascii="Arial" w:hAnsi="Arial" w:cs="Arial"/>
        </w:rPr>
        <w:t xml:space="preserve"> This section covers </w:t>
      </w:r>
      <w:r w:rsidR="009D6423">
        <w:rPr>
          <w:rFonts w:ascii="Arial" w:hAnsi="Arial" w:cs="Arial"/>
        </w:rPr>
        <w:t xml:space="preserve">many </w:t>
      </w:r>
      <w:r w:rsidRPr="005C36DE">
        <w:rPr>
          <w:rFonts w:ascii="Arial" w:hAnsi="Arial" w:cs="Arial"/>
        </w:rPr>
        <w:t>recurring issues that arise regarding the content of opening and closing arguments to the jury.</w:t>
      </w:r>
      <w:r w:rsidR="00BD6170">
        <w:rPr>
          <w:rFonts w:ascii="Arial" w:hAnsi="Arial" w:cs="Arial"/>
        </w:rPr>
        <w:t xml:space="preserve"> </w:t>
      </w:r>
      <w:r w:rsidR="009D6423">
        <w:rPr>
          <w:rFonts w:ascii="Arial" w:hAnsi="Arial" w:cs="Arial"/>
        </w:rPr>
        <w:t xml:space="preserve">This section does not discuss </w:t>
      </w:r>
      <w:r w:rsidR="009D6423">
        <w:rPr>
          <w:rFonts w:ascii="Arial" w:hAnsi="Arial" w:cs="Arial"/>
          <w:i/>
          <w:iCs/>
        </w:rPr>
        <w:t>Harbison</w:t>
      </w:r>
      <w:r w:rsidR="009D6423">
        <w:rPr>
          <w:rFonts w:ascii="Arial" w:hAnsi="Arial" w:cs="Arial"/>
        </w:rPr>
        <w:t xml:space="preserve"> claims, a special type of ineffective assistance of counsel claim alleging that counsel admitted a defendant’s guilt to the jury without the defendant’s consent. Such claims often arise from statements made during opening or closing argument</w:t>
      </w:r>
      <w:r w:rsidR="00350C2D">
        <w:rPr>
          <w:rFonts w:ascii="Arial" w:hAnsi="Arial" w:cs="Arial"/>
        </w:rPr>
        <w:t>s</w:t>
      </w:r>
      <w:r w:rsidR="009D6423">
        <w:rPr>
          <w:rFonts w:ascii="Arial" w:hAnsi="Arial" w:cs="Arial"/>
        </w:rPr>
        <w:t xml:space="preserve"> and are discussed in detail in the </w:t>
      </w:r>
      <w:hyperlink r:id="rId8" w:history="1">
        <w:r w:rsidR="009D6423" w:rsidRPr="009D6423">
          <w:rPr>
            <w:rStyle w:val="Hyperlink"/>
            <w:rFonts w:ascii="Arial" w:hAnsi="Arial" w:cs="Arial"/>
          </w:rPr>
          <w:t>Ineffective Assistance of Counsel</w:t>
        </w:r>
      </w:hyperlink>
      <w:r w:rsidR="009D6423">
        <w:rPr>
          <w:rFonts w:ascii="Arial" w:hAnsi="Arial" w:cs="Arial"/>
        </w:rPr>
        <w:t xml:space="preserve"> section of this </w:t>
      </w:r>
      <w:proofErr w:type="spellStart"/>
      <w:r w:rsidR="009D6423">
        <w:rPr>
          <w:rFonts w:ascii="Arial" w:hAnsi="Arial" w:cs="Arial"/>
        </w:rPr>
        <w:t>Benchbook</w:t>
      </w:r>
      <w:proofErr w:type="spellEnd"/>
      <w:r w:rsidR="009D6423">
        <w:rPr>
          <w:rFonts w:ascii="Arial" w:hAnsi="Arial" w:cs="Arial"/>
        </w:rPr>
        <w:t>.</w:t>
      </w:r>
    </w:p>
    <w:p w14:paraId="4088DB2B" w14:textId="77777777" w:rsidR="00C02C0F" w:rsidRDefault="00C02C0F" w:rsidP="00DB30BF">
      <w:pPr>
        <w:pStyle w:val="ListParagraph"/>
        <w:spacing w:after="0" w:line="240" w:lineRule="auto"/>
        <w:rPr>
          <w:rFonts w:ascii="Arial" w:hAnsi="Arial" w:cs="Arial"/>
        </w:rPr>
      </w:pPr>
    </w:p>
    <w:p w14:paraId="1EA337AA" w14:textId="63B72574" w:rsidR="00997666" w:rsidRDefault="00997666" w:rsidP="00DB30BF">
      <w:pPr>
        <w:pStyle w:val="ListParagraph"/>
        <w:numPr>
          <w:ilvl w:val="0"/>
          <w:numId w:val="1"/>
        </w:numPr>
        <w:spacing w:after="0" w:line="240" w:lineRule="auto"/>
        <w:rPr>
          <w:rFonts w:ascii="Arial" w:hAnsi="Arial" w:cs="Arial"/>
        </w:rPr>
      </w:pPr>
      <w:bookmarkStart w:id="3" w:name="_Toc163125196"/>
      <w:r>
        <w:rPr>
          <w:rStyle w:val="Heading1Char"/>
        </w:rPr>
        <w:t xml:space="preserve">Timing, </w:t>
      </w:r>
      <w:r w:rsidR="00C02C0F" w:rsidRPr="00C02C0F">
        <w:rPr>
          <w:rStyle w:val="Heading1Char"/>
        </w:rPr>
        <w:t>Number</w:t>
      </w:r>
      <w:r>
        <w:rPr>
          <w:rStyle w:val="Heading1Char"/>
        </w:rPr>
        <w:t>,</w:t>
      </w:r>
      <w:r w:rsidR="00C02C0F" w:rsidRPr="00C02C0F">
        <w:rPr>
          <w:rStyle w:val="Heading1Char"/>
        </w:rPr>
        <w:t xml:space="preserve"> and Duration of Arguments</w:t>
      </w:r>
      <w:bookmarkEnd w:id="3"/>
      <w:r w:rsidR="00C02C0F">
        <w:rPr>
          <w:rFonts w:ascii="Arial" w:hAnsi="Arial" w:cs="Arial"/>
          <w:b/>
          <w:bCs/>
        </w:rPr>
        <w:t>.</w:t>
      </w:r>
      <w:r w:rsidR="00C02C0F" w:rsidRPr="00C02C0F">
        <w:rPr>
          <w:rFonts w:ascii="Arial" w:hAnsi="Arial" w:cs="Arial"/>
        </w:rPr>
        <w:t xml:space="preserve"> </w:t>
      </w:r>
      <w:r>
        <w:rPr>
          <w:rFonts w:ascii="Arial" w:hAnsi="Arial" w:cs="Arial"/>
        </w:rPr>
        <w:t>G.S. 15A-1221(a)(4)</w:t>
      </w:r>
      <w:r w:rsidR="00350C2D">
        <w:rPr>
          <w:rFonts w:ascii="Arial" w:hAnsi="Arial" w:cs="Arial"/>
        </w:rPr>
        <w:t xml:space="preserve"> addresses the order of proceedings in a jury trial and</w:t>
      </w:r>
      <w:r>
        <w:rPr>
          <w:rFonts w:ascii="Arial" w:hAnsi="Arial" w:cs="Arial"/>
        </w:rPr>
        <w:t xml:space="preserve"> requires that </w:t>
      </w:r>
      <w:r w:rsidR="00D96783">
        <w:rPr>
          <w:rFonts w:ascii="Arial" w:hAnsi="Arial" w:cs="Arial"/>
        </w:rPr>
        <w:t xml:space="preserve">after the jury is impaneled </w:t>
      </w:r>
      <w:r>
        <w:rPr>
          <w:rFonts w:ascii="Arial" w:hAnsi="Arial" w:cs="Arial"/>
        </w:rPr>
        <w:t>each party be given an opportunity to make an opening statement</w:t>
      </w:r>
      <w:r w:rsidR="00D96783">
        <w:rPr>
          <w:rFonts w:ascii="Arial" w:hAnsi="Arial" w:cs="Arial"/>
        </w:rPr>
        <w:t xml:space="preserve"> </w:t>
      </w:r>
      <w:r>
        <w:rPr>
          <w:rFonts w:ascii="Arial" w:hAnsi="Arial" w:cs="Arial"/>
        </w:rPr>
        <w:t>prior to the state’s presentation of evidence. A</w:t>
      </w:r>
      <w:r w:rsidRPr="003B4905">
        <w:rPr>
          <w:rFonts w:ascii="Arial" w:hAnsi="Arial" w:cs="Arial"/>
        </w:rPr>
        <w:t xml:space="preserve"> defendant may “reserve</w:t>
      </w:r>
      <w:r>
        <w:rPr>
          <w:rFonts w:ascii="Arial" w:hAnsi="Arial" w:cs="Arial"/>
        </w:rPr>
        <w:t>”</w:t>
      </w:r>
      <w:r w:rsidRPr="003B4905">
        <w:rPr>
          <w:rFonts w:ascii="Arial" w:hAnsi="Arial" w:cs="Arial"/>
        </w:rPr>
        <w:t xml:space="preserve"> his</w:t>
      </w:r>
      <w:r>
        <w:rPr>
          <w:rFonts w:ascii="Arial" w:hAnsi="Arial" w:cs="Arial"/>
        </w:rPr>
        <w:t xml:space="preserve"> or her</w:t>
      </w:r>
      <w:r w:rsidRPr="003B4905">
        <w:rPr>
          <w:rFonts w:ascii="Arial" w:hAnsi="Arial" w:cs="Arial"/>
        </w:rPr>
        <w:t xml:space="preserve"> opening statement</w:t>
      </w:r>
      <w:r>
        <w:rPr>
          <w:rFonts w:ascii="Arial" w:hAnsi="Arial" w:cs="Arial"/>
        </w:rPr>
        <w:t xml:space="preserve">. </w:t>
      </w:r>
      <w:r>
        <w:rPr>
          <w:rFonts w:ascii="Arial" w:hAnsi="Arial" w:cs="Arial"/>
          <w:i/>
          <w:iCs/>
        </w:rPr>
        <w:t>Id</w:t>
      </w:r>
      <w:r>
        <w:rPr>
          <w:rFonts w:ascii="Arial" w:hAnsi="Arial" w:cs="Arial"/>
        </w:rPr>
        <w:t xml:space="preserve">. If a defendant does so, he or she may precede </w:t>
      </w:r>
      <w:r w:rsidR="00350C2D">
        <w:rPr>
          <w:rFonts w:ascii="Arial" w:hAnsi="Arial" w:cs="Arial"/>
        </w:rPr>
        <w:t>the defense’s presentation of</w:t>
      </w:r>
      <w:r>
        <w:rPr>
          <w:rFonts w:ascii="Arial" w:hAnsi="Arial" w:cs="Arial"/>
        </w:rPr>
        <w:t xml:space="preserve"> evidence with that statement. G.S. 15A-1221(a)(6). </w:t>
      </w:r>
    </w:p>
    <w:p w14:paraId="570C8564" w14:textId="2E41F125" w:rsidR="00BE373C" w:rsidRPr="00997666" w:rsidRDefault="00C02C0F" w:rsidP="00DB30BF">
      <w:pPr>
        <w:pStyle w:val="ListParagraph"/>
        <w:spacing w:after="0" w:line="240" w:lineRule="auto"/>
        <w:ind w:firstLine="720"/>
        <w:rPr>
          <w:rFonts w:ascii="Arial" w:hAnsi="Arial" w:cs="Arial"/>
        </w:rPr>
      </w:pPr>
      <w:r>
        <w:rPr>
          <w:rFonts w:ascii="Arial" w:hAnsi="Arial" w:cs="Arial"/>
        </w:rPr>
        <w:t>G.S. 7A-97 addresses the superior court’s control of the number and duration of arguments that may be presented</w:t>
      </w:r>
      <w:r w:rsidR="00350C2D">
        <w:rPr>
          <w:rFonts w:ascii="Arial" w:hAnsi="Arial" w:cs="Arial"/>
        </w:rPr>
        <w:t>; the statute provides different rules for non-capital and capital cases as explained below</w:t>
      </w:r>
      <w:r>
        <w:rPr>
          <w:rFonts w:ascii="Arial" w:hAnsi="Arial" w:cs="Arial"/>
        </w:rPr>
        <w:t>.</w:t>
      </w:r>
    </w:p>
    <w:p w14:paraId="6E3C1066" w14:textId="786A0A6A" w:rsidR="00693D57" w:rsidRDefault="00BE373C" w:rsidP="00DB30BF">
      <w:pPr>
        <w:pStyle w:val="ListParagraph"/>
        <w:numPr>
          <w:ilvl w:val="0"/>
          <w:numId w:val="18"/>
        </w:numPr>
        <w:spacing w:after="0" w:line="240" w:lineRule="auto"/>
        <w:ind w:left="1440" w:hanging="720"/>
        <w:rPr>
          <w:rFonts w:ascii="Arial" w:hAnsi="Arial" w:cs="Arial"/>
        </w:rPr>
      </w:pPr>
      <w:bookmarkStart w:id="4" w:name="_Toc163125197"/>
      <w:r w:rsidRPr="00BE373C">
        <w:rPr>
          <w:rStyle w:val="Heading2Char"/>
        </w:rPr>
        <w:t>Non-Capital Cases</w:t>
      </w:r>
      <w:bookmarkEnd w:id="4"/>
      <w:r w:rsidRPr="00BE373C">
        <w:rPr>
          <w:rFonts w:ascii="Arial" w:hAnsi="Arial" w:cs="Arial"/>
          <w:b/>
          <w:bCs/>
        </w:rPr>
        <w:t>.</w:t>
      </w:r>
      <w:r w:rsidRPr="00BE373C">
        <w:rPr>
          <w:rFonts w:ascii="Arial" w:hAnsi="Arial" w:cs="Arial"/>
        </w:rPr>
        <w:t xml:space="preserve"> </w:t>
      </w:r>
      <w:r>
        <w:rPr>
          <w:rFonts w:ascii="Arial" w:hAnsi="Arial" w:cs="Arial"/>
        </w:rPr>
        <w:t>In non-capital cases, G.S. 7A-97</w:t>
      </w:r>
      <w:r w:rsidR="00C02C0F" w:rsidRPr="00BE373C">
        <w:rPr>
          <w:rFonts w:ascii="Arial" w:hAnsi="Arial" w:cs="Arial"/>
        </w:rPr>
        <w:t xml:space="preserve"> mandates “two addresses to the jury for the </w:t>
      </w:r>
      <w:r>
        <w:rPr>
          <w:rFonts w:ascii="Arial" w:hAnsi="Arial" w:cs="Arial"/>
        </w:rPr>
        <w:t>S</w:t>
      </w:r>
      <w:r w:rsidR="00C02C0F" w:rsidRPr="00BE373C">
        <w:rPr>
          <w:rFonts w:ascii="Arial" w:hAnsi="Arial" w:cs="Arial"/>
        </w:rPr>
        <w:t>tate . . . and two for the defendant</w:t>
      </w:r>
      <w:r w:rsidR="00ED53A4">
        <w:rPr>
          <w:rFonts w:ascii="Arial" w:hAnsi="Arial" w:cs="Arial"/>
        </w:rPr>
        <w:t>.</w:t>
      </w:r>
      <w:r w:rsidR="00C02C0F" w:rsidRPr="00BE373C">
        <w:rPr>
          <w:rFonts w:ascii="Arial" w:hAnsi="Arial" w:cs="Arial"/>
        </w:rPr>
        <w:t xml:space="preserve">” A superior court judge is authorized to limit the time of argument to not less than one hour on each side in misdemeanor cases and not less than two hours on each side for non-capital felony cases. </w:t>
      </w:r>
      <w:r w:rsidR="00F12FB1" w:rsidRPr="00BE373C">
        <w:rPr>
          <w:rFonts w:ascii="Arial" w:hAnsi="Arial" w:cs="Arial"/>
        </w:rPr>
        <w:t xml:space="preserve">G.S. 7A-97. A superior court judge has discretion to allow a greater number of addresses or extensions of time upon a party’s motion, “as the interests of justice may require.” </w:t>
      </w:r>
      <w:r w:rsidR="00F12FB1" w:rsidRPr="00BE373C">
        <w:rPr>
          <w:rFonts w:ascii="Arial" w:hAnsi="Arial" w:cs="Arial"/>
          <w:i/>
          <w:iCs/>
        </w:rPr>
        <w:t>Id</w:t>
      </w:r>
      <w:r w:rsidR="00F12FB1" w:rsidRPr="00BE373C">
        <w:rPr>
          <w:rFonts w:ascii="Arial" w:hAnsi="Arial" w:cs="Arial"/>
        </w:rPr>
        <w:t>.</w:t>
      </w:r>
      <w:r w:rsidR="00C02C0F" w:rsidRPr="00BE373C">
        <w:rPr>
          <w:rFonts w:ascii="Arial" w:hAnsi="Arial" w:cs="Arial"/>
        </w:rPr>
        <w:t xml:space="preserve"> </w:t>
      </w:r>
    </w:p>
    <w:p w14:paraId="78AF7564" w14:textId="1F618DB3" w:rsidR="000A3DD5" w:rsidRDefault="00BE373C" w:rsidP="00DB30BF">
      <w:pPr>
        <w:pStyle w:val="ListParagraph"/>
        <w:numPr>
          <w:ilvl w:val="0"/>
          <w:numId w:val="18"/>
        </w:numPr>
        <w:spacing w:after="0" w:line="240" w:lineRule="auto"/>
        <w:ind w:left="1440" w:hanging="720"/>
        <w:rPr>
          <w:rFonts w:ascii="Arial" w:hAnsi="Arial" w:cs="Arial"/>
        </w:rPr>
      </w:pPr>
      <w:bookmarkStart w:id="5" w:name="_Toc163125198"/>
      <w:r w:rsidRPr="00BE373C">
        <w:rPr>
          <w:rStyle w:val="Heading2Char"/>
        </w:rPr>
        <w:t>Capital Cases</w:t>
      </w:r>
      <w:bookmarkEnd w:id="5"/>
      <w:r>
        <w:rPr>
          <w:rFonts w:ascii="Arial" w:hAnsi="Arial" w:cs="Arial"/>
          <w:b/>
          <w:bCs/>
        </w:rPr>
        <w:t xml:space="preserve">. </w:t>
      </w:r>
      <w:r>
        <w:rPr>
          <w:rFonts w:ascii="Arial" w:hAnsi="Arial" w:cs="Arial"/>
        </w:rPr>
        <w:t>G.S. 7A-97</w:t>
      </w:r>
      <w:r w:rsidRPr="00BE373C">
        <w:rPr>
          <w:rFonts w:ascii="Arial" w:hAnsi="Arial" w:cs="Arial"/>
        </w:rPr>
        <w:t xml:space="preserve"> </w:t>
      </w:r>
      <w:r>
        <w:rPr>
          <w:rFonts w:ascii="Arial" w:hAnsi="Arial" w:cs="Arial"/>
        </w:rPr>
        <w:t>states that “there shall be no limit as to the number” of addresses to the jury in capital cases. The statute goes on to provide that, e</w:t>
      </w:r>
      <w:r w:rsidR="00C02C0F" w:rsidRPr="00BE373C">
        <w:rPr>
          <w:rFonts w:ascii="Arial" w:hAnsi="Arial" w:cs="Arial"/>
        </w:rPr>
        <w:t xml:space="preserve">xcept by consent, the time of argument may not be limited in capital cases, though the trial court may limit the number of attorneys who may address the jury to three attorneys on each side. </w:t>
      </w:r>
      <w:r w:rsidR="00C02C0F" w:rsidRPr="00BE373C">
        <w:rPr>
          <w:rFonts w:ascii="Arial" w:hAnsi="Arial" w:cs="Arial"/>
          <w:i/>
          <w:iCs/>
        </w:rPr>
        <w:t>Id</w:t>
      </w:r>
      <w:r w:rsidR="00C02C0F" w:rsidRPr="00BE373C">
        <w:rPr>
          <w:rFonts w:ascii="Arial" w:hAnsi="Arial" w:cs="Arial"/>
        </w:rPr>
        <w:t>.</w:t>
      </w:r>
      <w:r w:rsidR="00693D57" w:rsidRPr="00BE373C">
        <w:rPr>
          <w:rFonts w:ascii="Arial" w:hAnsi="Arial" w:cs="Arial"/>
        </w:rPr>
        <w:t xml:space="preserve"> While the number of attorneys </w:t>
      </w:r>
      <w:r>
        <w:rPr>
          <w:rFonts w:ascii="Arial" w:hAnsi="Arial" w:cs="Arial"/>
        </w:rPr>
        <w:t>addressing the jury</w:t>
      </w:r>
      <w:r w:rsidR="00693D57" w:rsidRPr="00BE373C">
        <w:rPr>
          <w:rFonts w:ascii="Arial" w:hAnsi="Arial" w:cs="Arial"/>
        </w:rPr>
        <w:t xml:space="preserve"> in a capital case may be limited to three, th</w:t>
      </w:r>
      <w:r>
        <w:rPr>
          <w:rFonts w:ascii="Arial" w:hAnsi="Arial" w:cs="Arial"/>
        </w:rPr>
        <w:t>ose</w:t>
      </w:r>
      <w:r w:rsidR="00693D57" w:rsidRPr="00BE373C">
        <w:rPr>
          <w:rFonts w:ascii="Arial" w:hAnsi="Arial" w:cs="Arial"/>
        </w:rPr>
        <w:t xml:space="preserve"> attorneys are not limited in the number of </w:t>
      </w:r>
      <w:r>
        <w:rPr>
          <w:rFonts w:ascii="Arial" w:hAnsi="Arial" w:cs="Arial"/>
        </w:rPr>
        <w:t>addresses</w:t>
      </w:r>
      <w:r w:rsidR="00693D57" w:rsidRPr="00BE373C">
        <w:rPr>
          <w:rFonts w:ascii="Arial" w:hAnsi="Arial" w:cs="Arial"/>
        </w:rPr>
        <w:t xml:space="preserve"> they may make.</w:t>
      </w:r>
      <w:r w:rsidR="00F12FB1" w:rsidRPr="00BE373C">
        <w:rPr>
          <w:rFonts w:ascii="Arial" w:hAnsi="Arial" w:cs="Arial"/>
        </w:rPr>
        <w:t xml:space="preserve"> </w:t>
      </w:r>
      <w:r w:rsidR="00693D57" w:rsidRPr="00BE373C">
        <w:rPr>
          <w:rFonts w:ascii="Arial" w:hAnsi="Arial" w:cs="Arial"/>
        </w:rPr>
        <w:t xml:space="preserve">State v. Mitchell, 321 N.C. 650, 659 (1988). </w:t>
      </w:r>
      <w:r w:rsidR="00F12FB1" w:rsidRPr="00BE373C">
        <w:rPr>
          <w:rFonts w:ascii="Arial" w:hAnsi="Arial" w:cs="Arial"/>
        </w:rPr>
        <w:t xml:space="preserve">It is per se prejudicial error in a capital case to limit the number of defense counsel who may address the jury to fewer than </w:t>
      </w:r>
      <w:r w:rsidR="0010425A" w:rsidRPr="00BE373C">
        <w:rPr>
          <w:rFonts w:ascii="Arial" w:hAnsi="Arial" w:cs="Arial"/>
        </w:rPr>
        <w:t xml:space="preserve">three. </w:t>
      </w:r>
      <w:r w:rsidR="00693D57" w:rsidRPr="00BE373C">
        <w:rPr>
          <w:rFonts w:ascii="Arial" w:hAnsi="Arial" w:cs="Arial"/>
          <w:i/>
          <w:iCs/>
        </w:rPr>
        <w:t>Id</w:t>
      </w:r>
      <w:r w:rsidR="00693D57" w:rsidRPr="00BE373C">
        <w:rPr>
          <w:rFonts w:ascii="Arial" w:hAnsi="Arial" w:cs="Arial"/>
        </w:rPr>
        <w:t>.</w:t>
      </w:r>
      <w:r w:rsidRPr="00BE373C">
        <w:rPr>
          <w:rFonts w:ascii="Arial" w:hAnsi="Arial" w:cs="Arial"/>
        </w:rPr>
        <w:t xml:space="preserve"> </w:t>
      </w:r>
      <w:r w:rsidR="000372A2">
        <w:rPr>
          <w:rFonts w:ascii="Arial" w:hAnsi="Arial" w:cs="Arial"/>
        </w:rPr>
        <w:t xml:space="preserve">The provisions of G.S. 7A-97 apply to both the guilt-innocence and the sentencing phase of a capital trial. </w:t>
      </w:r>
      <w:r w:rsidR="000372A2" w:rsidRPr="00066FDD">
        <w:rPr>
          <w:rFonts w:ascii="Arial" w:hAnsi="Arial" w:cs="Arial"/>
          <w:i/>
          <w:iCs/>
        </w:rPr>
        <w:t>Mitchell</w:t>
      </w:r>
      <w:r w:rsidR="000372A2" w:rsidRPr="00BE373C">
        <w:rPr>
          <w:rFonts w:ascii="Arial" w:hAnsi="Arial" w:cs="Arial"/>
        </w:rPr>
        <w:t xml:space="preserve">, 321 N.C. </w:t>
      </w:r>
      <w:r w:rsidR="000372A2">
        <w:rPr>
          <w:rFonts w:ascii="Arial" w:hAnsi="Arial" w:cs="Arial"/>
        </w:rPr>
        <w:t xml:space="preserve">at </w:t>
      </w:r>
      <w:r w:rsidR="000372A2" w:rsidRPr="00BE373C">
        <w:rPr>
          <w:rFonts w:ascii="Arial" w:hAnsi="Arial" w:cs="Arial"/>
        </w:rPr>
        <w:t>65</w:t>
      </w:r>
      <w:r w:rsidR="000372A2">
        <w:rPr>
          <w:rFonts w:ascii="Arial" w:hAnsi="Arial" w:cs="Arial"/>
        </w:rPr>
        <w:t>7-</w:t>
      </w:r>
      <w:r w:rsidR="000372A2" w:rsidRPr="00BE373C">
        <w:rPr>
          <w:rFonts w:ascii="Arial" w:hAnsi="Arial" w:cs="Arial"/>
        </w:rPr>
        <w:t>59</w:t>
      </w:r>
      <w:r w:rsidR="000372A2">
        <w:rPr>
          <w:rFonts w:ascii="Arial" w:hAnsi="Arial" w:cs="Arial"/>
        </w:rPr>
        <w:t>.</w:t>
      </w:r>
    </w:p>
    <w:p w14:paraId="7A2DB7DE" w14:textId="63A822EA" w:rsidR="000A3DD5" w:rsidRPr="000A3DD5" w:rsidRDefault="000A3DD5" w:rsidP="00DB30BF">
      <w:pPr>
        <w:pStyle w:val="ListParagraph"/>
        <w:spacing w:after="0" w:line="240" w:lineRule="auto"/>
        <w:ind w:left="1440" w:firstLine="720"/>
        <w:rPr>
          <w:rFonts w:ascii="Arial" w:hAnsi="Arial" w:cs="Arial"/>
        </w:rPr>
      </w:pPr>
      <w:r>
        <w:rPr>
          <w:rFonts w:ascii="Arial" w:hAnsi="Arial" w:cs="Arial"/>
        </w:rPr>
        <w:t xml:space="preserve">The North Carolina Supreme Court has synthesized the </w:t>
      </w:r>
      <w:r w:rsidR="007440F7">
        <w:rPr>
          <w:rFonts w:ascii="Arial" w:hAnsi="Arial" w:cs="Arial"/>
        </w:rPr>
        <w:t>application in capital cases</w:t>
      </w:r>
      <w:r>
        <w:rPr>
          <w:rFonts w:ascii="Arial" w:hAnsi="Arial" w:cs="Arial"/>
        </w:rPr>
        <w:t xml:space="preserve"> of G.S. 7A-97 and Rule 10 </w:t>
      </w:r>
      <w:r w:rsidRPr="00B63E02">
        <w:rPr>
          <w:rFonts w:ascii="Arial" w:hAnsi="Arial" w:cs="Arial"/>
        </w:rPr>
        <w:t>of the North Carolina General Rules of Practice for the Superior and District Courts (discussed imm</w:t>
      </w:r>
      <w:r>
        <w:rPr>
          <w:rFonts w:ascii="Arial" w:hAnsi="Arial" w:cs="Arial"/>
        </w:rPr>
        <w:t>ediately below</w:t>
      </w:r>
      <w:r w:rsidRPr="00B63E02">
        <w:rPr>
          <w:rFonts w:ascii="Arial" w:hAnsi="Arial" w:cs="Arial"/>
        </w:rPr>
        <w:t>)</w:t>
      </w:r>
      <w:r w:rsidR="00BE373C" w:rsidRPr="00B63E02">
        <w:rPr>
          <w:rFonts w:ascii="Arial" w:hAnsi="Arial" w:cs="Arial"/>
          <w:i/>
          <w:iCs/>
        </w:rPr>
        <w:t xml:space="preserve"> </w:t>
      </w:r>
      <w:r>
        <w:rPr>
          <w:rFonts w:ascii="Arial" w:hAnsi="Arial" w:cs="Arial"/>
        </w:rPr>
        <w:t>as follows:</w:t>
      </w:r>
    </w:p>
    <w:p w14:paraId="5E7DBB82" w14:textId="78620674" w:rsidR="000A3DD5" w:rsidRPr="00066FDD" w:rsidRDefault="000A3DD5" w:rsidP="00DB30BF">
      <w:pPr>
        <w:spacing w:after="0" w:line="240" w:lineRule="auto"/>
      </w:pPr>
    </w:p>
    <w:p w14:paraId="7F9BDCA4" w14:textId="76685ED5" w:rsidR="000A3DD5" w:rsidRDefault="000A3DD5" w:rsidP="00DB30BF">
      <w:pPr>
        <w:pStyle w:val="ListParagraph"/>
        <w:spacing w:after="0" w:line="240" w:lineRule="auto"/>
        <w:ind w:left="2160" w:right="720"/>
        <w:rPr>
          <w:rFonts w:ascii="Arial" w:hAnsi="Arial" w:cs="Arial"/>
        </w:rPr>
      </w:pPr>
      <w:r w:rsidRPr="000A3DD5">
        <w:rPr>
          <w:rFonts w:ascii="Arial" w:hAnsi="Arial" w:cs="Arial"/>
        </w:rPr>
        <w:lastRenderedPageBreak/>
        <w:t>[A]</w:t>
      </w:r>
      <w:proofErr w:type="spellStart"/>
      <w:r w:rsidRPr="000A3DD5">
        <w:rPr>
          <w:rFonts w:ascii="Arial" w:hAnsi="Arial" w:cs="Arial"/>
        </w:rPr>
        <w:t>lthough</w:t>
      </w:r>
      <w:proofErr w:type="spellEnd"/>
      <w:r w:rsidRPr="000A3DD5">
        <w:rPr>
          <w:rFonts w:ascii="Arial" w:hAnsi="Arial" w:cs="Arial"/>
        </w:rPr>
        <w:t xml:space="preserve"> the trial court in a capital case may limit to three the number of </w:t>
      </w:r>
      <w:proofErr w:type="gramStart"/>
      <w:r w:rsidRPr="000A3DD5">
        <w:rPr>
          <w:rFonts w:ascii="Arial" w:hAnsi="Arial" w:cs="Arial"/>
        </w:rPr>
        <w:t>counsel</w:t>
      </w:r>
      <w:proofErr w:type="gramEnd"/>
      <w:r w:rsidRPr="000A3DD5">
        <w:rPr>
          <w:rFonts w:ascii="Arial" w:hAnsi="Arial" w:cs="Arial"/>
        </w:rPr>
        <w:t xml:space="preserve"> on each side who may address the jury, those three (or however many actually argue) may argue for as long as they wish and each may address the jury as many times as he desires. Thus, for example, if one defense attorney grows weary of arguing, he may allow another defense attorney to address the jury and may, upon being refreshed, rise again to make another address during the defendant's time for argument. However, if the defendant presents evidence, all such addresses</w:t>
      </w:r>
      <w:r w:rsidR="000372A2">
        <w:rPr>
          <w:rFonts w:ascii="Arial" w:hAnsi="Arial" w:cs="Arial"/>
        </w:rPr>
        <w:t xml:space="preserve"> [in the guilt-innocence phase]</w:t>
      </w:r>
      <w:r w:rsidRPr="000A3DD5">
        <w:rPr>
          <w:rFonts w:ascii="Arial" w:hAnsi="Arial" w:cs="Arial"/>
        </w:rPr>
        <w:t xml:space="preserve"> must be made prior to the prosecution's closing argument.</w:t>
      </w:r>
    </w:p>
    <w:p w14:paraId="7B56530E" w14:textId="77777777" w:rsidR="00997666" w:rsidRDefault="00997666" w:rsidP="00DB30BF">
      <w:pPr>
        <w:pStyle w:val="ListParagraph"/>
        <w:spacing w:after="0" w:line="240" w:lineRule="auto"/>
        <w:ind w:left="1440"/>
        <w:rPr>
          <w:rFonts w:ascii="Arial" w:hAnsi="Arial" w:cs="Arial"/>
        </w:rPr>
      </w:pPr>
    </w:p>
    <w:p w14:paraId="34AF1FE0" w14:textId="150C46AF" w:rsidR="00C02C0F" w:rsidRPr="00BE373C" w:rsidRDefault="00BE373C" w:rsidP="00DB30BF">
      <w:pPr>
        <w:pStyle w:val="ListParagraph"/>
        <w:spacing w:after="0" w:line="240" w:lineRule="auto"/>
        <w:ind w:left="1440"/>
        <w:rPr>
          <w:rFonts w:ascii="Arial" w:hAnsi="Arial" w:cs="Arial"/>
        </w:rPr>
      </w:pPr>
      <w:r w:rsidRPr="00B63E02">
        <w:rPr>
          <w:rFonts w:ascii="Arial" w:hAnsi="Arial" w:cs="Arial"/>
        </w:rPr>
        <w:t>State v. Gladden, 315 N.C. 398, 417 (1986)</w:t>
      </w:r>
      <w:r w:rsidR="0024347D">
        <w:rPr>
          <w:rFonts w:ascii="Arial" w:hAnsi="Arial" w:cs="Arial"/>
        </w:rPr>
        <w:t xml:space="preserve">; </w:t>
      </w:r>
      <w:r w:rsidR="000A3DD5">
        <w:rPr>
          <w:rFonts w:ascii="Arial" w:hAnsi="Arial" w:cs="Arial"/>
          <w:i/>
          <w:iCs/>
        </w:rPr>
        <w:t xml:space="preserve">see also </w:t>
      </w:r>
      <w:r w:rsidR="0024347D">
        <w:rPr>
          <w:rFonts w:ascii="Arial" w:hAnsi="Arial" w:cs="Arial"/>
        </w:rPr>
        <w:t>State v. Barrow, 350 N.C. 640, 644 n.2 (1999) (noting that cases</w:t>
      </w:r>
      <w:r w:rsidR="00887679">
        <w:rPr>
          <w:rFonts w:ascii="Arial" w:hAnsi="Arial" w:cs="Arial"/>
        </w:rPr>
        <w:t xml:space="preserve"> such as </w:t>
      </w:r>
      <w:r w:rsidR="00887679">
        <w:rPr>
          <w:rFonts w:ascii="Arial" w:hAnsi="Arial" w:cs="Arial"/>
          <w:i/>
          <w:iCs/>
        </w:rPr>
        <w:t>Gladden</w:t>
      </w:r>
      <w:r w:rsidR="0024347D">
        <w:rPr>
          <w:rFonts w:ascii="Arial" w:hAnsi="Arial" w:cs="Arial"/>
        </w:rPr>
        <w:t xml:space="preserve"> decided under the predecessor statute to G.S. 7A-97, G.S. 84-14, remain “fully applicable”).</w:t>
      </w:r>
    </w:p>
    <w:p w14:paraId="08EC4750" w14:textId="77777777" w:rsidR="00C02C0F" w:rsidRPr="00C02C0F" w:rsidRDefault="00C02C0F" w:rsidP="00DB30BF">
      <w:pPr>
        <w:pStyle w:val="ListParagraph"/>
        <w:spacing w:after="0" w:line="240" w:lineRule="auto"/>
        <w:rPr>
          <w:rStyle w:val="Heading1Char"/>
          <w:b w:val="0"/>
          <w:bCs w:val="0"/>
        </w:rPr>
      </w:pPr>
    </w:p>
    <w:p w14:paraId="14F43E6D" w14:textId="77777777" w:rsidR="00887679" w:rsidRDefault="00C02C0F" w:rsidP="00DB30BF">
      <w:pPr>
        <w:pStyle w:val="ListParagraph"/>
        <w:numPr>
          <w:ilvl w:val="0"/>
          <w:numId w:val="1"/>
        </w:numPr>
        <w:spacing w:after="0" w:line="240" w:lineRule="auto"/>
        <w:rPr>
          <w:rFonts w:ascii="Arial" w:hAnsi="Arial" w:cs="Arial"/>
        </w:rPr>
      </w:pPr>
      <w:bookmarkStart w:id="6" w:name="_Toc163125199"/>
      <w:r w:rsidRPr="00066FDD">
        <w:rPr>
          <w:rStyle w:val="Heading1Char"/>
        </w:rPr>
        <w:t>Order of Arguments</w:t>
      </w:r>
      <w:bookmarkEnd w:id="6"/>
      <w:r>
        <w:rPr>
          <w:rFonts w:ascii="Arial" w:hAnsi="Arial" w:cs="Arial"/>
          <w:b/>
          <w:bCs/>
        </w:rPr>
        <w:t>.</w:t>
      </w:r>
      <w:r w:rsidRPr="00C02C0F">
        <w:rPr>
          <w:rFonts w:ascii="Arial" w:hAnsi="Arial" w:cs="Arial"/>
        </w:rPr>
        <w:t xml:space="preserve"> </w:t>
      </w:r>
      <w:r w:rsidR="00653854" w:rsidRPr="00C02C0F">
        <w:rPr>
          <w:rFonts w:ascii="Arial" w:hAnsi="Arial" w:cs="Arial"/>
        </w:rPr>
        <w:t xml:space="preserve">Rule 10 of the North Carolina General Rules of Practice for the Superior and District Courts governs the order of arguments to the jury. </w:t>
      </w:r>
    </w:p>
    <w:p w14:paraId="1D6C7484" w14:textId="22FAF552" w:rsidR="00887679" w:rsidRDefault="00653854" w:rsidP="00DB30BF">
      <w:pPr>
        <w:pStyle w:val="ListParagraph"/>
        <w:spacing w:after="0" w:line="240" w:lineRule="auto"/>
        <w:ind w:firstLine="720"/>
        <w:rPr>
          <w:rFonts w:ascii="Arial" w:hAnsi="Arial" w:cs="Arial"/>
        </w:rPr>
      </w:pPr>
      <w:r w:rsidRPr="00C02C0F">
        <w:rPr>
          <w:rFonts w:ascii="Arial" w:hAnsi="Arial" w:cs="Arial"/>
        </w:rPr>
        <w:t>If a defendant introduces no evidence, Rule</w:t>
      </w:r>
      <w:r w:rsidR="00027F4D" w:rsidRPr="00C02C0F">
        <w:rPr>
          <w:rFonts w:ascii="Arial" w:hAnsi="Arial" w:cs="Arial"/>
        </w:rPr>
        <w:t xml:space="preserve"> 10</w:t>
      </w:r>
      <w:r w:rsidRPr="00C02C0F">
        <w:rPr>
          <w:rFonts w:ascii="Arial" w:hAnsi="Arial" w:cs="Arial"/>
        </w:rPr>
        <w:t xml:space="preserve"> gives the defendant the right to open and close jury argument.</w:t>
      </w:r>
      <w:r w:rsidR="00386CA1" w:rsidRPr="00C02C0F">
        <w:rPr>
          <w:rFonts w:ascii="Arial" w:hAnsi="Arial" w:cs="Arial"/>
        </w:rPr>
        <w:t xml:space="preserve"> </w:t>
      </w:r>
      <w:r w:rsidR="008805AD" w:rsidRPr="00C02C0F">
        <w:rPr>
          <w:rFonts w:ascii="Arial" w:hAnsi="Arial" w:cs="Arial"/>
        </w:rPr>
        <w:t xml:space="preserve">The “test as to whether [something] has been put in evidence is whether a party has </w:t>
      </w:r>
      <w:r w:rsidR="00451ED4" w:rsidRPr="00C02C0F">
        <w:rPr>
          <w:rFonts w:ascii="Arial" w:hAnsi="Arial" w:cs="Arial"/>
        </w:rPr>
        <w:t>o</w:t>
      </w:r>
      <w:r w:rsidR="008805AD" w:rsidRPr="00C02C0F">
        <w:rPr>
          <w:rFonts w:ascii="Arial" w:hAnsi="Arial" w:cs="Arial"/>
        </w:rPr>
        <w:t xml:space="preserve">ffered it as substantive evidence or so that the jury may examine it and determine whether it illustrates, corroborates, or impeaches the testimony of [a] witness.” State v. Macon, 346 N.C. 109, 113 (1997) (quoting </w:t>
      </w:r>
      <w:r w:rsidR="008805AD" w:rsidRPr="00066FDD">
        <w:rPr>
          <w:rFonts w:ascii="Arial" w:hAnsi="Arial" w:cs="Arial"/>
        </w:rPr>
        <w:t>State v. Hall</w:t>
      </w:r>
      <w:r w:rsidR="008805AD" w:rsidRPr="00C02C0F">
        <w:rPr>
          <w:rFonts w:ascii="Arial" w:hAnsi="Arial" w:cs="Arial"/>
        </w:rPr>
        <w:t>, 57 N.C. App. 561 (1982)</w:t>
      </w:r>
      <w:r w:rsidR="002071D8" w:rsidRPr="00C02C0F">
        <w:rPr>
          <w:rFonts w:ascii="Arial" w:hAnsi="Arial" w:cs="Arial"/>
        </w:rPr>
        <w:t xml:space="preserve">); </w:t>
      </w:r>
      <w:r w:rsidR="002071D8" w:rsidRPr="00C02C0F">
        <w:rPr>
          <w:rFonts w:ascii="Arial" w:hAnsi="Arial" w:cs="Arial"/>
          <w:i/>
          <w:iCs/>
        </w:rPr>
        <w:t xml:space="preserve">see also </w:t>
      </w:r>
      <w:r w:rsidR="002071D8" w:rsidRPr="00C02C0F">
        <w:rPr>
          <w:rFonts w:ascii="Arial" w:hAnsi="Arial" w:cs="Arial"/>
        </w:rPr>
        <w:t xml:space="preserve">State v. Lindsey, 249 N.C. App. 516, 527 (2016) (discussing additional case law on the issue from the Court of Appeals); State v. English, 194 N.C. App. 314, 318-19 (2008) (same). </w:t>
      </w:r>
      <w:r w:rsidR="008805AD" w:rsidRPr="00C02C0F">
        <w:rPr>
          <w:rFonts w:ascii="Arial" w:hAnsi="Arial" w:cs="Arial"/>
        </w:rPr>
        <w:t xml:space="preserve">It is possible for a defendant to introduce evidence within the meaning of the Rule 10 test </w:t>
      </w:r>
      <w:r w:rsidR="00451ED4" w:rsidRPr="00C02C0F">
        <w:rPr>
          <w:rFonts w:ascii="Arial" w:hAnsi="Arial" w:cs="Arial"/>
        </w:rPr>
        <w:t>while conducting</w:t>
      </w:r>
      <w:r w:rsidR="008805AD" w:rsidRPr="00C02C0F">
        <w:rPr>
          <w:rFonts w:ascii="Arial" w:hAnsi="Arial" w:cs="Arial"/>
        </w:rPr>
        <w:t xml:space="preserve"> cross-examination </w:t>
      </w:r>
      <w:r w:rsidR="00ED4A29">
        <w:rPr>
          <w:rFonts w:ascii="Arial" w:hAnsi="Arial" w:cs="Arial"/>
        </w:rPr>
        <w:t>of a state’s witness</w:t>
      </w:r>
      <w:r w:rsidR="008805AD" w:rsidRPr="00C02C0F">
        <w:rPr>
          <w:rFonts w:ascii="Arial" w:hAnsi="Arial" w:cs="Arial"/>
        </w:rPr>
        <w:t xml:space="preserve">. </w:t>
      </w:r>
      <w:r w:rsidR="008805AD" w:rsidRPr="00C02C0F">
        <w:rPr>
          <w:rFonts w:ascii="Arial" w:hAnsi="Arial" w:cs="Arial"/>
          <w:i/>
          <w:iCs/>
        </w:rPr>
        <w:t>Macon</w:t>
      </w:r>
      <w:r w:rsidR="008805AD" w:rsidRPr="00C02C0F">
        <w:rPr>
          <w:rFonts w:ascii="Arial" w:hAnsi="Arial" w:cs="Arial"/>
        </w:rPr>
        <w:t xml:space="preserve">, 346 N.C. at 114 (defendant </w:t>
      </w:r>
      <w:r w:rsidR="00CB5CE9" w:rsidRPr="00C02C0F">
        <w:rPr>
          <w:rFonts w:ascii="Arial" w:hAnsi="Arial" w:cs="Arial"/>
        </w:rPr>
        <w:t xml:space="preserve">inadvertently </w:t>
      </w:r>
      <w:r w:rsidR="008805AD" w:rsidRPr="00C02C0F">
        <w:rPr>
          <w:rFonts w:ascii="Arial" w:hAnsi="Arial" w:cs="Arial"/>
        </w:rPr>
        <w:t xml:space="preserve">did so by asking officer to read </w:t>
      </w:r>
      <w:r w:rsidR="00451ED4" w:rsidRPr="00C02C0F">
        <w:rPr>
          <w:rFonts w:ascii="Arial" w:hAnsi="Arial" w:cs="Arial"/>
        </w:rPr>
        <w:t xml:space="preserve">aloud for the jury </w:t>
      </w:r>
      <w:r w:rsidR="008805AD" w:rsidRPr="00C02C0F">
        <w:rPr>
          <w:rFonts w:ascii="Arial" w:hAnsi="Arial" w:cs="Arial"/>
        </w:rPr>
        <w:t xml:space="preserve">notes taken </w:t>
      </w:r>
      <w:r w:rsidR="001916F3" w:rsidRPr="00C02C0F">
        <w:rPr>
          <w:rFonts w:ascii="Arial" w:hAnsi="Arial" w:cs="Arial"/>
        </w:rPr>
        <w:t xml:space="preserve">by another officer </w:t>
      </w:r>
      <w:r w:rsidR="008805AD" w:rsidRPr="00C02C0F">
        <w:rPr>
          <w:rFonts w:ascii="Arial" w:hAnsi="Arial" w:cs="Arial"/>
        </w:rPr>
        <w:t>during an interview</w:t>
      </w:r>
      <w:r w:rsidR="001916F3" w:rsidRPr="00C02C0F">
        <w:rPr>
          <w:rFonts w:ascii="Arial" w:hAnsi="Arial" w:cs="Arial"/>
        </w:rPr>
        <w:t xml:space="preserve"> with defendant</w:t>
      </w:r>
      <w:r w:rsidR="008805AD" w:rsidRPr="00C02C0F">
        <w:rPr>
          <w:rFonts w:ascii="Arial" w:hAnsi="Arial" w:cs="Arial"/>
        </w:rPr>
        <w:t xml:space="preserve">); </w:t>
      </w:r>
      <w:r w:rsidR="00AA4F0C" w:rsidRPr="00C02C0F">
        <w:rPr>
          <w:rFonts w:ascii="Arial" w:hAnsi="Arial" w:cs="Arial"/>
          <w:i/>
          <w:iCs/>
        </w:rPr>
        <w:t>Lindsey</w:t>
      </w:r>
      <w:r w:rsidR="00AA4F0C" w:rsidRPr="00C02C0F">
        <w:rPr>
          <w:rFonts w:ascii="Arial" w:hAnsi="Arial" w:cs="Arial"/>
        </w:rPr>
        <w:t>, 249 N.C. App. at 528 (defendant did so by playing video recorded by officer’s in-car camera)</w:t>
      </w:r>
      <w:r w:rsidR="008805AD" w:rsidRPr="00C02C0F">
        <w:rPr>
          <w:rFonts w:ascii="Arial" w:hAnsi="Arial" w:cs="Arial"/>
        </w:rPr>
        <w:t>.</w:t>
      </w:r>
      <w:r w:rsidR="00451ED4" w:rsidRPr="00C02C0F">
        <w:rPr>
          <w:rFonts w:ascii="Arial" w:hAnsi="Arial" w:cs="Arial"/>
        </w:rPr>
        <w:t xml:space="preserve"> </w:t>
      </w:r>
      <w:r w:rsidR="000B6E5C">
        <w:rPr>
          <w:rFonts w:ascii="Arial" w:hAnsi="Arial" w:cs="Arial"/>
        </w:rPr>
        <w:t xml:space="preserve">The Court of Appeals has suggested that in cases where the defendant </w:t>
      </w:r>
      <w:r w:rsidR="00E63175">
        <w:rPr>
          <w:rFonts w:ascii="Arial" w:hAnsi="Arial" w:cs="Arial"/>
        </w:rPr>
        <w:t>has the final argument because he or she has not put on evidence, the better practice is for the prosecutor not to explain the order of arguments to the jury. State v. Miller, 32 N.C. App. 770, 771 (1977) (so suggesting but finding no prejudicial error in case where prosecutor explained to jury that “the defense has the last argument when the defense does not offer evidence”)</w:t>
      </w:r>
      <w:r w:rsidR="00066FDD">
        <w:rPr>
          <w:rFonts w:ascii="Arial" w:hAnsi="Arial" w:cs="Arial"/>
        </w:rPr>
        <w:t>;</w:t>
      </w:r>
      <w:r w:rsidR="00E63175">
        <w:rPr>
          <w:rFonts w:ascii="Arial" w:hAnsi="Arial" w:cs="Arial"/>
        </w:rPr>
        <w:t xml:space="preserve"> </w:t>
      </w:r>
      <w:r w:rsidR="00E63175">
        <w:rPr>
          <w:rFonts w:ascii="Arial" w:hAnsi="Arial" w:cs="Arial"/>
          <w:i/>
          <w:iCs/>
        </w:rPr>
        <w:t xml:space="preserve">see also </w:t>
      </w:r>
      <w:r w:rsidR="00E63175">
        <w:rPr>
          <w:rFonts w:ascii="Arial" w:hAnsi="Arial" w:cs="Arial"/>
        </w:rPr>
        <w:t xml:space="preserve">State v. Griffin, 308 N.C. 303, 314 (1983) (citing </w:t>
      </w:r>
      <w:r w:rsidR="00E63175">
        <w:rPr>
          <w:rFonts w:ascii="Arial" w:hAnsi="Arial" w:cs="Arial"/>
          <w:i/>
          <w:iCs/>
        </w:rPr>
        <w:t>Miller</w:t>
      </w:r>
      <w:r w:rsidR="00E63175">
        <w:rPr>
          <w:rFonts w:ascii="Arial" w:hAnsi="Arial" w:cs="Arial"/>
        </w:rPr>
        <w:t xml:space="preserve"> favorably).</w:t>
      </w:r>
    </w:p>
    <w:p w14:paraId="70C8CF93" w14:textId="301E81F6" w:rsidR="00303B89" w:rsidRDefault="00451ED4" w:rsidP="00DB30BF">
      <w:pPr>
        <w:pStyle w:val="ListParagraph"/>
        <w:spacing w:after="0" w:line="240" w:lineRule="auto"/>
        <w:ind w:firstLine="720"/>
        <w:rPr>
          <w:rFonts w:ascii="Arial" w:hAnsi="Arial" w:cs="Arial"/>
        </w:rPr>
      </w:pPr>
      <w:r w:rsidRPr="00C02C0F">
        <w:rPr>
          <w:rFonts w:ascii="Arial" w:hAnsi="Arial" w:cs="Arial"/>
        </w:rPr>
        <w:t xml:space="preserve">If there is a question as to the proper order of arguments, Rule 10 provides that </w:t>
      </w:r>
      <w:r w:rsidR="00245097" w:rsidRPr="00C02C0F">
        <w:rPr>
          <w:rFonts w:ascii="Arial" w:hAnsi="Arial" w:cs="Arial"/>
        </w:rPr>
        <w:t>the trial court decides the issue</w:t>
      </w:r>
      <w:r w:rsidRPr="00C02C0F">
        <w:rPr>
          <w:rFonts w:ascii="Arial" w:hAnsi="Arial" w:cs="Arial"/>
        </w:rPr>
        <w:t>.</w:t>
      </w:r>
      <w:r w:rsidR="00AA4F0C" w:rsidRPr="00C02C0F">
        <w:rPr>
          <w:rFonts w:ascii="Arial" w:hAnsi="Arial" w:cs="Arial"/>
        </w:rPr>
        <w:t xml:space="preserve"> Note, however, that it is reversible error to deny a defendant the final argument to the jury </w:t>
      </w:r>
      <w:proofErr w:type="gramStart"/>
      <w:r w:rsidR="00AA4F0C" w:rsidRPr="00C02C0F">
        <w:rPr>
          <w:rFonts w:ascii="Arial" w:hAnsi="Arial" w:cs="Arial"/>
        </w:rPr>
        <w:t>on the basis of</w:t>
      </w:r>
      <w:proofErr w:type="gramEnd"/>
      <w:r w:rsidR="00AA4F0C" w:rsidRPr="00C02C0F">
        <w:rPr>
          <w:rFonts w:ascii="Arial" w:hAnsi="Arial" w:cs="Arial"/>
        </w:rPr>
        <w:t xml:space="preserve"> an incorrect determination that he or she </w:t>
      </w:r>
      <w:r w:rsidR="00172595" w:rsidRPr="00C02C0F">
        <w:rPr>
          <w:rFonts w:ascii="Arial" w:hAnsi="Arial" w:cs="Arial"/>
        </w:rPr>
        <w:t xml:space="preserve">has </w:t>
      </w:r>
      <w:r w:rsidR="00AA4F0C" w:rsidRPr="00C02C0F">
        <w:rPr>
          <w:rFonts w:ascii="Arial" w:hAnsi="Arial" w:cs="Arial"/>
        </w:rPr>
        <w:t>introduced evidence.</w:t>
      </w:r>
      <w:r w:rsidR="00172595" w:rsidRPr="00C02C0F">
        <w:rPr>
          <w:rFonts w:ascii="Arial" w:hAnsi="Arial" w:cs="Arial"/>
        </w:rPr>
        <w:t xml:space="preserve"> </w:t>
      </w:r>
      <w:r w:rsidR="002071D8" w:rsidRPr="00066FDD">
        <w:rPr>
          <w:rFonts w:ascii="Arial" w:hAnsi="Arial" w:cs="Arial"/>
          <w:i/>
          <w:iCs/>
        </w:rPr>
        <w:t>English</w:t>
      </w:r>
      <w:r w:rsidR="002071D8" w:rsidRPr="00C02C0F">
        <w:rPr>
          <w:rFonts w:ascii="Arial" w:hAnsi="Arial" w:cs="Arial"/>
        </w:rPr>
        <w:t xml:space="preserve">, 194 N.C. App. </w:t>
      </w:r>
      <w:r w:rsidR="00245097" w:rsidRPr="00C02C0F">
        <w:rPr>
          <w:rFonts w:ascii="Arial" w:hAnsi="Arial" w:cs="Arial"/>
        </w:rPr>
        <w:t>at</w:t>
      </w:r>
      <w:r w:rsidR="002071D8" w:rsidRPr="00C02C0F">
        <w:rPr>
          <w:rFonts w:ascii="Arial" w:hAnsi="Arial" w:cs="Arial"/>
        </w:rPr>
        <w:t xml:space="preserve"> 317 (</w:t>
      </w:r>
      <w:r w:rsidR="00245097" w:rsidRPr="00C02C0F">
        <w:rPr>
          <w:rFonts w:ascii="Arial" w:hAnsi="Arial" w:cs="Arial"/>
        </w:rPr>
        <w:t>defendant’s right to open and close argument is “critically important” and improper deprivation</w:t>
      </w:r>
      <w:r w:rsidR="00DA0688" w:rsidRPr="00C02C0F">
        <w:rPr>
          <w:rFonts w:ascii="Arial" w:hAnsi="Arial" w:cs="Arial"/>
        </w:rPr>
        <w:t xml:space="preserve"> of right</w:t>
      </w:r>
      <w:r w:rsidR="00245097" w:rsidRPr="00C02C0F">
        <w:rPr>
          <w:rFonts w:ascii="Arial" w:hAnsi="Arial" w:cs="Arial"/>
        </w:rPr>
        <w:t xml:space="preserve"> entitles defendant to new trial</w:t>
      </w:r>
      <w:r w:rsidR="002071D8" w:rsidRPr="00C02C0F">
        <w:rPr>
          <w:rFonts w:ascii="Arial" w:hAnsi="Arial" w:cs="Arial"/>
        </w:rPr>
        <w:t>)</w:t>
      </w:r>
      <w:r w:rsidR="00172595" w:rsidRPr="00C02C0F">
        <w:rPr>
          <w:rFonts w:ascii="Arial" w:hAnsi="Arial" w:cs="Arial"/>
        </w:rPr>
        <w:t>.</w:t>
      </w:r>
      <w:r w:rsidR="001E6ABC">
        <w:rPr>
          <w:rFonts w:ascii="Arial" w:hAnsi="Arial" w:cs="Arial"/>
        </w:rPr>
        <w:t xml:space="preserve"> </w:t>
      </w:r>
    </w:p>
    <w:p w14:paraId="25E524C6" w14:textId="230DF291" w:rsidR="007B6333" w:rsidRDefault="000A3DD5" w:rsidP="00DB30BF">
      <w:pPr>
        <w:pStyle w:val="ListParagraph"/>
        <w:spacing w:after="0" w:line="240" w:lineRule="auto"/>
        <w:ind w:firstLine="720"/>
        <w:rPr>
          <w:rFonts w:ascii="Arial" w:hAnsi="Arial" w:cs="Arial"/>
        </w:rPr>
      </w:pPr>
      <w:r>
        <w:rPr>
          <w:rFonts w:ascii="Arial" w:hAnsi="Arial" w:cs="Arial"/>
        </w:rPr>
        <w:t>While Rule 10 applies to the guilt</w:t>
      </w:r>
      <w:r w:rsidR="000372A2">
        <w:rPr>
          <w:rFonts w:ascii="Arial" w:hAnsi="Arial" w:cs="Arial"/>
        </w:rPr>
        <w:t>-</w:t>
      </w:r>
      <w:r>
        <w:rPr>
          <w:rFonts w:ascii="Arial" w:hAnsi="Arial" w:cs="Arial"/>
        </w:rPr>
        <w:t xml:space="preserve">innocence phase of a capital trial, </w:t>
      </w:r>
      <w:r w:rsidRPr="00887679">
        <w:rPr>
          <w:rFonts w:ascii="Arial" w:hAnsi="Arial" w:cs="Arial"/>
        </w:rPr>
        <w:t>see</w:t>
      </w:r>
      <w:r>
        <w:rPr>
          <w:rFonts w:ascii="Arial" w:hAnsi="Arial" w:cs="Arial"/>
          <w:i/>
          <w:iCs/>
        </w:rPr>
        <w:t xml:space="preserve"> </w:t>
      </w:r>
      <w:r>
        <w:rPr>
          <w:rFonts w:ascii="Arial" w:hAnsi="Arial" w:cs="Arial"/>
        </w:rPr>
        <w:t xml:space="preserve">State v. Gladden, 315 N.C. 398, 421 (1986), </w:t>
      </w:r>
      <w:r w:rsidR="001E6ABC">
        <w:rPr>
          <w:rFonts w:ascii="Arial" w:hAnsi="Arial" w:cs="Arial"/>
        </w:rPr>
        <w:t>G.S. 15A-2000(a)(4) guarantees the defendant the right to the last argument in a capital sentencing proceeding</w:t>
      </w:r>
      <w:r w:rsidR="00AB58BB">
        <w:rPr>
          <w:rFonts w:ascii="Arial" w:hAnsi="Arial" w:cs="Arial"/>
        </w:rPr>
        <w:t xml:space="preserve"> regardless of whether the defendant has presented evidence during the sentencing phase</w:t>
      </w:r>
      <w:r w:rsidR="001E6ABC">
        <w:rPr>
          <w:rFonts w:ascii="Arial" w:hAnsi="Arial" w:cs="Arial"/>
        </w:rPr>
        <w:t>.</w:t>
      </w:r>
      <w:r w:rsidR="00AB58BB">
        <w:rPr>
          <w:rFonts w:ascii="Arial" w:hAnsi="Arial" w:cs="Arial"/>
        </w:rPr>
        <w:t xml:space="preserve"> State v. Barrow, 350 N.C. 640, 644 (1999)</w:t>
      </w:r>
      <w:r w:rsidR="00303B89">
        <w:rPr>
          <w:rFonts w:ascii="Arial" w:hAnsi="Arial" w:cs="Arial"/>
        </w:rPr>
        <w:t>; G.S. 15A-1230, official commentary (so noting)</w:t>
      </w:r>
      <w:r w:rsidR="00AB58BB">
        <w:rPr>
          <w:rFonts w:ascii="Arial" w:hAnsi="Arial" w:cs="Arial"/>
        </w:rPr>
        <w:t>.</w:t>
      </w:r>
    </w:p>
    <w:p w14:paraId="62C090C7" w14:textId="77777777" w:rsidR="001F3316" w:rsidRPr="005C36DE" w:rsidRDefault="001F3316" w:rsidP="00DB30BF">
      <w:pPr>
        <w:pStyle w:val="ListParagraph"/>
        <w:spacing w:after="0" w:line="240" w:lineRule="auto"/>
        <w:rPr>
          <w:rFonts w:ascii="Arial" w:hAnsi="Arial" w:cs="Arial"/>
        </w:rPr>
      </w:pPr>
    </w:p>
    <w:p w14:paraId="107EFBC3" w14:textId="77777777" w:rsidR="007B6333" w:rsidRPr="005C36DE" w:rsidRDefault="007B6333" w:rsidP="00DB30BF">
      <w:pPr>
        <w:pStyle w:val="ListParagraph"/>
        <w:numPr>
          <w:ilvl w:val="0"/>
          <w:numId w:val="1"/>
        </w:numPr>
        <w:spacing w:after="0" w:line="240" w:lineRule="auto"/>
        <w:rPr>
          <w:rFonts w:ascii="Arial" w:hAnsi="Arial" w:cs="Arial"/>
          <w:b/>
          <w:bCs/>
        </w:rPr>
      </w:pPr>
      <w:bookmarkStart w:id="7" w:name="_Toc402880153"/>
      <w:bookmarkStart w:id="8" w:name="_Toc402880711"/>
      <w:bookmarkStart w:id="9" w:name="_Toc163125200"/>
      <w:r w:rsidRPr="00A002E8">
        <w:rPr>
          <w:rStyle w:val="Heading1Char"/>
        </w:rPr>
        <w:t>Permissible Argument</w:t>
      </w:r>
      <w:bookmarkEnd w:id="7"/>
      <w:bookmarkEnd w:id="8"/>
      <w:bookmarkEnd w:id="9"/>
      <w:r w:rsidRPr="005C36DE">
        <w:rPr>
          <w:rFonts w:ascii="Arial" w:hAnsi="Arial" w:cs="Arial"/>
          <w:b/>
          <w:bCs/>
        </w:rPr>
        <w:t>.</w:t>
      </w:r>
      <w:r w:rsidR="00ED614B" w:rsidRPr="005C36DE">
        <w:rPr>
          <w:rFonts w:ascii="Arial" w:hAnsi="Arial" w:cs="Arial"/>
          <w:b/>
          <w:bCs/>
        </w:rPr>
        <w:t xml:space="preserve"> </w:t>
      </w:r>
      <w:r w:rsidR="00ED614B" w:rsidRPr="005C36DE">
        <w:rPr>
          <w:rFonts w:ascii="Arial" w:hAnsi="Arial" w:cs="Arial"/>
          <w:bCs/>
        </w:rPr>
        <w:t>The subsections below explore the scope of proper jury argument.</w:t>
      </w:r>
    </w:p>
    <w:p w14:paraId="728D16AB" w14:textId="3918E535" w:rsidR="007B6333" w:rsidRPr="005C36DE" w:rsidRDefault="007B6333" w:rsidP="00DB30BF">
      <w:pPr>
        <w:pStyle w:val="ListParagraph"/>
        <w:numPr>
          <w:ilvl w:val="0"/>
          <w:numId w:val="4"/>
        </w:numPr>
        <w:spacing w:after="0" w:line="240" w:lineRule="auto"/>
        <w:rPr>
          <w:rFonts w:ascii="Arial" w:hAnsi="Arial" w:cs="Arial"/>
        </w:rPr>
      </w:pPr>
      <w:bookmarkStart w:id="10" w:name="_Toc402880154"/>
      <w:bookmarkStart w:id="11" w:name="_Toc402880712"/>
      <w:bookmarkStart w:id="12" w:name="_Toc163125201"/>
      <w:r w:rsidRPr="00A002E8">
        <w:rPr>
          <w:rStyle w:val="Heading2Char"/>
        </w:rPr>
        <w:lastRenderedPageBreak/>
        <w:t>Facts in Evidence and All Reasonable Inferences</w:t>
      </w:r>
      <w:bookmarkEnd w:id="10"/>
      <w:bookmarkEnd w:id="11"/>
      <w:bookmarkEnd w:id="12"/>
      <w:r w:rsidRPr="005C36DE">
        <w:rPr>
          <w:rFonts w:ascii="Arial" w:hAnsi="Arial" w:cs="Arial"/>
          <w:b/>
          <w:bCs/>
        </w:rPr>
        <w:t xml:space="preserve">. </w:t>
      </w:r>
      <w:r w:rsidRPr="005C36DE">
        <w:rPr>
          <w:rFonts w:ascii="Arial" w:hAnsi="Arial" w:cs="Arial"/>
        </w:rPr>
        <w:t xml:space="preserve">A lawyer may argue to the jury the facts in evidence and all reasonable inferences from those facts. </w:t>
      </w:r>
      <w:r w:rsidR="003C1B6D">
        <w:rPr>
          <w:rFonts w:ascii="Arial" w:hAnsi="Arial" w:cs="Arial"/>
          <w:i/>
          <w:iCs/>
        </w:rPr>
        <w:t>Compare</w:t>
      </w:r>
      <w:r w:rsidR="003C1B6D">
        <w:rPr>
          <w:rFonts w:ascii="Arial" w:hAnsi="Arial" w:cs="Arial"/>
        </w:rPr>
        <w:t xml:space="preserve"> </w:t>
      </w:r>
      <w:r w:rsidR="00F25571">
        <w:rPr>
          <w:rFonts w:ascii="Arial" w:hAnsi="Arial" w:cs="Arial"/>
        </w:rPr>
        <w:t>State v. McNeill, 371 N.C. 198, 251 (2018) (in a murder case where the defendant permitted defense counsel to reveal the location of the victim’s body to law enforcement without revealing the defendant as the source of that information, it was proper for the prosecutor argue to the jury the reasonable inference that the defendant was the source of the information)</w:t>
      </w:r>
      <w:r w:rsidR="00653BB1">
        <w:rPr>
          <w:rFonts w:ascii="Arial" w:hAnsi="Arial" w:cs="Arial"/>
        </w:rPr>
        <w:t>,</w:t>
      </w:r>
      <w:r w:rsidR="00F25571">
        <w:rPr>
          <w:rFonts w:ascii="Arial" w:hAnsi="Arial" w:cs="Arial"/>
        </w:rPr>
        <w:t xml:space="preserve"> </w:t>
      </w:r>
      <w:r w:rsidR="00F25571">
        <w:rPr>
          <w:rFonts w:ascii="Arial" w:hAnsi="Arial" w:cs="Arial"/>
          <w:i/>
          <w:iCs/>
        </w:rPr>
        <w:t>and</w:t>
      </w:r>
      <w:r w:rsidRPr="005C36DE">
        <w:rPr>
          <w:rFonts w:ascii="Arial" w:hAnsi="Arial" w:cs="Arial"/>
        </w:rPr>
        <w:t xml:space="preserve"> State v. Wilkerson, 363 N.C. 382, 423-24 (2009) (prosecutor’s argument </w:t>
      </w:r>
      <w:r w:rsidR="003C1B6D">
        <w:rPr>
          <w:rFonts w:ascii="Arial" w:hAnsi="Arial" w:cs="Arial"/>
        </w:rPr>
        <w:t xml:space="preserve">that defendant told an associate about murders in a phone call, the substance of which was not testified to at trial, properly </w:t>
      </w:r>
      <w:r w:rsidRPr="005C36DE">
        <w:rPr>
          <w:rFonts w:ascii="Arial" w:hAnsi="Arial" w:cs="Arial"/>
        </w:rPr>
        <w:t>drew reasonable inferences from evidence</w:t>
      </w:r>
      <w:r w:rsidR="003C1B6D">
        <w:rPr>
          <w:rFonts w:ascii="Arial" w:hAnsi="Arial" w:cs="Arial"/>
        </w:rPr>
        <w:t xml:space="preserve"> of cell phone records and </w:t>
      </w:r>
      <w:r w:rsidR="00F25571">
        <w:rPr>
          <w:rFonts w:ascii="Arial" w:hAnsi="Arial" w:cs="Arial"/>
        </w:rPr>
        <w:t xml:space="preserve">the </w:t>
      </w:r>
      <w:r w:rsidR="003C1B6D">
        <w:rPr>
          <w:rFonts w:ascii="Arial" w:hAnsi="Arial" w:cs="Arial"/>
        </w:rPr>
        <w:t>associate’s behavior following the call</w:t>
      </w:r>
      <w:r w:rsidRPr="005C36DE">
        <w:rPr>
          <w:rFonts w:ascii="Arial" w:hAnsi="Arial" w:cs="Arial"/>
        </w:rPr>
        <w:t>)</w:t>
      </w:r>
      <w:r w:rsidR="00653BB1">
        <w:rPr>
          <w:rFonts w:ascii="Arial" w:hAnsi="Arial" w:cs="Arial"/>
        </w:rPr>
        <w:t xml:space="preserve">, </w:t>
      </w:r>
      <w:r w:rsidR="00653BB1">
        <w:rPr>
          <w:rFonts w:ascii="Arial" w:hAnsi="Arial" w:cs="Arial"/>
          <w:i/>
          <w:iCs/>
        </w:rPr>
        <w:t xml:space="preserve">with </w:t>
      </w:r>
      <w:r w:rsidR="00653BB1">
        <w:rPr>
          <w:rFonts w:ascii="Arial" w:hAnsi="Arial" w:cs="Arial"/>
        </w:rPr>
        <w:t>State v. Dalton, 369 N.C. 311, 318-19 (2016) (prosecutor’s argument that it was “very possible” that defendant in murder case would be released from civil commitment in fifty days if found not guilty by reason of insanity was improper where only reasonable inference from unrebutted evidence was that release within such time frame was highly unlikely)</w:t>
      </w:r>
      <w:r w:rsidRPr="005C36DE">
        <w:rPr>
          <w:rFonts w:ascii="Arial" w:hAnsi="Arial" w:cs="Arial"/>
        </w:rPr>
        <w:t>.</w:t>
      </w:r>
      <w:r w:rsidR="005A1159">
        <w:rPr>
          <w:rFonts w:ascii="Arial" w:hAnsi="Arial" w:cs="Arial"/>
        </w:rPr>
        <w:t xml:space="preserve"> Note the important distinction between properly drawing a reasonable inference from the facts in evidence and improperly </w:t>
      </w:r>
      <w:r w:rsidR="0012154B">
        <w:rPr>
          <w:rFonts w:ascii="Arial" w:hAnsi="Arial" w:cs="Arial"/>
        </w:rPr>
        <w:t>drawing inferences from</w:t>
      </w:r>
      <w:r w:rsidR="007D58F2">
        <w:rPr>
          <w:rFonts w:ascii="Arial" w:hAnsi="Arial" w:cs="Arial"/>
        </w:rPr>
        <w:t xml:space="preserve"> or</w:t>
      </w:r>
      <w:r w:rsidR="007D58F2" w:rsidRPr="007D58F2">
        <w:rPr>
          <w:rFonts w:ascii="Arial" w:hAnsi="Arial" w:cs="Arial"/>
        </w:rPr>
        <w:t xml:space="preserve"> </w:t>
      </w:r>
      <w:r w:rsidR="007D58F2">
        <w:rPr>
          <w:rFonts w:ascii="Arial" w:hAnsi="Arial" w:cs="Arial"/>
        </w:rPr>
        <w:t>asserting</w:t>
      </w:r>
      <w:r w:rsidR="005A1159">
        <w:rPr>
          <w:rFonts w:ascii="Arial" w:hAnsi="Arial" w:cs="Arial"/>
        </w:rPr>
        <w:t xml:space="preserve"> facts not in evidence, as discussed below in </w:t>
      </w:r>
      <w:r w:rsidR="00BF4ED7">
        <w:rPr>
          <w:rFonts w:ascii="Arial" w:hAnsi="Arial" w:cs="Arial"/>
        </w:rPr>
        <w:t>S</w:t>
      </w:r>
      <w:r w:rsidR="005A1159">
        <w:rPr>
          <w:rFonts w:ascii="Arial" w:hAnsi="Arial" w:cs="Arial"/>
        </w:rPr>
        <w:t xml:space="preserve">ection V.B.1.a. </w:t>
      </w:r>
      <w:r w:rsidR="005A1159">
        <w:rPr>
          <w:rFonts w:ascii="Arial" w:hAnsi="Arial" w:cs="Arial"/>
          <w:i/>
          <w:iCs/>
        </w:rPr>
        <w:t>Compare</w:t>
      </w:r>
      <w:r w:rsidR="005A1159">
        <w:rPr>
          <w:rFonts w:ascii="Arial" w:hAnsi="Arial" w:cs="Arial"/>
        </w:rPr>
        <w:t xml:space="preserve"> </w:t>
      </w:r>
      <w:r w:rsidR="00D01DFF">
        <w:rPr>
          <w:rFonts w:ascii="Arial" w:hAnsi="Arial" w:cs="Arial"/>
        </w:rPr>
        <w:t xml:space="preserve">State v. Hensley, 277 N.C. App. 308, 312-13 (2021) (proper in an indecent liberties case for prosecutor to argue that defendant wanted to access victim’s cellphone to look at sexual photos of victim where there was evidence of defendant’s sexual attraction towards victim), </w:t>
      </w:r>
      <w:r w:rsidR="00D01DFF">
        <w:rPr>
          <w:rFonts w:ascii="Arial" w:hAnsi="Arial" w:cs="Arial"/>
          <w:i/>
          <w:iCs/>
        </w:rPr>
        <w:t>and</w:t>
      </w:r>
      <w:r w:rsidR="00D01DFF">
        <w:rPr>
          <w:rFonts w:ascii="Arial" w:hAnsi="Arial" w:cs="Arial"/>
        </w:rPr>
        <w:t xml:space="preserve"> </w:t>
      </w:r>
      <w:r w:rsidR="005A1159">
        <w:rPr>
          <w:rFonts w:ascii="Arial" w:hAnsi="Arial" w:cs="Arial"/>
        </w:rPr>
        <w:t>State v. Collins, 283 N.C. App. 458, 466-67 (2022) (proper for prosecutor to argue that the</w:t>
      </w:r>
      <w:r w:rsidR="000F079C">
        <w:rPr>
          <w:rFonts w:ascii="Arial" w:hAnsi="Arial" w:cs="Arial"/>
        </w:rPr>
        <w:t>re was a risk</w:t>
      </w:r>
      <w:r w:rsidR="005A1159">
        <w:rPr>
          <w:rFonts w:ascii="Arial" w:hAnsi="Arial" w:cs="Arial"/>
        </w:rPr>
        <w:t xml:space="preserve"> defendant </w:t>
      </w:r>
      <w:r w:rsidR="00A60693">
        <w:rPr>
          <w:rFonts w:ascii="Arial" w:hAnsi="Arial" w:cs="Arial"/>
        </w:rPr>
        <w:t>could have killed</w:t>
      </w:r>
      <w:r w:rsidR="005A1159">
        <w:rPr>
          <w:rFonts w:ascii="Arial" w:hAnsi="Arial" w:cs="Arial"/>
        </w:rPr>
        <w:t xml:space="preserve"> someone </w:t>
      </w:r>
      <w:r w:rsidR="00A60693">
        <w:rPr>
          <w:rFonts w:ascii="Arial" w:hAnsi="Arial" w:cs="Arial"/>
        </w:rPr>
        <w:t xml:space="preserve">on the road </w:t>
      </w:r>
      <w:r w:rsidR="005A1159">
        <w:rPr>
          <w:rFonts w:ascii="Arial" w:hAnsi="Arial" w:cs="Arial"/>
        </w:rPr>
        <w:t>while fleeing law enforcement at high rate of speed</w:t>
      </w:r>
      <w:r w:rsidR="00A60693" w:rsidRPr="00A60693">
        <w:rPr>
          <w:rFonts w:ascii="Arial" w:hAnsi="Arial" w:cs="Arial"/>
        </w:rPr>
        <w:t xml:space="preserve"> </w:t>
      </w:r>
      <w:r w:rsidR="00A60693">
        <w:rPr>
          <w:rFonts w:ascii="Arial" w:hAnsi="Arial" w:cs="Arial"/>
        </w:rPr>
        <w:t>in a truck</w:t>
      </w:r>
      <w:r w:rsidR="005A1159">
        <w:rPr>
          <w:rFonts w:ascii="Arial" w:hAnsi="Arial" w:cs="Arial"/>
        </w:rPr>
        <w:t xml:space="preserve">), </w:t>
      </w:r>
      <w:r w:rsidR="005A1159">
        <w:rPr>
          <w:rFonts w:ascii="Arial" w:hAnsi="Arial" w:cs="Arial"/>
          <w:i/>
          <w:iCs/>
        </w:rPr>
        <w:t>with</w:t>
      </w:r>
      <w:r w:rsidR="005A1159">
        <w:rPr>
          <w:rFonts w:ascii="Arial" w:hAnsi="Arial" w:cs="Arial"/>
        </w:rPr>
        <w:t xml:space="preserve"> State v. Reber, 289 N.C. App. 66, 81-82 (2023) (grossly improper for prosecutor to infer that defendant spread sexually transmitted diseases to or impregnated alleged child victim where there was </w:t>
      </w:r>
      <w:r w:rsidR="000F079C">
        <w:rPr>
          <w:rFonts w:ascii="Arial" w:hAnsi="Arial" w:cs="Arial"/>
        </w:rPr>
        <w:t xml:space="preserve">evidence in the record of sexual intercourse but </w:t>
      </w:r>
      <w:r w:rsidR="005A1159">
        <w:rPr>
          <w:rFonts w:ascii="Arial" w:hAnsi="Arial" w:cs="Arial"/>
        </w:rPr>
        <w:t xml:space="preserve">no evidence </w:t>
      </w:r>
      <w:r w:rsidR="000F079C">
        <w:rPr>
          <w:rFonts w:ascii="Arial" w:hAnsi="Arial" w:cs="Arial"/>
        </w:rPr>
        <w:t>concerning STDs or pregnancy</w:t>
      </w:r>
      <w:r w:rsidR="005A1159">
        <w:rPr>
          <w:rFonts w:ascii="Arial" w:hAnsi="Arial" w:cs="Arial"/>
        </w:rPr>
        <w:t xml:space="preserve">). </w:t>
      </w:r>
    </w:p>
    <w:p w14:paraId="29AB8C1E" w14:textId="77777777" w:rsidR="005C36DE" w:rsidRPr="00641284" w:rsidRDefault="005C36DE" w:rsidP="00DB30BF">
      <w:pPr>
        <w:pStyle w:val="ListParagraph"/>
        <w:spacing w:after="0" w:line="240" w:lineRule="auto"/>
        <w:rPr>
          <w:rFonts w:ascii="Arial" w:hAnsi="Arial" w:cs="Arial"/>
        </w:rPr>
      </w:pPr>
    </w:p>
    <w:p w14:paraId="4F7C8978" w14:textId="7DA9BD4F" w:rsidR="008C35BC" w:rsidRDefault="007B6333" w:rsidP="00DB30BF">
      <w:pPr>
        <w:pStyle w:val="ListParagraph"/>
        <w:numPr>
          <w:ilvl w:val="0"/>
          <w:numId w:val="4"/>
        </w:numPr>
        <w:spacing w:after="0" w:line="240" w:lineRule="auto"/>
        <w:rPr>
          <w:rFonts w:ascii="Arial" w:hAnsi="Arial" w:cs="Arial"/>
        </w:rPr>
      </w:pPr>
      <w:bookmarkStart w:id="13" w:name="_Toc402880155"/>
      <w:bookmarkStart w:id="14" w:name="_Toc402880713"/>
      <w:bookmarkStart w:id="15" w:name="_Toc163125202"/>
      <w:r w:rsidRPr="00A002E8">
        <w:rPr>
          <w:rStyle w:val="Heading2Char"/>
        </w:rPr>
        <w:t>Relevant Law</w:t>
      </w:r>
      <w:bookmarkEnd w:id="13"/>
      <w:bookmarkEnd w:id="14"/>
      <w:bookmarkEnd w:id="15"/>
      <w:r w:rsidRPr="00641284">
        <w:rPr>
          <w:rFonts w:ascii="Arial" w:hAnsi="Arial" w:cs="Arial"/>
          <w:b/>
          <w:bCs/>
        </w:rPr>
        <w:t>.</w:t>
      </w:r>
      <w:r w:rsidRPr="00641284">
        <w:rPr>
          <w:rFonts w:ascii="Arial" w:hAnsi="Arial" w:cs="Arial"/>
        </w:rPr>
        <w:t xml:space="preserve"> Counsel may argue to the jury all relevant law. G.S. 7A-97 (“In jury trials the whole case as well of law as of fact may be argued to the jury”); State v. Thomas, 350 N.C. 315, 353-55 (1999) (not improper for prosecutor to read to the jury an excerpt from a prior published decision where the principles stated in that case were relevant to the evidence and the issues in the case being tried). This includes reading from a published decision. </w:t>
      </w:r>
      <w:r w:rsidRPr="00641284">
        <w:rPr>
          <w:rFonts w:ascii="Arial" w:hAnsi="Arial" w:cs="Arial"/>
          <w:i/>
          <w:iCs/>
        </w:rPr>
        <w:t>Thomas</w:t>
      </w:r>
      <w:r w:rsidRPr="00641284">
        <w:rPr>
          <w:rFonts w:ascii="Arial" w:hAnsi="Arial" w:cs="Arial"/>
        </w:rPr>
        <w:t>, 350 N.C. at 353-55</w:t>
      </w:r>
      <w:r w:rsidR="00390D43">
        <w:rPr>
          <w:rFonts w:ascii="Arial" w:hAnsi="Arial" w:cs="Arial"/>
        </w:rPr>
        <w:t xml:space="preserve"> (noting that only portions of the decision relevant to the matter at hand may be read and that an attorney may not read a dissenting opinion in a published decision)</w:t>
      </w:r>
      <w:r w:rsidR="00DC33EC">
        <w:rPr>
          <w:rFonts w:ascii="Arial" w:hAnsi="Arial" w:cs="Arial"/>
        </w:rPr>
        <w:t>. A</w:t>
      </w:r>
      <w:r w:rsidR="008C35BC">
        <w:rPr>
          <w:rFonts w:ascii="Arial" w:hAnsi="Arial" w:cs="Arial"/>
        </w:rPr>
        <w:t>s discussed below,</w:t>
      </w:r>
      <w:r w:rsidR="00DC33EC" w:rsidRPr="00641284">
        <w:rPr>
          <w:rFonts w:ascii="Arial" w:hAnsi="Arial" w:cs="Arial"/>
        </w:rPr>
        <w:t xml:space="preserve"> </w:t>
      </w:r>
      <w:r w:rsidR="0088630A">
        <w:rPr>
          <w:rFonts w:ascii="Arial" w:hAnsi="Arial" w:cs="Arial"/>
        </w:rPr>
        <w:t xml:space="preserve">however, a </w:t>
      </w:r>
      <w:r w:rsidR="00DC33EC" w:rsidRPr="00641284">
        <w:rPr>
          <w:rFonts w:ascii="Arial" w:hAnsi="Arial" w:cs="Arial"/>
        </w:rPr>
        <w:t>lawyer should not recite the facts and holding of another case and suggest that the matter before the jury should be resolved similarly</w:t>
      </w:r>
      <w:r w:rsidR="0088630A">
        <w:rPr>
          <w:rFonts w:ascii="Arial" w:hAnsi="Arial" w:cs="Arial"/>
        </w:rPr>
        <w:t>;</w:t>
      </w:r>
      <w:r w:rsidR="008C35BC">
        <w:rPr>
          <w:rFonts w:ascii="Arial" w:hAnsi="Arial" w:cs="Arial"/>
        </w:rPr>
        <w:t xml:space="preserve"> nor should</w:t>
      </w:r>
      <w:r w:rsidR="00DC33EC" w:rsidRPr="00641284">
        <w:rPr>
          <w:rFonts w:ascii="Arial" w:hAnsi="Arial" w:cs="Arial"/>
        </w:rPr>
        <w:t xml:space="preserve"> a lawyer discuss irrelevant law</w:t>
      </w:r>
      <w:r w:rsidR="008C35BC">
        <w:rPr>
          <w:rFonts w:ascii="Arial" w:hAnsi="Arial" w:cs="Arial"/>
        </w:rPr>
        <w:t>.</w:t>
      </w:r>
    </w:p>
    <w:p w14:paraId="21D3272E" w14:textId="1BF9B10C" w:rsidR="004A6347" w:rsidRPr="00E844F3" w:rsidRDefault="00E844F3" w:rsidP="00DB30BF">
      <w:pPr>
        <w:pStyle w:val="ListParagraph"/>
        <w:numPr>
          <w:ilvl w:val="3"/>
          <w:numId w:val="4"/>
        </w:numPr>
        <w:spacing w:after="0" w:line="240" w:lineRule="auto"/>
        <w:ind w:left="2160" w:hanging="720"/>
      </w:pPr>
      <w:r w:rsidRPr="00E844F3">
        <w:rPr>
          <w:rFonts w:ascii="Arial" w:hAnsi="Arial" w:cs="Arial"/>
          <w:b/>
          <w:bCs/>
        </w:rPr>
        <w:t xml:space="preserve">Potential </w:t>
      </w:r>
      <w:r w:rsidR="00B43A34" w:rsidRPr="00E844F3">
        <w:rPr>
          <w:rFonts w:ascii="Arial" w:hAnsi="Arial" w:cs="Arial"/>
          <w:b/>
          <w:bCs/>
        </w:rPr>
        <w:t>Punishment</w:t>
      </w:r>
      <w:r w:rsidRPr="00E844F3">
        <w:rPr>
          <w:rFonts w:ascii="Arial" w:hAnsi="Arial" w:cs="Arial"/>
          <w:b/>
          <w:bCs/>
        </w:rPr>
        <w:t xml:space="preserve"> </w:t>
      </w:r>
      <w:r w:rsidR="00843E03">
        <w:rPr>
          <w:rFonts w:ascii="Arial" w:hAnsi="Arial" w:cs="Arial"/>
          <w:b/>
          <w:bCs/>
        </w:rPr>
        <w:t>or</w:t>
      </w:r>
      <w:r w:rsidRPr="00E844F3">
        <w:rPr>
          <w:rFonts w:ascii="Arial" w:hAnsi="Arial" w:cs="Arial"/>
          <w:b/>
          <w:bCs/>
        </w:rPr>
        <w:t xml:space="preserve"> Penalty</w:t>
      </w:r>
      <w:r w:rsidR="004A6347">
        <w:rPr>
          <w:b/>
          <w:bCs/>
        </w:rPr>
        <w:t>.</w:t>
      </w:r>
      <w:r>
        <w:t xml:space="preserve"> </w:t>
      </w:r>
      <w:r w:rsidR="0088630A" w:rsidRPr="00E844F3">
        <w:rPr>
          <w:rFonts w:ascii="Arial" w:hAnsi="Arial" w:cs="Arial"/>
        </w:rPr>
        <w:t>Since</w:t>
      </w:r>
      <w:r w:rsidR="008C35BC" w:rsidRPr="00E844F3">
        <w:rPr>
          <w:rFonts w:ascii="Arial" w:hAnsi="Arial" w:cs="Arial"/>
        </w:rPr>
        <w:t xml:space="preserve"> </w:t>
      </w:r>
      <w:r w:rsidR="004A6347" w:rsidRPr="004A6347">
        <w:rPr>
          <w:rFonts w:ascii="Arial" w:hAnsi="Arial" w:cs="Arial"/>
        </w:rPr>
        <w:t xml:space="preserve">“the sanction prescribed for criminal behavior is part of the law of the case,” it is permissible to inform the jury of the punishment for the offense for which a defendant is being tried. State v. McMorris, 290 N.C. 286, 287-89 (1976) (so stating); State v. Walters, 294 N.C. 311, 313 (1978); </w:t>
      </w:r>
      <w:r w:rsidR="00F84E31">
        <w:rPr>
          <w:rFonts w:ascii="Arial" w:hAnsi="Arial" w:cs="Arial"/>
        </w:rPr>
        <w:t xml:space="preserve">State v. Cox, ___ N.C. </w:t>
      </w:r>
      <w:r w:rsidR="00037965">
        <w:rPr>
          <w:rFonts w:ascii="Arial" w:hAnsi="Arial" w:cs="Arial"/>
        </w:rPr>
        <w:t xml:space="preserve">App. </w:t>
      </w:r>
      <w:r w:rsidR="00F84E31">
        <w:rPr>
          <w:rFonts w:ascii="Arial" w:hAnsi="Arial" w:cs="Arial"/>
        </w:rPr>
        <w:t xml:space="preserve">___, ___, </w:t>
      </w:r>
      <w:r w:rsidR="00BB212C">
        <w:rPr>
          <w:rFonts w:ascii="Arial" w:hAnsi="Arial" w:cs="Arial"/>
        </w:rPr>
        <w:t>898 S.E.2d 94</w:t>
      </w:r>
      <w:r w:rsidR="00F84E31">
        <w:rPr>
          <w:rFonts w:ascii="Arial" w:hAnsi="Arial" w:cs="Arial"/>
        </w:rPr>
        <w:t xml:space="preserve">, </w:t>
      </w:r>
      <w:r w:rsidR="00BB212C">
        <w:rPr>
          <w:rFonts w:ascii="Arial" w:hAnsi="Arial" w:cs="Arial"/>
        </w:rPr>
        <w:t>100-01</w:t>
      </w:r>
      <w:r w:rsidR="00F84E31">
        <w:rPr>
          <w:rFonts w:ascii="Arial" w:hAnsi="Arial" w:cs="Arial"/>
        </w:rPr>
        <w:t xml:space="preserve"> (2024); </w:t>
      </w:r>
      <w:r w:rsidR="004A6347" w:rsidRPr="004A6347">
        <w:rPr>
          <w:rFonts w:ascii="Arial" w:hAnsi="Arial" w:cs="Arial"/>
        </w:rPr>
        <w:t xml:space="preserve">State v. Parker, ___ N.C. App. ___, 893 S.E.2d 544, 550 (2023). Relatedly, it is permissible to encourage the jury to deliberate seriously and carefully where the possible consequences of conviction include incarceration. </w:t>
      </w:r>
      <w:r w:rsidR="004A6347" w:rsidRPr="004A6347">
        <w:rPr>
          <w:rFonts w:ascii="Arial" w:hAnsi="Arial" w:cs="Arial"/>
          <w:i/>
          <w:iCs/>
        </w:rPr>
        <w:t>McMorris</w:t>
      </w:r>
      <w:r w:rsidR="004A6347" w:rsidRPr="004A6347">
        <w:rPr>
          <w:rFonts w:ascii="Arial" w:hAnsi="Arial" w:cs="Arial"/>
        </w:rPr>
        <w:t>, 290 N.C. at 288. However, as discussed below</w:t>
      </w:r>
      <w:r w:rsidR="00037965">
        <w:rPr>
          <w:rFonts w:ascii="Arial" w:hAnsi="Arial" w:cs="Arial"/>
        </w:rPr>
        <w:t xml:space="preserve"> in Section V.A.23</w:t>
      </w:r>
      <w:r w:rsidR="004A6347" w:rsidRPr="004A6347">
        <w:rPr>
          <w:rFonts w:ascii="Arial" w:hAnsi="Arial" w:cs="Arial"/>
        </w:rPr>
        <w:t xml:space="preserve">, it is impermissible </w:t>
      </w:r>
      <w:r w:rsidR="004A6347" w:rsidRPr="004A6347">
        <w:rPr>
          <w:rFonts w:ascii="Arial" w:hAnsi="Arial" w:cs="Arial"/>
        </w:rPr>
        <w:lastRenderedPageBreak/>
        <w:t xml:space="preserve">to argue that the jury should reach a decision </w:t>
      </w:r>
      <w:proofErr w:type="gramStart"/>
      <w:r w:rsidR="004A6347" w:rsidRPr="004A6347">
        <w:rPr>
          <w:rFonts w:ascii="Arial" w:hAnsi="Arial" w:cs="Arial"/>
        </w:rPr>
        <w:t>on the basis of</w:t>
      </w:r>
      <w:proofErr w:type="gramEnd"/>
      <w:r w:rsidR="004A6347" w:rsidRPr="004A6347">
        <w:rPr>
          <w:rFonts w:ascii="Arial" w:hAnsi="Arial" w:cs="Arial"/>
        </w:rPr>
        <w:t xml:space="preserve"> a punishment’s severity, to question the “wisdom or appropriateness” of the punishment, or to inaccurately forecast the punishment. </w:t>
      </w:r>
      <w:r w:rsidR="004A6347" w:rsidRPr="004A6347">
        <w:rPr>
          <w:rFonts w:ascii="Arial" w:hAnsi="Arial" w:cs="Arial"/>
          <w:i/>
          <w:iCs/>
        </w:rPr>
        <w:t>Id</w:t>
      </w:r>
      <w:r w:rsidR="004A6347" w:rsidRPr="004A6347">
        <w:rPr>
          <w:rFonts w:ascii="Arial" w:hAnsi="Arial" w:cs="Arial"/>
        </w:rPr>
        <w:t xml:space="preserve">. </w:t>
      </w:r>
    </w:p>
    <w:p w14:paraId="3C92DF96" w14:textId="791CF0FB" w:rsidR="004A6347" w:rsidRPr="00E844F3" w:rsidRDefault="004A6347" w:rsidP="00DB30BF">
      <w:pPr>
        <w:pStyle w:val="ListParagraph"/>
        <w:spacing w:after="0" w:line="240" w:lineRule="auto"/>
        <w:ind w:left="2160" w:firstLine="720"/>
      </w:pPr>
      <w:r>
        <w:rPr>
          <w:rFonts w:ascii="Arial" w:hAnsi="Arial" w:cs="Arial"/>
        </w:rPr>
        <w:t>I</w:t>
      </w:r>
      <w:r w:rsidRPr="00E844F3">
        <w:rPr>
          <w:rFonts w:ascii="Arial" w:hAnsi="Arial" w:cs="Arial"/>
        </w:rPr>
        <w:t xml:space="preserve">n State v. Lopez, 363 N.C. 535, 540-42 (2009) the North Carolina Supreme Court observed that </w:t>
      </w:r>
      <w:r w:rsidR="009252C6">
        <w:rPr>
          <w:rFonts w:ascii="Arial" w:hAnsi="Arial" w:cs="Arial"/>
        </w:rPr>
        <w:t>the enactment of Structured Sentencing</w:t>
      </w:r>
      <w:r w:rsidRPr="00E844F3">
        <w:rPr>
          <w:rFonts w:ascii="Arial" w:hAnsi="Arial" w:cs="Arial"/>
        </w:rPr>
        <w:t xml:space="preserve"> </w:t>
      </w:r>
      <w:r w:rsidR="009252C6">
        <w:rPr>
          <w:rFonts w:ascii="Arial" w:hAnsi="Arial" w:cs="Arial"/>
        </w:rPr>
        <w:t>after</w:t>
      </w:r>
      <w:r w:rsidRPr="00E844F3">
        <w:rPr>
          <w:rFonts w:ascii="Arial" w:hAnsi="Arial" w:cs="Arial"/>
        </w:rPr>
        <w:t xml:space="preserve"> </w:t>
      </w:r>
      <w:r w:rsidRPr="00E844F3">
        <w:rPr>
          <w:rFonts w:ascii="Arial" w:hAnsi="Arial" w:cs="Arial"/>
          <w:i/>
          <w:iCs/>
        </w:rPr>
        <w:t>McMorris</w:t>
      </w:r>
      <w:r w:rsidRPr="00E844F3">
        <w:rPr>
          <w:rFonts w:ascii="Arial" w:hAnsi="Arial" w:cs="Arial"/>
        </w:rPr>
        <w:t xml:space="preserve"> made it </w:t>
      </w:r>
      <w:r w:rsidR="009252C6">
        <w:rPr>
          <w:rFonts w:ascii="Arial" w:hAnsi="Arial" w:cs="Arial"/>
        </w:rPr>
        <w:t>much more</w:t>
      </w:r>
      <w:r w:rsidRPr="00E844F3">
        <w:rPr>
          <w:rFonts w:ascii="Arial" w:hAnsi="Arial" w:cs="Arial"/>
        </w:rPr>
        <w:t xml:space="preserve"> difficult to accurately forecast the sentence that a particular defendant will receive if convicted and consequently cautioned attorneys against attempting to make such a forecast. The </w:t>
      </w:r>
      <w:r w:rsidRPr="00E844F3">
        <w:rPr>
          <w:rFonts w:ascii="Arial" w:hAnsi="Arial" w:cs="Arial"/>
          <w:i/>
          <w:iCs/>
        </w:rPr>
        <w:t>Lopez</w:t>
      </w:r>
      <w:r w:rsidRPr="00E844F3">
        <w:rPr>
          <w:rFonts w:ascii="Arial" w:hAnsi="Arial" w:cs="Arial"/>
        </w:rPr>
        <w:t xml:space="preserve"> court held that it was error for a trial judge to overrule defense counsel’s objection to the prosecutor’s inaccurate and misleading forecast of the defendant’s sentence under Structured Sentencing. </w:t>
      </w:r>
      <w:r w:rsidR="00037965">
        <w:rPr>
          <w:rFonts w:ascii="Arial" w:hAnsi="Arial" w:cs="Arial"/>
        </w:rPr>
        <w:t>Because</w:t>
      </w:r>
      <w:r w:rsidRPr="00E844F3">
        <w:rPr>
          <w:rFonts w:ascii="Arial" w:hAnsi="Arial" w:cs="Arial"/>
        </w:rPr>
        <w:t xml:space="preserve"> </w:t>
      </w:r>
      <w:r w:rsidRPr="00E844F3">
        <w:rPr>
          <w:rFonts w:ascii="Arial" w:hAnsi="Arial" w:cs="Arial"/>
          <w:i/>
          <w:iCs/>
        </w:rPr>
        <w:t>Lopez</w:t>
      </w:r>
      <w:r w:rsidRPr="00E844F3">
        <w:rPr>
          <w:rFonts w:ascii="Arial" w:hAnsi="Arial" w:cs="Arial"/>
        </w:rPr>
        <w:t xml:space="preserve"> involved an inaccurate and misleading forecast, it is not fully clear the extent to which </w:t>
      </w:r>
      <w:r w:rsidRPr="00E844F3">
        <w:rPr>
          <w:rFonts w:ascii="Arial" w:hAnsi="Arial" w:cs="Arial"/>
          <w:i/>
          <w:iCs/>
        </w:rPr>
        <w:t xml:space="preserve">Lopez </w:t>
      </w:r>
      <w:r w:rsidRPr="00E844F3">
        <w:rPr>
          <w:rFonts w:ascii="Arial" w:hAnsi="Arial" w:cs="Arial"/>
        </w:rPr>
        <w:t xml:space="preserve">abrogates the general rule stated in </w:t>
      </w:r>
      <w:r w:rsidRPr="00E844F3">
        <w:rPr>
          <w:rFonts w:ascii="Arial" w:hAnsi="Arial" w:cs="Arial"/>
          <w:i/>
          <w:iCs/>
        </w:rPr>
        <w:t xml:space="preserve">McMorris </w:t>
      </w:r>
      <w:r w:rsidRPr="00E844F3">
        <w:rPr>
          <w:rFonts w:ascii="Arial" w:hAnsi="Arial" w:cs="Arial"/>
        </w:rPr>
        <w:t>and other earlier cases that it is permissible</w:t>
      </w:r>
      <w:r>
        <w:rPr>
          <w:rFonts w:ascii="Arial" w:hAnsi="Arial" w:cs="Arial"/>
        </w:rPr>
        <w:t>, when done accurately or in a manner that is not misleading,</w:t>
      </w:r>
      <w:r w:rsidRPr="00E844F3">
        <w:rPr>
          <w:rFonts w:ascii="Arial" w:hAnsi="Arial" w:cs="Arial"/>
        </w:rPr>
        <w:t xml:space="preserve"> to inform the jury of the punishment for an offense.</w:t>
      </w:r>
      <w:r w:rsidR="002D3143">
        <w:rPr>
          <w:rFonts w:ascii="Arial" w:hAnsi="Arial" w:cs="Arial"/>
        </w:rPr>
        <w:t xml:space="preserve"> </w:t>
      </w:r>
      <w:r w:rsidR="002D3143">
        <w:rPr>
          <w:rFonts w:ascii="Arial" w:hAnsi="Arial" w:cs="Arial"/>
          <w:i/>
          <w:iCs/>
        </w:rPr>
        <w:t>Cf. McMorris,</w:t>
      </w:r>
      <w:r w:rsidR="00037965">
        <w:rPr>
          <w:rFonts w:ascii="Arial" w:hAnsi="Arial" w:cs="Arial"/>
        </w:rPr>
        <w:t xml:space="preserve"> </w:t>
      </w:r>
      <w:r w:rsidR="002D3143">
        <w:rPr>
          <w:rFonts w:ascii="Arial" w:hAnsi="Arial" w:cs="Arial"/>
        </w:rPr>
        <w:t xml:space="preserve">290 N.C. at 288 (stating that the general rule permitting argument describing statutory punishment “applies with even greater force” in cases where consequence of conviction is mandatory life sentence). </w:t>
      </w:r>
      <w:r w:rsidR="00037965">
        <w:rPr>
          <w:rFonts w:ascii="Arial" w:hAnsi="Arial" w:cs="Arial"/>
        </w:rPr>
        <w:t xml:space="preserve">Cases decided after </w:t>
      </w:r>
      <w:r w:rsidR="00037965">
        <w:rPr>
          <w:rFonts w:ascii="Arial" w:hAnsi="Arial" w:cs="Arial"/>
          <w:i/>
          <w:iCs/>
        </w:rPr>
        <w:t>Lopez</w:t>
      </w:r>
      <w:r w:rsidR="00037965">
        <w:rPr>
          <w:rFonts w:ascii="Arial" w:hAnsi="Arial" w:cs="Arial"/>
        </w:rPr>
        <w:t xml:space="preserve"> continue to state the </w:t>
      </w:r>
      <w:r w:rsidR="002D3143">
        <w:rPr>
          <w:rFonts w:ascii="Arial" w:hAnsi="Arial" w:cs="Arial"/>
        </w:rPr>
        <w:t xml:space="preserve">general </w:t>
      </w:r>
      <w:r w:rsidR="00037965">
        <w:rPr>
          <w:rFonts w:ascii="Arial" w:hAnsi="Arial" w:cs="Arial"/>
        </w:rPr>
        <w:t>rule</w:t>
      </w:r>
      <w:r w:rsidR="002D3143">
        <w:rPr>
          <w:rFonts w:ascii="Arial" w:hAnsi="Arial" w:cs="Arial"/>
        </w:rPr>
        <w:t xml:space="preserve"> described in </w:t>
      </w:r>
      <w:r w:rsidR="002D3143">
        <w:rPr>
          <w:rFonts w:ascii="Arial" w:hAnsi="Arial" w:cs="Arial"/>
          <w:i/>
          <w:iCs/>
        </w:rPr>
        <w:t>McMorris</w:t>
      </w:r>
      <w:r w:rsidR="00037965">
        <w:rPr>
          <w:rFonts w:ascii="Arial" w:hAnsi="Arial" w:cs="Arial"/>
        </w:rPr>
        <w:t xml:space="preserve">. </w:t>
      </w:r>
      <w:r w:rsidR="00037965">
        <w:rPr>
          <w:rFonts w:ascii="Arial" w:hAnsi="Arial" w:cs="Arial"/>
          <w:i/>
          <w:iCs/>
        </w:rPr>
        <w:t>See</w:t>
      </w:r>
      <w:r w:rsidR="00037965">
        <w:rPr>
          <w:rFonts w:ascii="Arial" w:hAnsi="Arial" w:cs="Arial"/>
        </w:rPr>
        <w:t>,</w:t>
      </w:r>
      <w:r w:rsidR="00037965">
        <w:rPr>
          <w:rFonts w:ascii="Arial" w:hAnsi="Arial" w:cs="Arial"/>
          <w:i/>
          <w:iCs/>
        </w:rPr>
        <w:t xml:space="preserve"> e.g.</w:t>
      </w:r>
      <w:r w:rsidR="00037965">
        <w:rPr>
          <w:rFonts w:ascii="Arial" w:hAnsi="Arial" w:cs="Arial"/>
        </w:rPr>
        <w:t xml:space="preserve">, </w:t>
      </w:r>
      <w:r w:rsidR="00037965">
        <w:rPr>
          <w:rFonts w:ascii="Arial" w:hAnsi="Arial" w:cs="Arial"/>
          <w:i/>
          <w:iCs/>
        </w:rPr>
        <w:t xml:space="preserve">Cox </w:t>
      </w:r>
      <w:r w:rsidR="00037965">
        <w:rPr>
          <w:rFonts w:ascii="Arial" w:hAnsi="Arial" w:cs="Arial"/>
        </w:rPr>
        <w:t xml:space="preserve">___ N.C. App. at ___, </w:t>
      </w:r>
      <w:r w:rsidR="00717E81">
        <w:rPr>
          <w:rFonts w:ascii="Arial" w:hAnsi="Arial" w:cs="Arial"/>
        </w:rPr>
        <w:t>898 S.E.2d at 100-01</w:t>
      </w:r>
      <w:r w:rsidR="00037965">
        <w:rPr>
          <w:rFonts w:ascii="Arial" w:hAnsi="Arial" w:cs="Arial"/>
        </w:rPr>
        <w:t xml:space="preserve">; </w:t>
      </w:r>
      <w:r w:rsidR="00037965" w:rsidRPr="0093262F">
        <w:rPr>
          <w:rFonts w:ascii="Arial" w:hAnsi="Arial" w:cs="Arial"/>
          <w:i/>
          <w:iCs/>
        </w:rPr>
        <w:t>Parker</w:t>
      </w:r>
      <w:r w:rsidR="00037965" w:rsidRPr="004A6347">
        <w:rPr>
          <w:rFonts w:ascii="Arial" w:hAnsi="Arial" w:cs="Arial"/>
        </w:rPr>
        <w:t xml:space="preserve">, ___ N.C. App. </w:t>
      </w:r>
      <w:r w:rsidR="00037965">
        <w:rPr>
          <w:rFonts w:ascii="Arial" w:hAnsi="Arial" w:cs="Arial"/>
        </w:rPr>
        <w:t xml:space="preserve">at </w:t>
      </w:r>
      <w:r w:rsidR="00037965" w:rsidRPr="004A6347">
        <w:rPr>
          <w:rFonts w:ascii="Arial" w:hAnsi="Arial" w:cs="Arial"/>
        </w:rPr>
        <w:t xml:space="preserve">___, 893 S.E.2d </w:t>
      </w:r>
      <w:r w:rsidR="00037965">
        <w:rPr>
          <w:rFonts w:ascii="Arial" w:hAnsi="Arial" w:cs="Arial"/>
        </w:rPr>
        <w:t>at</w:t>
      </w:r>
      <w:r w:rsidR="00037965" w:rsidRPr="004A6347">
        <w:rPr>
          <w:rFonts w:ascii="Arial" w:hAnsi="Arial" w:cs="Arial"/>
        </w:rPr>
        <w:t xml:space="preserve"> 550</w:t>
      </w:r>
      <w:r w:rsidR="00037965">
        <w:rPr>
          <w:rFonts w:ascii="Arial" w:hAnsi="Arial" w:cs="Arial"/>
        </w:rPr>
        <w:t>.</w:t>
      </w:r>
    </w:p>
    <w:p w14:paraId="69969F6A" w14:textId="7EE2550A" w:rsidR="004A6347" w:rsidRDefault="004A6347" w:rsidP="00DB30BF">
      <w:pPr>
        <w:pStyle w:val="ListParagraph"/>
        <w:spacing w:after="0" w:line="240" w:lineRule="auto"/>
        <w:ind w:left="2160" w:firstLine="720"/>
        <w:rPr>
          <w:rFonts w:ascii="Arial" w:hAnsi="Arial" w:cs="Arial"/>
          <w:b/>
          <w:bCs/>
        </w:rPr>
      </w:pPr>
      <w:r w:rsidRPr="00E844F3">
        <w:rPr>
          <w:rFonts w:ascii="Arial" w:hAnsi="Arial" w:cs="Arial"/>
        </w:rPr>
        <w:t>In capital cases</w:t>
      </w:r>
      <w:r w:rsidR="00037965">
        <w:rPr>
          <w:rFonts w:ascii="Arial" w:hAnsi="Arial" w:cs="Arial"/>
        </w:rPr>
        <w:t>,</w:t>
      </w:r>
      <w:r w:rsidRPr="00E844F3">
        <w:rPr>
          <w:rFonts w:ascii="Arial" w:hAnsi="Arial" w:cs="Arial"/>
        </w:rPr>
        <w:t xml:space="preserve"> G.S. 15-176.5 specifically </w:t>
      </w:r>
      <w:r w:rsidR="0062281A">
        <w:rPr>
          <w:rFonts w:ascii="Arial" w:hAnsi="Arial" w:cs="Arial"/>
        </w:rPr>
        <w:t>states</w:t>
      </w:r>
      <w:r w:rsidRPr="00E844F3">
        <w:rPr>
          <w:rFonts w:ascii="Arial" w:hAnsi="Arial" w:cs="Arial"/>
        </w:rPr>
        <w:t>, with respect to the capital offense, that “either party in its argument to the jury may indicate the consequences of a verdict of guilty of that charge,” and G.S. 15-176.1 specifically permits a prosecutor to “argue to the jury that a sentence of death should be imposed and that the jury should not recommend life imprisonment.”</w:t>
      </w:r>
    </w:p>
    <w:p w14:paraId="4D1BCC70" w14:textId="229268CB" w:rsidR="004A6347" w:rsidRPr="00E844F3" w:rsidRDefault="004A6347" w:rsidP="00DB30BF">
      <w:pPr>
        <w:pStyle w:val="ListParagraph"/>
        <w:numPr>
          <w:ilvl w:val="3"/>
          <w:numId w:val="4"/>
        </w:numPr>
        <w:spacing w:after="0" w:line="240" w:lineRule="auto"/>
        <w:ind w:left="2160" w:hanging="720"/>
      </w:pPr>
      <w:r>
        <w:rPr>
          <w:rFonts w:ascii="Arial" w:hAnsi="Arial" w:cs="Arial"/>
          <w:b/>
          <w:bCs/>
        </w:rPr>
        <w:t>Collateral Consequences.</w:t>
      </w:r>
      <w:r>
        <w:rPr>
          <w:rFonts w:ascii="Arial" w:hAnsi="Arial" w:cs="Arial"/>
        </w:rPr>
        <w:t xml:space="preserve"> </w:t>
      </w:r>
      <w:r w:rsidR="00C379EB">
        <w:rPr>
          <w:rFonts w:ascii="Arial" w:hAnsi="Arial" w:cs="Arial"/>
        </w:rPr>
        <w:t>A</w:t>
      </w:r>
      <w:r w:rsidR="0062281A">
        <w:rPr>
          <w:rFonts w:ascii="Arial" w:hAnsi="Arial" w:cs="Arial"/>
        </w:rPr>
        <w:t xml:space="preserve"> </w:t>
      </w:r>
      <w:r w:rsidR="00456259">
        <w:rPr>
          <w:rFonts w:ascii="Arial" w:hAnsi="Arial" w:cs="Arial"/>
        </w:rPr>
        <w:t xml:space="preserve">variety of </w:t>
      </w:r>
      <w:r w:rsidR="0062281A">
        <w:rPr>
          <w:rFonts w:ascii="Arial" w:hAnsi="Arial" w:cs="Arial"/>
        </w:rPr>
        <w:t>collateral consequences may result from a criminal conviction, such as sex offender registration</w:t>
      </w:r>
      <w:r w:rsidR="00B548D5">
        <w:rPr>
          <w:rFonts w:ascii="Arial" w:hAnsi="Arial" w:cs="Arial"/>
        </w:rPr>
        <w:t>, professional licensure revocation, or</w:t>
      </w:r>
      <w:r w:rsidR="00DF76A4">
        <w:rPr>
          <w:rFonts w:ascii="Arial" w:hAnsi="Arial" w:cs="Arial"/>
        </w:rPr>
        <w:t xml:space="preserve"> </w:t>
      </w:r>
      <w:r w:rsidR="00B548D5">
        <w:rPr>
          <w:rFonts w:ascii="Arial" w:hAnsi="Arial" w:cs="Arial"/>
        </w:rPr>
        <w:t>limitation of civic rights.</w:t>
      </w:r>
      <w:r w:rsidR="0062281A">
        <w:rPr>
          <w:rFonts w:ascii="Arial" w:hAnsi="Arial" w:cs="Arial"/>
        </w:rPr>
        <w:t xml:space="preserve"> </w:t>
      </w:r>
      <w:r w:rsidR="00B548D5">
        <w:rPr>
          <w:rFonts w:ascii="Arial" w:hAnsi="Arial" w:cs="Arial"/>
          <w:i/>
          <w:iCs/>
        </w:rPr>
        <w:t>See generally</w:t>
      </w:r>
      <w:r w:rsidR="00B548D5">
        <w:rPr>
          <w:rFonts w:ascii="Arial" w:hAnsi="Arial" w:cs="Arial"/>
        </w:rPr>
        <w:t xml:space="preserve"> </w:t>
      </w:r>
      <w:hyperlink r:id="rId9" w:history="1">
        <w:r w:rsidR="00B548D5" w:rsidRPr="00B548D5">
          <w:rPr>
            <w:rStyle w:val="Hyperlink"/>
            <w:rFonts w:ascii="Arial" w:hAnsi="Arial" w:cs="Arial"/>
          </w:rPr>
          <w:t>Collateral Consequences Assessment Tool</w:t>
        </w:r>
      </w:hyperlink>
      <w:r w:rsidR="00B548D5">
        <w:rPr>
          <w:rFonts w:ascii="Arial" w:hAnsi="Arial" w:cs="Arial"/>
        </w:rPr>
        <w:t xml:space="preserve"> (a searchable database of collateral consequences prepared by the UNC School of Government).</w:t>
      </w:r>
      <w:r w:rsidR="00456259">
        <w:rPr>
          <w:rFonts w:ascii="Arial" w:hAnsi="Arial" w:cs="Arial"/>
        </w:rPr>
        <w:t xml:space="preserve"> There is limited case law </w:t>
      </w:r>
      <w:r w:rsidR="00843E03">
        <w:rPr>
          <w:rFonts w:ascii="Arial" w:hAnsi="Arial" w:cs="Arial"/>
        </w:rPr>
        <w:t>on</w:t>
      </w:r>
      <w:r w:rsidR="00456259">
        <w:rPr>
          <w:rFonts w:ascii="Arial" w:hAnsi="Arial" w:cs="Arial"/>
        </w:rPr>
        <w:t xml:space="preserve"> </w:t>
      </w:r>
      <w:r w:rsidR="00843E03">
        <w:rPr>
          <w:rFonts w:ascii="Arial" w:hAnsi="Arial" w:cs="Arial"/>
        </w:rPr>
        <w:t>the propriety of discussing the collateral consequences of conviction during jury argument</w:t>
      </w:r>
      <w:r w:rsidR="00DB2697">
        <w:rPr>
          <w:rFonts w:ascii="Arial" w:hAnsi="Arial" w:cs="Arial"/>
        </w:rPr>
        <w:t>, though one unpublished case held that the trial judge erred by refusing to allow defense counsel to inform the jury that the defendant would be required to register as a sex offender if convicted of the sexual battery offenses for which he was being tried</w:t>
      </w:r>
      <w:r w:rsidR="00843E03">
        <w:rPr>
          <w:rFonts w:ascii="Arial" w:hAnsi="Arial" w:cs="Arial"/>
        </w:rPr>
        <w:t>.</w:t>
      </w:r>
      <w:r w:rsidR="00DB2697">
        <w:rPr>
          <w:rFonts w:ascii="Arial" w:hAnsi="Arial" w:cs="Arial"/>
        </w:rPr>
        <w:t xml:space="preserve"> State v. Prestwood, 211 N.C. App. 198, *3 (2011) (unpublished) (relying on </w:t>
      </w:r>
      <w:r w:rsidR="00DB2697">
        <w:rPr>
          <w:rFonts w:ascii="Arial" w:hAnsi="Arial" w:cs="Arial"/>
          <w:i/>
          <w:iCs/>
        </w:rPr>
        <w:t>McNeil</w:t>
      </w:r>
      <w:r w:rsidR="00DB2697">
        <w:rPr>
          <w:rFonts w:ascii="Arial" w:hAnsi="Arial" w:cs="Arial"/>
        </w:rPr>
        <w:t xml:space="preserve"> and related precedent; noting that registration was a mandatory consequence of conviction).</w:t>
      </w:r>
      <w:r w:rsidR="00843E03">
        <w:rPr>
          <w:rFonts w:ascii="Arial" w:hAnsi="Arial" w:cs="Arial"/>
        </w:rPr>
        <w:t xml:space="preserve"> For a fuller analysis of the issue, see John Rubin, </w:t>
      </w:r>
      <w:hyperlink r:id="rId10" w:history="1">
        <w:r w:rsidR="00843E03" w:rsidRPr="00DB2697">
          <w:rPr>
            <w:rStyle w:val="Hyperlink"/>
            <w:rFonts w:ascii="Arial" w:hAnsi="Arial" w:cs="Arial"/>
            <w:i/>
            <w:iCs/>
          </w:rPr>
          <w:t>Letting the Jury Know about “Collateral” Consequences of a Conviction</w:t>
        </w:r>
      </w:hyperlink>
      <w:r w:rsidR="00843E03">
        <w:rPr>
          <w:rFonts w:ascii="Arial" w:hAnsi="Arial" w:cs="Arial"/>
        </w:rPr>
        <w:t xml:space="preserve">, </w:t>
      </w:r>
      <w:r w:rsidR="00843E03">
        <w:rPr>
          <w:rFonts w:ascii="Arial" w:hAnsi="Arial" w:cs="Arial"/>
          <w:smallCaps/>
        </w:rPr>
        <w:t>N.C. Crim. L., UNC Sch. of Gov’t Blog</w:t>
      </w:r>
      <w:r w:rsidR="00DB2697">
        <w:rPr>
          <w:rFonts w:ascii="Arial" w:hAnsi="Arial" w:cs="Arial"/>
        </w:rPr>
        <w:t xml:space="preserve"> (Mar. 5, 2019).</w:t>
      </w:r>
    </w:p>
    <w:p w14:paraId="538D9F9C" w14:textId="77777777" w:rsidR="005C36DE" w:rsidRPr="005C36DE" w:rsidRDefault="005C36DE" w:rsidP="00DB30BF">
      <w:pPr>
        <w:spacing w:after="0" w:line="240" w:lineRule="auto"/>
        <w:rPr>
          <w:rFonts w:ascii="Arial" w:hAnsi="Arial" w:cs="Arial"/>
        </w:rPr>
      </w:pPr>
    </w:p>
    <w:p w14:paraId="7B3109F2" w14:textId="675E357E" w:rsidR="007B6333" w:rsidRDefault="007B6333" w:rsidP="00DB30BF">
      <w:pPr>
        <w:pStyle w:val="ListParagraph"/>
        <w:numPr>
          <w:ilvl w:val="0"/>
          <w:numId w:val="4"/>
        </w:numPr>
        <w:spacing w:after="0" w:line="240" w:lineRule="auto"/>
        <w:rPr>
          <w:rFonts w:ascii="Arial" w:hAnsi="Arial" w:cs="Arial"/>
        </w:rPr>
      </w:pPr>
      <w:bookmarkStart w:id="16" w:name="_Toc402880156"/>
      <w:bookmarkStart w:id="17" w:name="_Toc402880714"/>
      <w:bookmarkStart w:id="18" w:name="_Toc163125203"/>
      <w:r w:rsidRPr="00A002E8">
        <w:rPr>
          <w:rStyle w:val="Heading2Char"/>
        </w:rPr>
        <w:t>Positions or Conclusions</w:t>
      </w:r>
      <w:bookmarkEnd w:id="16"/>
      <w:bookmarkEnd w:id="17"/>
      <w:bookmarkEnd w:id="18"/>
      <w:r w:rsidRPr="00641284">
        <w:rPr>
          <w:rFonts w:ascii="Arial" w:hAnsi="Arial" w:cs="Arial"/>
          <w:b/>
          <w:bCs/>
        </w:rPr>
        <w:t>.</w:t>
      </w:r>
      <w:r w:rsidR="00F74D0F">
        <w:rPr>
          <w:rFonts w:ascii="Arial" w:hAnsi="Arial" w:cs="Arial"/>
        </w:rPr>
        <w:t xml:space="preserve"> During </w:t>
      </w:r>
      <w:r w:rsidRPr="00641284">
        <w:rPr>
          <w:rFonts w:ascii="Arial" w:hAnsi="Arial" w:cs="Arial"/>
        </w:rPr>
        <w:t xml:space="preserve">argument a lawyer may “on the basis of his analysis of the evidence, argue any position or conclusion with respect to a matter in issue.” G.S. 15A-1230(a). Thus, for example, as discussed in Section </w:t>
      </w:r>
      <w:r w:rsidR="00390D43">
        <w:rPr>
          <w:rFonts w:ascii="Arial" w:hAnsi="Arial" w:cs="Arial"/>
        </w:rPr>
        <w:t>IV</w:t>
      </w:r>
      <w:r w:rsidRPr="00641284">
        <w:rPr>
          <w:rFonts w:ascii="Arial" w:hAnsi="Arial" w:cs="Arial"/>
        </w:rPr>
        <w:t xml:space="preserve">.D. below, it is proper to argue that the jury should not believe a witness’s testimony. State v. Phillips, 365 N.C. 103, 139-40 (2011). </w:t>
      </w:r>
      <w:r w:rsidR="003712F7">
        <w:rPr>
          <w:rFonts w:ascii="Arial" w:hAnsi="Arial" w:cs="Arial"/>
        </w:rPr>
        <w:t xml:space="preserve">So long as </w:t>
      </w:r>
      <w:r w:rsidR="00A54150">
        <w:rPr>
          <w:rFonts w:ascii="Arial" w:hAnsi="Arial" w:cs="Arial"/>
        </w:rPr>
        <w:t>he or she</w:t>
      </w:r>
      <w:r w:rsidR="003712F7">
        <w:rPr>
          <w:rFonts w:ascii="Arial" w:hAnsi="Arial" w:cs="Arial"/>
        </w:rPr>
        <w:t xml:space="preserve"> does not become abusive, misstate the law or the facts, or otherwise exceed the bounds of permissible argument, a</w:t>
      </w:r>
      <w:r w:rsidR="003153AD">
        <w:rPr>
          <w:rFonts w:ascii="Arial" w:hAnsi="Arial" w:cs="Arial"/>
        </w:rPr>
        <w:t xml:space="preserve"> lawyer has leeway to use hyperbolic or vivid </w:t>
      </w:r>
      <w:r w:rsidR="003153AD">
        <w:rPr>
          <w:rFonts w:ascii="Arial" w:hAnsi="Arial" w:cs="Arial"/>
        </w:rPr>
        <w:lastRenderedPageBreak/>
        <w:t>language to express his or her position.</w:t>
      </w:r>
      <w:r w:rsidR="00B6324A">
        <w:rPr>
          <w:rFonts w:ascii="Arial" w:hAnsi="Arial" w:cs="Arial"/>
        </w:rPr>
        <w:t xml:space="preserve"> </w:t>
      </w:r>
      <w:r w:rsidR="00B6324A">
        <w:rPr>
          <w:rFonts w:ascii="Arial" w:hAnsi="Arial" w:cs="Arial"/>
          <w:i/>
          <w:iCs/>
        </w:rPr>
        <w:t>See, e.g.</w:t>
      </w:r>
      <w:r w:rsidR="003712F7">
        <w:rPr>
          <w:rFonts w:ascii="Arial" w:hAnsi="Arial" w:cs="Arial"/>
        </w:rPr>
        <w:t>,</w:t>
      </w:r>
      <w:r w:rsidR="00B6324A">
        <w:rPr>
          <w:rFonts w:ascii="Arial" w:hAnsi="Arial" w:cs="Arial"/>
        </w:rPr>
        <w:t xml:space="preserve"> State v. Tart, 372 N.C. 73, </w:t>
      </w:r>
      <w:r w:rsidR="003712F7">
        <w:rPr>
          <w:rFonts w:ascii="Arial" w:hAnsi="Arial" w:cs="Arial"/>
        </w:rPr>
        <w:t xml:space="preserve">84 (2019) </w:t>
      </w:r>
      <w:r w:rsidR="00B6324A">
        <w:rPr>
          <w:rFonts w:ascii="Arial" w:hAnsi="Arial" w:cs="Arial"/>
        </w:rPr>
        <w:t>(</w:t>
      </w:r>
      <w:r w:rsidR="00732C33">
        <w:rPr>
          <w:rFonts w:ascii="Arial" w:hAnsi="Arial" w:cs="Arial"/>
        </w:rPr>
        <w:t xml:space="preserve">prosecutor’s </w:t>
      </w:r>
      <w:r w:rsidR="003712F7">
        <w:rPr>
          <w:rFonts w:ascii="Arial" w:hAnsi="Arial" w:cs="Arial"/>
        </w:rPr>
        <w:t>argu</w:t>
      </w:r>
      <w:r w:rsidR="00732C33">
        <w:rPr>
          <w:rFonts w:ascii="Arial" w:hAnsi="Arial" w:cs="Arial"/>
        </w:rPr>
        <w:t>ment</w:t>
      </w:r>
      <w:r w:rsidR="003712F7">
        <w:rPr>
          <w:rFonts w:ascii="Arial" w:hAnsi="Arial" w:cs="Arial"/>
        </w:rPr>
        <w:t xml:space="preserve"> that</w:t>
      </w:r>
      <w:r w:rsidR="00732C33">
        <w:rPr>
          <w:rFonts w:ascii="Arial" w:hAnsi="Arial" w:cs="Arial"/>
        </w:rPr>
        <w:t xml:space="preserve"> conviction w</w:t>
      </w:r>
      <w:r w:rsidR="003712F7">
        <w:rPr>
          <w:rFonts w:ascii="Arial" w:hAnsi="Arial" w:cs="Arial"/>
        </w:rPr>
        <w:t>ould ensure that the defendant would not be “unleashed, yet again, onto our streets” was permissible vivid communication</w:t>
      </w:r>
      <w:r w:rsidR="00B6324A">
        <w:rPr>
          <w:rFonts w:ascii="Arial" w:hAnsi="Arial" w:cs="Arial"/>
        </w:rPr>
        <w:t>); State v. Braxton, 352 N.C. 158, 203 (2000) (permissible to use phrase “vomit on the law of North Carolina” to express position that it would be an injustice for jury to find the defendant acted in self-defense); State v. Pittman, 332 N.C. 244, 262 (1992) (permissible to use phrase “justice in Halifax County will be dead” as hyperbolic expression of position that a not guilty verdict would be an injustice).</w:t>
      </w:r>
    </w:p>
    <w:p w14:paraId="235786CC" w14:textId="77777777" w:rsidR="005C36DE" w:rsidRPr="005C36DE" w:rsidRDefault="005C36DE" w:rsidP="00DB30BF">
      <w:pPr>
        <w:spacing w:after="0" w:line="240" w:lineRule="auto"/>
        <w:rPr>
          <w:rFonts w:ascii="Arial" w:hAnsi="Arial" w:cs="Arial"/>
        </w:rPr>
      </w:pPr>
    </w:p>
    <w:p w14:paraId="6FDAF994" w14:textId="765D2D22" w:rsidR="007B6333" w:rsidRPr="00641284" w:rsidRDefault="007B6333" w:rsidP="00DB30BF">
      <w:pPr>
        <w:pStyle w:val="ListParagraph"/>
        <w:numPr>
          <w:ilvl w:val="0"/>
          <w:numId w:val="4"/>
        </w:numPr>
        <w:spacing w:after="0" w:line="240" w:lineRule="auto"/>
        <w:rPr>
          <w:rFonts w:ascii="Arial" w:hAnsi="Arial" w:cs="Arial"/>
        </w:rPr>
      </w:pPr>
      <w:bookmarkStart w:id="19" w:name="_Toc402880157"/>
      <w:bookmarkStart w:id="20" w:name="_Toc402880715"/>
      <w:bookmarkStart w:id="21" w:name="_Toc163125204"/>
      <w:r w:rsidRPr="00A002E8">
        <w:rPr>
          <w:rStyle w:val="Heading2Char"/>
        </w:rPr>
        <w:t>Credibility of Witnesses</w:t>
      </w:r>
      <w:bookmarkEnd w:id="19"/>
      <w:bookmarkEnd w:id="20"/>
      <w:bookmarkEnd w:id="21"/>
      <w:r w:rsidRPr="00641284">
        <w:rPr>
          <w:rFonts w:ascii="Arial" w:hAnsi="Arial" w:cs="Arial"/>
          <w:b/>
          <w:bCs/>
        </w:rPr>
        <w:t>.</w:t>
      </w:r>
      <w:r w:rsidRPr="00641284">
        <w:rPr>
          <w:rFonts w:ascii="Arial" w:hAnsi="Arial" w:cs="Arial"/>
        </w:rPr>
        <w:t xml:space="preserve"> Provided that counsel does not express </w:t>
      </w:r>
      <w:proofErr w:type="gramStart"/>
      <w:r w:rsidRPr="00641284">
        <w:rPr>
          <w:rFonts w:ascii="Arial" w:hAnsi="Arial" w:cs="Arial"/>
        </w:rPr>
        <w:t>a person</w:t>
      </w:r>
      <w:r w:rsidR="005A48F2">
        <w:rPr>
          <w:rFonts w:ascii="Arial" w:hAnsi="Arial" w:cs="Arial"/>
        </w:rPr>
        <w:t>al</w:t>
      </w:r>
      <w:r w:rsidRPr="00641284">
        <w:rPr>
          <w:rFonts w:ascii="Arial" w:hAnsi="Arial" w:cs="Arial"/>
        </w:rPr>
        <w:t xml:space="preserve"> opinion</w:t>
      </w:r>
      <w:proofErr w:type="gramEnd"/>
      <w:r w:rsidRPr="00641284">
        <w:rPr>
          <w:rFonts w:ascii="Arial" w:hAnsi="Arial" w:cs="Arial"/>
        </w:rPr>
        <w:t xml:space="preserve"> as to a witness’s credibility, see Section </w:t>
      </w:r>
      <w:r w:rsidR="00390D43">
        <w:rPr>
          <w:rFonts w:ascii="Arial" w:hAnsi="Arial" w:cs="Arial"/>
        </w:rPr>
        <w:t>V</w:t>
      </w:r>
      <w:r w:rsidRPr="00641284">
        <w:rPr>
          <w:rFonts w:ascii="Arial" w:hAnsi="Arial" w:cs="Arial"/>
        </w:rPr>
        <w:t>.B.18 below, a lawyer may:</w:t>
      </w:r>
    </w:p>
    <w:p w14:paraId="3EA588D2" w14:textId="77777777" w:rsidR="007B6333" w:rsidRPr="00641284" w:rsidRDefault="007B6333" w:rsidP="00DB30BF">
      <w:pPr>
        <w:pStyle w:val="ListParagraph"/>
        <w:numPr>
          <w:ilvl w:val="0"/>
          <w:numId w:val="13"/>
        </w:numPr>
        <w:spacing w:after="0" w:line="240" w:lineRule="auto"/>
        <w:rPr>
          <w:rFonts w:ascii="Arial" w:hAnsi="Arial" w:cs="Arial"/>
        </w:rPr>
      </w:pPr>
      <w:r w:rsidRPr="00641284">
        <w:rPr>
          <w:rFonts w:ascii="Arial" w:hAnsi="Arial" w:cs="Arial"/>
        </w:rPr>
        <w:t xml:space="preserve">argue that witnesses are credible, </w:t>
      </w:r>
      <w:r w:rsidRPr="00641284">
        <w:rPr>
          <w:rFonts w:ascii="Arial" w:hAnsi="Arial" w:cs="Arial"/>
          <w:i/>
          <w:iCs/>
        </w:rPr>
        <w:t xml:space="preserve">see, e.g., </w:t>
      </w:r>
      <w:r w:rsidRPr="00641284">
        <w:rPr>
          <w:rFonts w:ascii="Arial" w:hAnsi="Arial" w:cs="Arial"/>
        </w:rPr>
        <w:t>State v. Wilkerson, 363 N.C. 382, 425 (2009) (stating this principle); State v. Augustine, 359 N.C. 709, 725 (2005) (same</w:t>
      </w:r>
      <w:proofErr w:type="gramStart"/>
      <w:r w:rsidRPr="00641284">
        <w:rPr>
          <w:rFonts w:ascii="Arial" w:hAnsi="Arial" w:cs="Arial"/>
        </w:rPr>
        <w:t>);</w:t>
      </w:r>
      <w:proofErr w:type="gramEnd"/>
    </w:p>
    <w:p w14:paraId="6F7EA2E6" w14:textId="36378D0A" w:rsidR="007B6333" w:rsidRPr="00641284" w:rsidRDefault="007B6333" w:rsidP="00DB30BF">
      <w:pPr>
        <w:pStyle w:val="ListParagraph"/>
        <w:numPr>
          <w:ilvl w:val="0"/>
          <w:numId w:val="13"/>
        </w:numPr>
        <w:spacing w:after="0" w:line="240" w:lineRule="auto"/>
        <w:rPr>
          <w:rFonts w:ascii="Arial" w:hAnsi="Arial" w:cs="Arial"/>
        </w:rPr>
      </w:pPr>
      <w:r w:rsidRPr="00641284">
        <w:rPr>
          <w:rFonts w:ascii="Arial" w:hAnsi="Arial" w:cs="Arial"/>
        </w:rPr>
        <w:t>argue that the jurors should or should not believe a witness</w:t>
      </w:r>
      <w:r w:rsidR="005A48F2">
        <w:rPr>
          <w:rFonts w:ascii="Arial" w:hAnsi="Arial" w:cs="Arial"/>
        </w:rPr>
        <w:t>, including an expert witness</w:t>
      </w:r>
      <w:r w:rsidRPr="00641284">
        <w:rPr>
          <w:rFonts w:ascii="Arial" w:hAnsi="Arial" w:cs="Arial"/>
        </w:rPr>
        <w:t xml:space="preserve">, </w:t>
      </w:r>
      <w:r w:rsidRPr="00641284">
        <w:rPr>
          <w:rFonts w:ascii="Arial" w:hAnsi="Arial" w:cs="Arial"/>
          <w:i/>
          <w:iCs/>
        </w:rPr>
        <w:t>see, e.g., Augustine</w:t>
      </w:r>
      <w:r w:rsidRPr="00641284">
        <w:rPr>
          <w:rFonts w:ascii="Arial" w:hAnsi="Arial" w:cs="Arial"/>
        </w:rPr>
        <w:t>, 359 N.C. at 725 (stating this principle</w:t>
      </w:r>
      <w:r w:rsidR="005A48F2">
        <w:rPr>
          <w:rFonts w:ascii="Arial" w:hAnsi="Arial" w:cs="Arial"/>
        </w:rPr>
        <w:t xml:space="preserve"> as to lay witnesses</w:t>
      </w:r>
      <w:r w:rsidRPr="00641284">
        <w:rPr>
          <w:rFonts w:ascii="Arial" w:hAnsi="Arial" w:cs="Arial"/>
        </w:rPr>
        <w:t>);</w:t>
      </w:r>
      <w:r w:rsidR="005A48F2">
        <w:rPr>
          <w:rFonts w:ascii="Arial" w:hAnsi="Arial" w:cs="Arial"/>
        </w:rPr>
        <w:t xml:space="preserve"> </w:t>
      </w:r>
      <w:r w:rsidR="005A48F2" w:rsidRPr="00641284">
        <w:rPr>
          <w:rFonts w:ascii="Arial" w:hAnsi="Arial" w:cs="Arial"/>
        </w:rPr>
        <w:t>State v. Phillips, 365 N.C. 103, 1</w:t>
      </w:r>
      <w:r w:rsidR="005A48F2">
        <w:rPr>
          <w:rFonts w:ascii="Arial" w:hAnsi="Arial" w:cs="Arial"/>
        </w:rPr>
        <w:t>39</w:t>
      </w:r>
      <w:r w:rsidR="005A48F2" w:rsidRPr="00641284">
        <w:rPr>
          <w:rFonts w:ascii="Arial" w:hAnsi="Arial" w:cs="Arial"/>
        </w:rPr>
        <w:t xml:space="preserve"> (2011)</w:t>
      </w:r>
      <w:r w:rsidR="005A48F2">
        <w:rPr>
          <w:rFonts w:ascii="Arial" w:hAnsi="Arial" w:cs="Arial"/>
        </w:rPr>
        <w:t xml:space="preserve"> (</w:t>
      </w:r>
      <w:r w:rsidR="005A48F2" w:rsidRPr="00641284">
        <w:rPr>
          <w:rFonts w:ascii="Arial" w:hAnsi="Arial" w:cs="Arial"/>
        </w:rPr>
        <w:t>stating this principle</w:t>
      </w:r>
      <w:r w:rsidR="005A48F2">
        <w:rPr>
          <w:rFonts w:ascii="Arial" w:hAnsi="Arial" w:cs="Arial"/>
        </w:rPr>
        <w:t xml:space="preserve"> as to expert witnesses);</w:t>
      </w:r>
      <w:r w:rsidRPr="00641284">
        <w:rPr>
          <w:rFonts w:ascii="Arial" w:hAnsi="Arial" w:cs="Arial"/>
        </w:rPr>
        <w:t xml:space="preserve"> State v. Scott, 343 N.C. 313, 344 (1996); and </w:t>
      </w:r>
    </w:p>
    <w:p w14:paraId="683C3DC0" w14:textId="77777777" w:rsidR="007B6333" w:rsidRDefault="007B6333" w:rsidP="00DB30BF">
      <w:pPr>
        <w:pStyle w:val="ListParagraph"/>
        <w:numPr>
          <w:ilvl w:val="0"/>
          <w:numId w:val="13"/>
        </w:numPr>
        <w:spacing w:after="0" w:line="240" w:lineRule="auto"/>
        <w:rPr>
          <w:rFonts w:ascii="Arial" w:hAnsi="Arial" w:cs="Arial"/>
        </w:rPr>
      </w:pPr>
      <w:r w:rsidRPr="00641284">
        <w:rPr>
          <w:rFonts w:ascii="Arial" w:hAnsi="Arial" w:cs="Arial"/>
        </w:rPr>
        <w:t xml:space="preserve">give reasons why the jury should or should not believe a witness, </w:t>
      </w:r>
      <w:r w:rsidRPr="00641284">
        <w:rPr>
          <w:rFonts w:ascii="Arial" w:hAnsi="Arial" w:cs="Arial"/>
          <w:i/>
          <w:iCs/>
        </w:rPr>
        <w:t>see, e.g.,</w:t>
      </w:r>
      <w:r w:rsidRPr="00641284">
        <w:rPr>
          <w:rFonts w:ascii="Arial" w:hAnsi="Arial" w:cs="Arial"/>
        </w:rPr>
        <w:t xml:space="preserve"> </w:t>
      </w:r>
      <w:r w:rsidRPr="00641284">
        <w:rPr>
          <w:rFonts w:ascii="Arial" w:hAnsi="Arial" w:cs="Arial"/>
          <w:i/>
          <w:iCs/>
        </w:rPr>
        <w:t xml:space="preserve">Wilkerson, </w:t>
      </w:r>
      <w:r w:rsidRPr="00641284">
        <w:rPr>
          <w:rFonts w:ascii="Arial" w:hAnsi="Arial" w:cs="Arial"/>
        </w:rPr>
        <w:t xml:space="preserve">363 N.C. at 425 (the prosecutor properly argued that the jurors should believe one witness’s testimony because it was corroborated and that they should believe another’s because it was consistent with the evidence); </w:t>
      </w:r>
      <w:r w:rsidRPr="00641284">
        <w:rPr>
          <w:rFonts w:ascii="Arial" w:hAnsi="Arial" w:cs="Arial"/>
          <w:i/>
          <w:iCs/>
        </w:rPr>
        <w:t>Augustine</w:t>
      </w:r>
      <w:r w:rsidRPr="00641284">
        <w:rPr>
          <w:rFonts w:ascii="Arial" w:hAnsi="Arial" w:cs="Arial"/>
        </w:rPr>
        <w:t>, 359 N.C. at 727 (the prosecutor's argument appropriately focused on reasons why the jury should not believe the witness); State v. Anderson, 322 N.C. 22, 39 (1988) (“In arguing to the jury, the State may comment on any contradictory evidence as a basis for the jury's disbelief of a witness's testimony.”).</w:t>
      </w:r>
    </w:p>
    <w:p w14:paraId="6A19D3AD" w14:textId="77777777" w:rsidR="00641284" w:rsidRPr="00641284" w:rsidRDefault="00641284" w:rsidP="00DB30BF">
      <w:pPr>
        <w:pStyle w:val="ListParagraph"/>
        <w:spacing w:after="0" w:line="240" w:lineRule="auto"/>
        <w:ind w:left="1440"/>
        <w:rPr>
          <w:rFonts w:ascii="Arial" w:hAnsi="Arial" w:cs="Arial"/>
        </w:rPr>
      </w:pPr>
    </w:p>
    <w:p w14:paraId="7BDA8762" w14:textId="59C73456" w:rsidR="007B6333" w:rsidRDefault="007B6333" w:rsidP="00DB30BF">
      <w:pPr>
        <w:pStyle w:val="ListParagraph"/>
        <w:numPr>
          <w:ilvl w:val="0"/>
          <w:numId w:val="4"/>
        </w:numPr>
        <w:tabs>
          <w:tab w:val="left" w:pos="720"/>
        </w:tabs>
        <w:spacing w:after="0" w:line="240" w:lineRule="auto"/>
        <w:rPr>
          <w:rFonts w:ascii="Arial" w:hAnsi="Arial" w:cs="Arial"/>
        </w:rPr>
      </w:pPr>
      <w:bookmarkStart w:id="22" w:name="_Toc402880158"/>
      <w:bookmarkStart w:id="23" w:name="_Toc402880716"/>
      <w:bookmarkStart w:id="24" w:name="_Toc163125205"/>
      <w:r w:rsidRPr="00A002E8">
        <w:rPr>
          <w:rStyle w:val="Heading2Char"/>
        </w:rPr>
        <w:t>Pretrial Silence</w:t>
      </w:r>
      <w:bookmarkEnd w:id="22"/>
      <w:bookmarkEnd w:id="23"/>
      <w:bookmarkEnd w:id="24"/>
      <w:r w:rsidRPr="00641284">
        <w:rPr>
          <w:rFonts w:ascii="Arial" w:hAnsi="Arial" w:cs="Arial"/>
          <w:b/>
          <w:bCs/>
        </w:rPr>
        <w:t xml:space="preserve">. </w:t>
      </w:r>
      <w:r w:rsidR="004C1BBF">
        <w:rPr>
          <w:rFonts w:ascii="Arial" w:hAnsi="Arial" w:cs="Arial"/>
        </w:rPr>
        <w:t>A</w:t>
      </w:r>
      <w:r w:rsidR="000F0210">
        <w:rPr>
          <w:rFonts w:ascii="Arial" w:hAnsi="Arial" w:cs="Arial"/>
        </w:rPr>
        <w:t xml:space="preserve"> defendant’s pretrial silence</w:t>
      </w:r>
      <w:r w:rsidR="004C1BBF">
        <w:rPr>
          <w:rFonts w:ascii="Arial" w:hAnsi="Arial" w:cs="Arial"/>
        </w:rPr>
        <w:t xml:space="preserve"> in connection with a criminal </w:t>
      </w:r>
      <w:r w:rsidR="00E843BB">
        <w:rPr>
          <w:rFonts w:ascii="Arial" w:hAnsi="Arial" w:cs="Arial"/>
        </w:rPr>
        <w:t>investigation</w:t>
      </w:r>
      <w:r w:rsidR="000F0210">
        <w:rPr>
          <w:rFonts w:ascii="Arial" w:hAnsi="Arial" w:cs="Arial"/>
        </w:rPr>
        <w:t xml:space="preserve"> prior to receiving </w:t>
      </w:r>
      <w:r w:rsidR="000F0210">
        <w:rPr>
          <w:rFonts w:ascii="Arial" w:hAnsi="Arial" w:cs="Arial"/>
          <w:i/>
          <w:iCs/>
        </w:rPr>
        <w:t xml:space="preserve">Miranda </w:t>
      </w:r>
      <w:r w:rsidR="000F0210">
        <w:rPr>
          <w:rFonts w:ascii="Arial" w:hAnsi="Arial" w:cs="Arial"/>
        </w:rPr>
        <w:t xml:space="preserve">warnings sometimes may be used to impeach </w:t>
      </w:r>
      <w:r w:rsidR="000B6E5C">
        <w:rPr>
          <w:rFonts w:ascii="Arial" w:hAnsi="Arial" w:cs="Arial"/>
        </w:rPr>
        <w:t>the</w:t>
      </w:r>
      <w:r w:rsidR="000F0210">
        <w:rPr>
          <w:rFonts w:ascii="Arial" w:hAnsi="Arial" w:cs="Arial"/>
        </w:rPr>
        <w:t xml:space="preserve"> defendant </w:t>
      </w:r>
      <w:r w:rsidR="000B6E5C">
        <w:rPr>
          <w:rFonts w:ascii="Arial" w:hAnsi="Arial" w:cs="Arial"/>
        </w:rPr>
        <w:t xml:space="preserve">if he or she testifies at trial </w:t>
      </w:r>
      <w:r w:rsidR="000F0210">
        <w:rPr>
          <w:rFonts w:ascii="Arial" w:hAnsi="Arial" w:cs="Arial"/>
        </w:rPr>
        <w:t xml:space="preserve">by suggesting that the pretrial silence is inconsistent with the defendant’s testimony. </w:t>
      </w:r>
      <w:r w:rsidR="000F0210">
        <w:rPr>
          <w:rFonts w:ascii="Arial" w:hAnsi="Arial" w:cs="Arial"/>
          <w:i/>
          <w:iCs/>
        </w:rPr>
        <w:t>See</w:t>
      </w:r>
      <w:r w:rsidR="00201CF2">
        <w:rPr>
          <w:rFonts w:ascii="Arial" w:hAnsi="Arial" w:cs="Arial"/>
          <w:i/>
          <w:iCs/>
        </w:rPr>
        <w:t xml:space="preserve"> generally </w:t>
      </w:r>
      <w:r w:rsidR="00201CF2">
        <w:rPr>
          <w:rFonts w:ascii="Arial" w:hAnsi="Arial" w:cs="Arial"/>
        </w:rPr>
        <w:t>State v. Boston, 191 N.C. App. 637, 648-52 (2008) (describing North Carolina case law on this issue);</w:t>
      </w:r>
      <w:r w:rsidR="00715307">
        <w:rPr>
          <w:rFonts w:ascii="Arial" w:hAnsi="Arial" w:cs="Arial"/>
        </w:rPr>
        <w:t xml:space="preserve"> Jessica Smith, </w:t>
      </w:r>
      <w:hyperlink r:id="rId11" w:history="1">
        <w:r w:rsidR="00715307" w:rsidRPr="00715307">
          <w:rPr>
            <w:rStyle w:val="Hyperlink"/>
            <w:rFonts w:ascii="Arial" w:hAnsi="Arial" w:cs="Arial"/>
            <w:i/>
            <w:iCs/>
          </w:rPr>
          <w:t>Use of a Defendant’s Pre- and Post-Arrest Silence at Trial</w:t>
        </w:r>
      </w:hyperlink>
      <w:r w:rsidR="00715307">
        <w:rPr>
          <w:rFonts w:ascii="Arial" w:hAnsi="Arial" w:cs="Arial"/>
        </w:rPr>
        <w:t xml:space="preserve">, </w:t>
      </w:r>
      <w:r w:rsidR="00715307">
        <w:rPr>
          <w:rFonts w:ascii="Arial" w:hAnsi="Arial" w:cs="Arial"/>
          <w:smallCaps/>
        </w:rPr>
        <w:t>N.C. Crim. L., UNC Sch. of Gov’t Blog</w:t>
      </w:r>
      <w:r w:rsidR="00715307">
        <w:rPr>
          <w:rFonts w:ascii="Arial" w:hAnsi="Arial" w:cs="Arial"/>
        </w:rPr>
        <w:t xml:space="preserve"> (Feb. 13, 2012)</w:t>
      </w:r>
      <w:r w:rsidR="000F0210">
        <w:rPr>
          <w:rFonts w:ascii="Arial" w:hAnsi="Arial" w:cs="Arial"/>
        </w:rPr>
        <w:t xml:space="preserve"> (</w:t>
      </w:r>
      <w:r w:rsidR="00201CF2">
        <w:rPr>
          <w:rFonts w:ascii="Arial" w:hAnsi="Arial" w:cs="Arial"/>
        </w:rPr>
        <w:t>same</w:t>
      </w:r>
      <w:r w:rsidR="000F0210">
        <w:rPr>
          <w:rFonts w:ascii="Arial" w:hAnsi="Arial" w:cs="Arial"/>
        </w:rPr>
        <w:t xml:space="preserve">); </w:t>
      </w:r>
      <w:r w:rsidR="000F0210">
        <w:rPr>
          <w:rFonts w:ascii="Arial" w:hAnsi="Arial" w:cs="Arial"/>
          <w:i/>
          <w:iCs/>
        </w:rPr>
        <w:t>see also</w:t>
      </w:r>
      <w:r w:rsidR="000F0210">
        <w:rPr>
          <w:rFonts w:ascii="Arial" w:hAnsi="Arial" w:cs="Arial"/>
        </w:rPr>
        <w:t xml:space="preserve"> </w:t>
      </w:r>
      <w:hyperlink r:id="rId12" w:history="1">
        <w:r w:rsidR="000F0210" w:rsidRPr="000F0210">
          <w:rPr>
            <w:rStyle w:val="Hyperlink"/>
            <w:rFonts w:ascii="Arial" w:hAnsi="Arial" w:cs="Arial"/>
          </w:rPr>
          <w:t>Impeachment</w:t>
        </w:r>
      </w:hyperlink>
      <w:r w:rsidR="000F0210">
        <w:rPr>
          <w:rFonts w:ascii="Arial" w:hAnsi="Arial" w:cs="Arial"/>
        </w:rPr>
        <w:t xml:space="preserve">, in this </w:t>
      </w:r>
      <w:proofErr w:type="spellStart"/>
      <w:r w:rsidR="000F0210">
        <w:rPr>
          <w:rFonts w:ascii="Arial" w:hAnsi="Arial" w:cs="Arial"/>
        </w:rPr>
        <w:t>Benchbook</w:t>
      </w:r>
      <w:proofErr w:type="spellEnd"/>
      <w:r w:rsidR="00196333">
        <w:rPr>
          <w:rFonts w:ascii="Arial" w:hAnsi="Arial" w:cs="Arial"/>
        </w:rPr>
        <w:t xml:space="preserve"> (</w:t>
      </w:r>
      <w:r w:rsidR="00655634">
        <w:rPr>
          <w:rFonts w:ascii="Arial" w:hAnsi="Arial" w:cs="Arial"/>
        </w:rPr>
        <w:t>explaining</w:t>
      </w:r>
      <w:r w:rsidR="00196333">
        <w:rPr>
          <w:rFonts w:ascii="Arial" w:hAnsi="Arial" w:cs="Arial"/>
        </w:rPr>
        <w:t xml:space="preserve"> foundational requirement that the</w:t>
      </w:r>
      <w:r w:rsidR="00B07B2E">
        <w:rPr>
          <w:rFonts w:ascii="Arial" w:hAnsi="Arial" w:cs="Arial"/>
        </w:rPr>
        <w:t xml:space="preserve"> defendant’s</w:t>
      </w:r>
      <w:r w:rsidR="00196333">
        <w:rPr>
          <w:rFonts w:ascii="Arial" w:hAnsi="Arial" w:cs="Arial"/>
        </w:rPr>
        <w:t xml:space="preserve"> prior silence </w:t>
      </w:r>
      <w:r w:rsidR="00723735">
        <w:rPr>
          <w:rFonts w:ascii="Arial" w:hAnsi="Arial" w:cs="Arial"/>
        </w:rPr>
        <w:t xml:space="preserve">must </w:t>
      </w:r>
      <w:r w:rsidR="00196333">
        <w:rPr>
          <w:rFonts w:ascii="Arial" w:hAnsi="Arial" w:cs="Arial"/>
        </w:rPr>
        <w:t>amount to an inconsistent statement in order to be introduced as impeachment evidence)</w:t>
      </w:r>
      <w:r w:rsidRPr="00641284">
        <w:rPr>
          <w:rFonts w:ascii="Arial" w:hAnsi="Arial" w:cs="Arial"/>
        </w:rPr>
        <w:t xml:space="preserve">. </w:t>
      </w:r>
      <w:r w:rsidR="006D3081">
        <w:rPr>
          <w:rFonts w:ascii="Arial" w:hAnsi="Arial" w:cs="Arial"/>
        </w:rPr>
        <w:t xml:space="preserve">So long as a prosecutor does not express </w:t>
      </w:r>
      <w:proofErr w:type="gramStart"/>
      <w:r w:rsidR="006D3081">
        <w:rPr>
          <w:rFonts w:ascii="Arial" w:hAnsi="Arial" w:cs="Arial"/>
        </w:rPr>
        <w:t>a personal opinion</w:t>
      </w:r>
      <w:proofErr w:type="gramEnd"/>
      <w:r w:rsidR="006D3081">
        <w:rPr>
          <w:rFonts w:ascii="Arial" w:hAnsi="Arial" w:cs="Arial"/>
        </w:rPr>
        <w:t>, i</w:t>
      </w:r>
      <w:r w:rsidR="000F0210">
        <w:rPr>
          <w:rFonts w:ascii="Arial" w:hAnsi="Arial" w:cs="Arial"/>
        </w:rPr>
        <w:t xml:space="preserve">t is permissible </w:t>
      </w:r>
      <w:r w:rsidR="006D3081">
        <w:rPr>
          <w:rFonts w:ascii="Arial" w:hAnsi="Arial" w:cs="Arial"/>
        </w:rPr>
        <w:t xml:space="preserve">to </w:t>
      </w:r>
      <w:r w:rsidR="001B156D">
        <w:rPr>
          <w:rFonts w:ascii="Arial" w:hAnsi="Arial" w:cs="Arial"/>
        </w:rPr>
        <w:t xml:space="preserve">make an argument attacking a defendant’s credibility </w:t>
      </w:r>
      <w:r w:rsidR="000B6E5C">
        <w:rPr>
          <w:rFonts w:ascii="Arial" w:hAnsi="Arial" w:cs="Arial"/>
        </w:rPr>
        <w:t>by referencing</w:t>
      </w:r>
      <w:r w:rsidR="006D3081">
        <w:rPr>
          <w:rFonts w:ascii="Arial" w:hAnsi="Arial" w:cs="Arial"/>
        </w:rPr>
        <w:t xml:space="preserve"> </w:t>
      </w:r>
      <w:r w:rsidR="000B6E5C">
        <w:rPr>
          <w:rFonts w:ascii="Arial" w:hAnsi="Arial" w:cs="Arial"/>
        </w:rPr>
        <w:t xml:space="preserve">such </w:t>
      </w:r>
      <w:r w:rsidR="00723735">
        <w:rPr>
          <w:rFonts w:ascii="Arial" w:hAnsi="Arial" w:cs="Arial"/>
        </w:rPr>
        <w:t xml:space="preserve">impeachment </w:t>
      </w:r>
      <w:r w:rsidR="001B156D">
        <w:rPr>
          <w:rFonts w:ascii="Arial" w:hAnsi="Arial" w:cs="Arial"/>
        </w:rPr>
        <w:t>evidence of</w:t>
      </w:r>
      <w:r w:rsidR="00723735">
        <w:rPr>
          <w:rFonts w:ascii="Arial" w:hAnsi="Arial" w:cs="Arial"/>
        </w:rPr>
        <w:t xml:space="preserve"> pretrial </w:t>
      </w:r>
      <w:r w:rsidR="006D3081">
        <w:rPr>
          <w:rFonts w:ascii="Arial" w:hAnsi="Arial" w:cs="Arial"/>
        </w:rPr>
        <w:t>silence</w:t>
      </w:r>
      <w:r w:rsidR="00723735">
        <w:rPr>
          <w:rFonts w:ascii="Arial" w:hAnsi="Arial" w:cs="Arial"/>
        </w:rPr>
        <w:t xml:space="preserve"> amounting to a prior inconsistent statement</w:t>
      </w:r>
      <w:r w:rsidR="006D3081">
        <w:rPr>
          <w:rFonts w:ascii="Arial" w:hAnsi="Arial" w:cs="Arial"/>
        </w:rPr>
        <w:t xml:space="preserve"> </w:t>
      </w:r>
      <w:r w:rsidR="000B6E5C">
        <w:rPr>
          <w:rFonts w:ascii="Arial" w:hAnsi="Arial" w:cs="Arial"/>
        </w:rPr>
        <w:t xml:space="preserve">when it </w:t>
      </w:r>
      <w:r w:rsidR="001B156D">
        <w:rPr>
          <w:rFonts w:ascii="Arial" w:hAnsi="Arial" w:cs="Arial"/>
        </w:rPr>
        <w:t>has been introduced</w:t>
      </w:r>
      <w:r w:rsidR="006D3081">
        <w:rPr>
          <w:rFonts w:ascii="Arial" w:hAnsi="Arial" w:cs="Arial"/>
        </w:rPr>
        <w:t>.</w:t>
      </w:r>
      <w:r w:rsidR="00655634">
        <w:rPr>
          <w:rFonts w:ascii="Arial" w:hAnsi="Arial" w:cs="Arial"/>
        </w:rPr>
        <w:t xml:space="preserve"> State v. </w:t>
      </w:r>
      <w:r w:rsidR="00EB0414">
        <w:rPr>
          <w:rFonts w:ascii="Arial" w:hAnsi="Arial" w:cs="Arial"/>
        </w:rPr>
        <w:t>Buckner, 342 N.C. 198, 223 (1995) (</w:t>
      </w:r>
      <w:r w:rsidR="001F4DC7">
        <w:rPr>
          <w:rFonts w:ascii="Arial" w:hAnsi="Arial" w:cs="Arial"/>
        </w:rPr>
        <w:t>prosecutor properly made such an argument</w:t>
      </w:r>
      <w:r w:rsidR="00EB0414">
        <w:rPr>
          <w:rFonts w:ascii="Arial" w:hAnsi="Arial" w:cs="Arial"/>
        </w:rPr>
        <w:t>).</w:t>
      </w:r>
    </w:p>
    <w:p w14:paraId="0988BE41" w14:textId="77777777" w:rsidR="005C36DE" w:rsidRPr="00641284" w:rsidRDefault="005C36DE" w:rsidP="00DB30BF">
      <w:pPr>
        <w:pStyle w:val="ListParagraph"/>
        <w:tabs>
          <w:tab w:val="left" w:pos="720"/>
        </w:tabs>
        <w:spacing w:after="0" w:line="240" w:lineRule="auto"/>
        <w:ind w:hanging="360"/>
        <w:rPr>
          <w:rFonts w:ascii="Arial" w:hAnsi="Arial" w:cs="Arial"/>
        </w:rPr>
      </w:pPr>
    </w:p>
    <w:p w14:paraId="7601353C" w14:textId="65D1CB13" w:rsidR="00E63175" w:rsidRDefault="007B6333" w:rsidP="00DB30BF">
      <w:pPr>
        <w:pStyle w:val="ListParagraph"/>
        <w:numPr>
          <w:ilvl w:val="0"/>
          <w:numId w:val="4"/>
        </w:numPr>
        <w:spacing w:after="0" w:line="240" w:lineRule="auto"/>
        <w:rPr>
          <w:rFonts w:ascii="Arial" w:hAnsi="Arial" w:cs="Arial"/>
        </w:rPr>
      </w:pPr>
      <w:bookmarkStart w:id="25" w:name="_Toc402880159"/>
      <w:bookmarkStart w:id="26" w:name="_Toc402880717"/>
      <w:bookmarkStart w:id="27" w:name="_Toc163125206"/>
      <w:r w:rsidRPr="00A002E8">
        <w:rPr>
          <w:rStyle w:val="Heading2Char"/>
        </w:rPr>
        <w:t>Comment on the Defendant’s Failure to Present Evidence</w:t>
      </w:r>
      <w:bookmarkEnd w:id="25"/>
      <w:bookmarkEnd w:id="26"/>
      <w:bookmarkEnd w:id="27"/>
      <w:r w:rsidRPr="00641284">
        <w:rPr>
          <w:rFonts w:ascii="Arial" w:hAnsi="Arial" w:cs="Arial"/>
          <w:b/>
          <w:bCs/>
        </w:rPr>
        <w:t>.</w:t>
      </w:r>
      <w:r w:rsidRPr="00641284">
        <w:rPr>
          <w:rFonts w:ascii="Arial" w:hAnsi="Arial" w:cs="Arial"/>
        </w:rPr>
        <w:t xml:space="preserve"> As discussed in Section </w:t>
      </w:r>
      <w:r w:rsidR="00723735">
        <w:rPr>
          <w:rFonts w:ascii="Arial" w:hAnsi="Arial" w:cs="Arial"/>
        </w:rPr>
        <w:t>V</w:t>
      </w:r>
      <w:r w:rsidRPr="00641284">
        <w:rPr>
          <w:rFonts w:ascii="Arial" w:hAnsi="Arial" w:cs="Arial"/>
        </w:rPr>
        <w:t xml:space="preserve">.B.7 below, a prosecutor may not comment on a defendant’s failure to testify and, as discussed in Section </w:t>
      </w:r>
      <w:r w:rsidR="00723735">
        <w:rPr>
          <w:rFonts w:ascii="Arial" w:hAnsi="Arial" w:cs="Arial"/>
        </w:rPr>
        <w:t>V</w:t>
      </w:r>
      <w:r w:rsidRPr="00641284">
        <w:rPr>
          <w:rFonts w:ascii="Arial" w:hAnsi="Arial" w:cs="Arial"/>
        </w:rPr>
        <w:t xml:space="preserve">.B.8 below, the prosecutor may not use a defendant’s failure to call a spouse as a witness against the defendant. A prosecutor may, however, comment on the defendant’s failure to put on </w:t>
      </w:r>
      <w:r w:rsidRPr="00641284">
        <w:rPr>
          <w:rFonts w:ascii="Arial" w:hAnsi="Arial" w:cs="Arial"/>
        </w:rPr>
        <w:lastRenderedPageBreak/>
        <w:t xml:space="preserve">evidence. </w:t>
      </w:r>
      <w:r w:rsidRPr="00641284">
        <w:rPr>
          <w:rFonts w:ascii="Arial" w:hAnsi="Arial" w:cs="Arial"/>
          <w:i/>
          <w:iCs/>
        </w:rPr>
        <w:t xml:space="preserve">See, e.g., </w:t>
      </w:r>
      <w:r w:rsidRPr="00641284">
        <w:rPr>
          <w:rFonts w:ascii="Arial" w:hAnsi="Arial" w:cs="Arial"/>
        </w:rPr>
        <w:t>State v. Phillips, 365 N.C. 103, 138 (2011) (“[t]he State is free to point out the failure of the defendant [ ] to produce available witnesses” and “[t]he prosecution may argue that a defendant failed to produce a witness or other evidence to refute the State's case”; in this case, the prosecutor</w:t>
      </w:r>
      <w:r w:rsidR="000B6E5C">
        <w:rPr>
          <w:rFonts w:ascii="Arial" w:hAnsi="Arial" w:cs="Arial"/>
        </w:rPr>
        <w:t>’s argument</w:t>
      </w:r>
      <w:r w:rsidRPr="00641284">
        <w:rPr>
          <w:rFonts w:ascii="Arial" w:hAnsi="Arial" w:cs="Arial"/>
        </w:rPr>
        <w:t xml:space="preserve"> </w:t>
      </w:r>
      <w:r w:rsidR="000B6E5C">
        <w:rPr>
          <w:rFonts w:ascii="Arial" w:hAnsi="Arial" w:cs="Arial"/>
        </w:rPr>
        <w:t>properly</w:t>
      </w:r>
      <w:r w:rsidRPr="00641284">
        <w:rPr>
          <w:rFonts w:ascii="Arial" w:hAnsi="Arial" w:cs="Arial"/>
        </w:rPr>
        <w:t xml:space="preserve"> </w:t>
      </w:r>
      <w:r w:rsidR="000B6E5C">
        <w:rPr>
          <w:rFonts w:ascii="Arial" w:hAnsi="Arial" w:cs="Arial"/>
        </w:rPr>
        <w:t>“</w:t>
      </w:r>
      <w:r w:rsidRPr="00641284">
        <w:rPr>
          <w:rFonts w:ascii="Arial" w:hAnsi="Arial" w:cs="Arial"/>
        </w:rPr>
        <w:t xml:space="preserve">pointed out that a witness was available who could have corroborated </w:t>
      </w:r>
      <w:r w:rsidR="000B6E5C">
        <w:rPr>
          <w:rFonts w:ascii="Arial" w:hAnsi="Arial" w:cs="Arial"/>
        </w:rPr>
        <w:t>[</w:t>
      </w:r>
      <w:r w:rsidRPr="00641284">
        <w:rPr>
          <w:rFonts w:ascii="Arial" w:hAnsi="Arial" w:cs="Arial"/>
        </w:rPr>
        <w:t>the</w:t>
      </w:r>
      <w:r w:rsidR="000B6E5C">
        <w:rPr>
          <w:rFonts w:ascii="Arial" w:hAnsi="Arial" w:cs="Arial"/>
        </w:rPr>
        <w:t>]</w:t>
      </w:r>
      <w:r w:rsidRPr="00641284">
        <w:rPr>
          <w:rFonts w:ascii="Arial" w:hAnsi="Arial" w:cs="Arial"/>
        </w:rPr>
        <w:t xml:space="preserve"> defendant's defense, if that defense were valid</w:t>
      </w:r>
      <w:r w:rsidR="000B6E5C">
        <w:rPr>
          <w:rFonts w:ascii="Arial" w:hAnsi="Arial" w:cs="Arial"/>
        </w:rPr>
        <w:t>”</w:t>
      </w:r>
      <w:r w:rsidRPr="00641284">
        <w:rPr>
          <w:rFonts w:ascii="Arial" w:hAnsi="Arial" w:cs="Arial"/>
        </w:rPr>
        <w:t xml:space="preserve"> (citation omitted)); State v. Griffin, 308 N.C. 303, 314 (1983) (prosecutor properly pointed out that aspects of the State’s case had not been contradicted); State v. Jordan, 305 N.C. 274, 279-80 (1982) (it was proper for the prosecutor to comment on the defendant’s failure to produce an alibi witness).</w:t>
      </w:r>
    </w:p>
    <w:p w14:paraId="5DF77CA2" w14:textId="362D3C79" w:rsidR="007B6333" w:rsidRDefault="00986937" w:rsidP="00DB30BF">
      <w:pPr>
        <w:pStyle w:val="ListParagraph"/>
        <w:spacing w:after="0" w:line="240" w:lineRule="auto"/>
        <w:ind w:left="1440" w:firstLine="720"/>
        <w:rPr>
          <w:rFonts w:ascii="Arial" w:hAnsi="Arial" w:cs="Arial"/>
        </w:rPr>
      </w:pPr>
      <w:r>
        <w:rPr>
          <w:rFonts w:ascii="Arial" w:hAnsi="Arial" w:cs="Arial"/>
        </w:rPr>
        <w:t xml:space="preserve">When </w:t>
      </w:r>
      <w:proofErr w:type="gramStart"/>
      <w:r>
        <w:rPr>
          <w:rFonts w:ascii="Arial" w:hAnsi="Arial" w:cs="Arial"/>
        </w:rPr>
        <w:t>a defendant forecasts evidence</w:t>
      </w:r>
      <w:proofErr w:type="gramEnd"/>
      <w:r>
        <w:rPr>
          <w:rFonts w:ascii="Arial" w:hAnsi="Arial" w:cs="Arial"/>
        </w:rPr>
        <w:t xml:space="preserve"> in his or her opening statement, it is not improper for a prosecutor in closing argument to comment upon </w:t>
      </w:r>
      <w:r w:rsidR="004E09F9">
        <w:rPr>
          <w:rFonts w:ascii="Arial" w:hAnsi="Arial" w:cs="Arial"/>
        </w:rPr>
        <w:t>the defendant’s</w:t>
      </w:r>
      <w:r>
        <w:rPr>
          <w:rFonts w:ascii="Arial" w:hAnsi="Arial" w:cs="Arial"/>
        </w:rPr>
        <w:t xml:space="preserve"> </w:t>
      </w:r>
      <w:r w:rsidR="004E09F9">
        <w:rPr>
          <w:rFonts w:ascii="Arial" w:hAnsi="Arial" w:cs="Arial"/>
        </w:rPr>
        <w:t>failure to introduce</w:t>
      </w:r>
      <w:r>
        <w:rPr>
          <w:rFonts w:ascii="Arial" w:hAnsi="Arial" w:cs="Arial"/>
        </w:rPr>
        <w:t xml:space="preserve"> evidence to support the</w:t>
      </w:r>
      <w:r w:rsidR="004E09F9">
        <w:rPr>
          <w:rFonts w:ascii="Arial" w:hAnsi="Arial" w:cs="Arial"/>
        </w:rPr>
        <w:t xml:space="preserve"> </w:t>
      </w:r>
      <w:r>
        <w:rPr>
          <w:rFonts w:ascii="Arial" w:hAnsi="Arial" w:cs="Arial"/>
        </w:rPr>
        <w:t>forecast</w:t>
      </w:r>
      <w:r w:rsidR="00B6143D">
        <w:rPr>
          <w:rFonts w:ascii="Arial" w:hAnsi="Arial" w:cs="Arial"/>
        </w:rPr>
        <w:t>, provided the comment does not implicate the defendant’s choice not to testify</w:t>
      </w:r>
      <w:r>
        <w:rPr>
          <w:rFonts w:ascii="Arial" w:hAnsi="Arial" w:cs="Arial"/>
        </w:rPr>
        <w:t>. State v. Harris, 338 N.C. 211, 229 (1994)</w:t>
      </w:r>
      <w:r w:rsidR="00A110F2">
        <w:rPr>
          <w:rFonts w:ascii="Arial" w:hAnsi="Arial" w:cs="Arial"/>
        </w:rPr>
        <w:t xml:space="preserve"> (noting that this is permissible even where the forecasted evidence was not introduced because it was ruled inadmissible)</w:t>
      </w:r>
      <w:r w:rsidR="00B63A8E">
        <w:rPr>
          <w:rFonts w:ascii="Arial" w:hAnsi="Arial" w:cs="Arial"/>
        </w:rPr>
        <w:t xml:space="preserve">; </w:t>
      </w:r>
      <w:r w:rsidR="00B63A8E">
        <w:rPr>
          <w:rFonts w:ascii="Arial" w:hAnsi="Arial" w:cs="Arial"/>
          <w:i/>
          <w:iCs/>
        </w:rPr>
        <w:t xml:space="preserve">see also </w:t>
      </w:r>
      <w:r w:rsidR="00B63A8E">
        <w:rPr>
          <w:rFonts w:ascii="Arial" w:hAnsi="Arial" w:cs="Arial"/>
        </w:rPr>
        <w:t xml:space="preserve">State v. Owens, 287 N.C. App. 513, 517 (2023) (suggesting that a defendant may do the same when </w:t>
      </w:r>
      <w:proofErr w:type="gramStart"/>
      <w:r w:rsidR="00B63A8E">
        <w:rPr>
          <w:rFonts w:ascii="Arial" w:hAnsi="Arial" w:cs="Arial"/>
        </w:rPr>
        <w:t>a prosecutor forecasts evidence</w:t>
      </w:r>
      <w:proofErr w:type="gramEnd"/>
      <w:r w:rsidR="00B63A8E">
        <w:rPr>
          <w:rFonts w:ascii="Arial" w:hAnsi="Arial" w:cs="Arial"/>
        </w:rPr>
        <w:t xml:space="preserve"> in opening </w:t>
      </w:r>
      <w:r w:rsidR="00FD5AA5">
        <w:rPr>
          <w:rFonts w:ascii="Arial" w:hAnsi="Arial" w:cs="Arial"/>
        </w:rPr>
        <w:t>argument</w:t>
      </w:r>
      <w:r w:rsidR="000E72BA">
        <w:rPr>
          <w:rFonts w:ascii="Arial" w:hAnsi="Arial" w:cs="Arial"/>
        </w:rPr>
        <w:t xml:space="preserve"> </w:t>
      </w:r>
      <w:r w:rsidR="00FD5AA5">
        <w:rPr>
          <w:rFonts w:ascii="Arial" w:hAnsi="Arial" w:cs="Arial"/>
        </w:rPr>
        <w:t>and</w:t>
      </w:r>
      <w:r w:rsidR="000E72BA">
        <w:rPr>
          <w:rFonts w:ascii="Arial" w:hAnsi="Arial" w:cs="Arial"/>
        </w:rPr>
        <w:t xml:space="preserve"> thereafter fails to introduce</w:t>
      </w:r>
      <w:r w:rsidR="00FD5AA5">
        <w:rPr>
          <w:rFonts w:ascii="Arial" w:hAnsi="Arial" w:cs="Arial"/>
        </w:rPr>
        <w:t xml:space="preserve"> it</w:t>
      </w:r>
      <w:r w:rsidR="00B63A8E">
        <w:rPr>
          <w:rFonts w:ascii="Arial" w:hAnsi="Arial" w:cs="Arial"/>
        </w:rPr>
        <w:t>)</w:t>
      </w:r>
      <w:r>
        <w:rPr>
          <w:rFonts w:ascii="Arial" w:hAnsi="Arial" w:cs="Arial"/>
        </w:rPr>
        <w:t>.</w:t>
      </w:r>
    </w:p>
    <w:p w14:paraId="7A753574" w14:textId="77777777" w:rsidR="005C36DE" w:rsidRPr="00641284" w:rsidRDefault="005C36DE" w:rsidP="00DB30BF">
      <w:pPr>
        <w:pStyle w:val="ListParagraph"/>
        <w:spacing w:after="0" w:line="240" w:lineRule="auto"/>
        <w:ind w:hanging="360"/>
        <w:rPr>
          <w:rFonts w:ascii="Arial" w:hAnsi="Arial" w:cs="Arial"/>
        </w:rPr>
      </w:pPr>
    </w:p>
    <w:p w14:paraId="7D90A4D7" w14:textId="77777777" w:rsidR="007B6333" w:rsidRPr="00641284" w:rsidRDefault="007B6333" w:rsidP="00DB30BF">
      <w:pPr>
        <w:pStyle w:val="ListParagraph"/>
        <w:numPr>
          <w:ilvl w:val="0"/>
          <w:numId w:val="4"/>
        </w:numPr>
        <w:spacing w:after="0" w:line="240" w:lineRule="auto"/>
        <w:rPr>
          <w:rFonts w:ascii="Arial" w:hAnsi="Arial" w:cs="Arial"/>
        </w:rPr>
      </w:pPr>
      <w:bookmarkStart w:id="28" w:name="_Toc402880160"/>
      <w:bookmarkStart w:id="29" w:name="_Toc402880718"/>
      <w:bookmarkStart w:id="30" w:name="_Toc163125207"/>
      <w:r w:rsidRPr="00A002E8">
        <w:rPr>
          <w:rStyle w:val="Heading2Char"/>
        </w:rPr>
        <w:t>Role of Jury</w:t>
      </w:r>
      <w:bookmarkEnd w:id="28"/>
      <w:bookmarkEnd w:id="29"/>
      <w:bookmarkEnd w:id="30"/>
      <w:r w:rsidRPr="00641284">
        <w:rPr>
          <w:rFonts w:ascii="Arial" w:hAnsi="Arial" w:cs="Arial"/>
          <w:b/>
          <w:bCs/>
        </w:rPr>
        <w:t>.</w:t>
      </w:r>
      <w:r w:rsidRPr="00641284">
        <w:rPr>
          <w:rFonts w:ascii="Arial" w:hAnsi="Arial" w:cs="Arial"/>
        </w:rPr>
        <w:t xml:space="preserve"> </w:t>
      </w:r>
    </w:p>
    <w:p w14:paraId="3110B621" w14:textId="119B5A27" w:rsidR="007B6333" w:rsidRPr="00641284" w:rsidRDefault="007B6333" w:rsidP="00DB30BF">
      <w:pPr>
        <w:pStyle w:val="ListParagraph"/>
        <w:numPr>
          <w:ilvl w:val="0"/>
          <w:numId w:val="14"/>
        </w:numPr>
        <w:spacing w:after="0" w:line="240" w:lineRule="auto"/>
        <w:rPr>
          <w:rFonts w:ascii="Arial" w:hAnsi="Arial" w:cs="Arial"/>
        </w:rPr>
      </w:pPr>
      <w:r w:rsidRPr="00641284">
        <w:rPr>
          <w:rFonts w:ascii="Arial" w:hAnsi="Arial" w:cs="Arial"/>
          <w:b/>
          <w:bCs/>
        </w:rPr>
        <w:t>Voice and Conscience of the Community.</w:t>
      </w:r>
      <w:r w:rsidRPr="00641284">
        <w:rPr>
          <w:rFonts w:ascii="Arial" w:hAnsi="Arial" w:cs="Arial"/>
        </w:rPr>
        <w:t xml:space="preserve"> Although a prosecutor may not argue to the jury that it should lend an ear to the community or decide a case based on community sentiment, see Section </w:t>
      </w:r>
      <w:r w:rsidR="00E63175">
        <w:rPr>
          <w:rFonts w:ascii="Arial" w:hAnsi="Arial" w:cs="Arial"/>
        </w:rPr>
        <w:t>V</w:t>
      </w:r>
      <w:r w:rsidRPr="00641284">
        <w:rPr>
          <w:rFonts w:ascii="Arial" w:hAnsi="Arial" w:cs="Arial"/>
        </w:rPr>
        <w:t xml:space="preserve">.B.22.a below, the State may argue that a jury is “the voice and conscience” of the community. </w:t>
      </w:r>
      <w:r w:rsidRPr="00641284">
        <w:rPr>
          <w:rFonts w:ascii="Arial" w:hAnsi="Arial" w:cs="Arial"/>
          <w:i/>
          <w:iCs/>
        </w:rPr>
        <w:t xml:space="preserve">See, e.g., </w:t>
      </w:r>
      <w:r w:rsidRPr="00641284">
        <w:rPr>
          <w:rFonts w:ascii="Arial" w:hAnsi="Arial" w:cs="Arial"/>
        </w:rPr>
        <w:t>State v. Barden, 356 N.C. 316, 367 (2002) (such an argument was proper); State v. Fletcher, 354 N.C. 455, 484 (2001) (same)</w:t>
      </w:r>
      <w:r w:rsidR="003E362C">
        <w:rPr>
          <w:rFonts w:ascii="Arial" w:hAnsi="Arial" w:cs="Arial"/>
        </w:rPr>
        <w:t>; State v. Shelton, 263 N.C. App. 681, 696 (2019) (same)</w:t>
      </w:r>
      <w:r w:rsidRPr="00641284">
        <w:rPr>
          <w:rFonts w:ascii="Arial" w:hAnsi="Arial" w:cs="Arial"/>
        </w:rPr>
        <w:t xml:space="preserve">. As the courts have explained, “the jury may speak for the community, but the community cannot speak to the jury.” </w:t>
      </w:r>
      <w:r w:rsidRPr="00641284">
        <w:rPr>
          <w:rFonts w:ascii="Arial" w:hAnsi="Arial" w:cs="Arial"/>
          <w:i/>
          <w:iCs/>
        </w:rPr>
        <w:t>Barden</w:t>
      </w:r>
      <w:r w:rsidRPr="00641284">
        <w:rPr>
          <w:rFonts w:ascii="Arial" w:hAnsi="Arial" w:cs="Arial"/>
        </w:rPr>
        <w:t>, 356 N.C. at 367</w:t>
      </w:r>
      <w:r w:rsidR="004E09F9">
        <w:rPr>
          <w:rFonts w:ascii="Arial" w:hAnsi="Arial" w:cs="Arial"/>
        </w:rPr>
        <w:t xml:space="preserve">; State v. </w:t>
      </w:r>
      <w:proofErr w:type="spellStart"/>
      <w:r w:rsidR="004E09F9">
        <w:rPr>
          <w:rFonts w:ascii="Arial" w:hAnsi="Arial" w:cs="Arial"/>
        </w:rPr>
        <w:t>Wardrett</w:t>
      </w:r>
      <w:proofErr w:type="spellEnd"/>
      <w:r w:rsidR="004E09F9">
        <w:rPr>
          <w:rFonts w:ascii="Arial" w:hAnsi="Arial" w:cs="Arial"/>
        </w:rPr>
        <w:t xml:space="preserve">, 261 N.C. App. 735, 745-46 (2018) (citing </w:t>
      </w:r>
      <w:r w:rsidR="004E09F9">
        <w:rPr>
          <w:rFonts w:ascii="Arial" w:hAnsi="Arial" w:cs="Arial"/>
          <w:i/>
          <w:iCs/>
        </w:rPr>
        <w:t>Barden</w:t>
      </w:r>
      <w:r w:rsidR="004E09F9">
        <w:rPr>
          <w:rFonts w:ascii="Arial" w:hAnsi="Arial" w:cs="Arial"/>
        </w:rPr>
        <w:t xml:space="preserve"> favorably to conclude that prosecutor properly argued that community deserved justice and did not improperly advocate for a result based on the community’s demands)</w:t>
      </w:r>
      <w:r w:rsidRPr="00641284">
        <w:rPr>
          <w:rFonts w:ascii="Arial" w:hAnsi="Arial" w:cs="Arial"/>
        </w:rPr>
        <w:t>.</w:t>
      </w:r>
    </w:p>
    <w:p w14:paraId="6927EAB9" w14:textId="6410BD5A" w:rsidR="007B6333" w:rsidRPr="00641284" w:rsidRDefault="007B6333" w:rsidP="00DB30BF">
      <w:pPr>
        <w:pStyle w:val="ListParagraph"/>
        <w:numPr>
          <w:ilvl w:val="0"/>
          <w:numId w:val="14"/>
        </w:numPr>
        <w:spacing w:after="0" w:line="240" w:lineRule="auto"/>
        <w:rPr>
          <w:rFonts w:ascii="Arial" w:hAnsi="Arial" w:cs="Arial"/>
        </w:rPr>
      </w:pPr>
      <w:r w:rsidRPr="00641284">
        <w:rPr>
          <w:rFonts w:ascii="Arial" w:hAnsi="Arial" w:cs="Arial"/>
          <w:b/>
          <w:bCs/>
        </w:rPr>
        <w:t>“Send a Message” to the Community.</w:t>
      </w:r>
      <w:r w:rsidRPr="00641284">
        <w:rPr>
          <w:rFonts w:ascii="Arial" w:hAnsi="Arial" w:cs="Arial"/>
        </w:rPr>
        <w:t xml:space="preserve"> It is not improper for the prosecutor to argue that by its verdict the jury will “send a message” to the community. </w:t>
      </w:r>
      <w:r w:rsidRPr="00641284">
        <w:rPr>
          <w:rFonts w:ascii="Arial" w:hAnsi="Arial" w:cs="Arial"/>
          <w:i/>
          <w:iCs/>
        </w:rPr>
        <w:t xml:space="preserve">See, e.g., Barden, </w:t>
      </w:r>
      <w:r w:rsidRPr="00641284">
        <w:rPr>
          <w:rFonts w:ascii="Arial" w:hAnsi="Arial" w:cs="Arial"/>
        </w:rPr>
        <w:t>356 N.C. at 367; State v. Nicholson, 355 N.C. 1, 43-44 (2002)</w:t>
      </w:r>
      <w:r w:rsidR="00446D0A">
        <w:rPr>
          <w:rFonts w:ascii="Arial" w:hAnsi="Arial" w:cs="Arial"/>
        </w:rPr>
        <w:t xml:space="preserve">; </w:t>
      </w:r>
      <w:r w:rsidR="00446D0A">
        <w:rPr>
          <w:rFonts w:ascii="Arial" w:hAnsi="Arial" w:cs="Arial"/>
          <w:i/>
          <w:iCs/>
        </w:rPr>
        <w:t>Shelton</w:t>
      </w:r>
      <w:r w:rsidR="00446D0A">
        <w:rPr>
          <w:rFonts w:ascii="Arial" w:hAnsi="Arial" w:cs="Arial"/>
        </w:rPr>
        <w:t>, 263 N.C. App. at 696</w:t>
      </w:r>
      <w:r w:rsidRPr="00641284">
        <w:rPr>
          <w:rFonts w:ascii="Arial" w:hAnsi="Arial" w:cs="Arial"/>
        </w:rPr>
        <w:t xml:space="preserve">. </w:t>
      </w:r>
    </w:p>
    <w:p w14:paraId="3B64BA23" w14:textId="662D0028" w:rsidR="007B6333" w:rsidRPr="00641284" w:rsidRDefault="007B6333" w:rsidP="00DB30BF">
      <w:pPr>
        <w:pStyle w:val="ListParagraph"/>
        <w:numPr>
          <w:ilvl w:val="0"/>
          <w:numId w:val="14"/>
        </w:numPr>
        <w:spacing w:after="0" w:line="240" w:lineRule="auto"/>
        <w:rPr>
          <w:rFonts w:ascii="Arial" w:hAnsi="Arial" w:cs="Arial"/>
        </w:rPr>
      </w:pPr>
      <w:r w:rsidRPr="00641284">
        <w:rPr>
          <w:rFonts w:ascii="Arial" w:hAnsi="Arial" w:cs="Arial"/>
          <w:b/>
          <w:bCs/>
        </w:rPr>
        <w:t>“Buck Stops Here.”</w:t>
      </w:r>
      <w:r w:rsidRPr="00641284">
        <w:rPr>
          <w:rFonts w:ascii="Arial" w:hAnsi="Arial" w:cs="Arial"/>
        </w:rPr>
        <w:t xml:space="preserve"> Prosecutors are allowed to outline the function of the various participants in a trial and such an argument may include statements concerning the vital importance of jurors to the system of justice and an admonition that the “buck stops here.” State v. Prevatte, 356 N.C. 178, 242-43 (2002); State v. Scott, 314 N.C. 309, 311-12 (1985) (statement “correctly informed the jury that for purposes of the defendant's trial, the jury had become the representatives of the community”); State v. Brown, 320 N.C. 179, 204 (1987) (citing </w:t>
      </w:r>
      <w:r w:rsidRPr="00641284">
        <w:rPr>
          <w:rFonts w:ascii="Arial" w:hAnsi="Arial" w:cs="Arial"/>
          <w:i/>
          <w:iCs/>
        </w:rPr>
        <w:t>Scott</w:t>
      </w:r>
      <w:r w:rsidRPr="00641284">
        <w:rPr>
          <w:rFonts w:ascii="Arial" w:hAnsi="Arial" w:cs="Arial"/>
        </w:rPr>
        <w:t xml:space="preserve">). </w:t>
      </w:r>
    </w:p>
    <w:p w14:paraId="22459F04" w14:textId="77777777" w:rsidR="005C36DE" w:rsidRDefault="007B6333" w:rsidP="00DB30BF">
      <w:pPr>
        <w:pStyle w:val="ListParagraph"/>
        <w:numPr>
          <w:ilvl w:val="0"/>
          <w:numId w:val="14"/>
        </w:numPr>
        <w:spacing w:after="0" w:line="240" w:lineRule="auto"/>
        <w:rPr>
          <w:rFonts w:ascii="Arial" w:hAnsi="Arial" w:cs="Arial"/>
        </w:rPr>
      </w:pPr>
      <w:r w:rsidRPr="00641284">
        <w:rPr>
          <w:rFonts w:ascii="Arial" w:hAnsi="Arial" w:cs="Arial"/>
          <w:b/>
          <w:bCs/>
        </w:rPr>
        <w:t xml:space="preserve">Justice For </w:t>
      </w:r>
      <w:proofErr w:type="gramStart"/>
      <w:r w:rsidRPr="00641284">
        <w:rPr>
          <w:rFonts w:ascii="Arial" w:hAnsi="Arial" w:cs="Arial"/>
          <w:b/>
          <w:bCs/>
        </w:rPr>
        <w:t>The</w:t>
      </w:r>
      <w:proofErr w:type="gramEnd"/>
      <w:r w:rsidRPr="00641284">
        <w:rPr>
          <w:rFonts w:ascii="Arial" w:hAnsi="Arial" w:cs="Arial"/>
          <w:b/>
          <w:bCs/>
        </w:rPr>
        <w:t xml:space="preserve"> Victim. </w:t>
      </w:r>
      <w:r w:rsidRPr="00641284">
        <w:rPr>
          <w:rFonts w:ascii="Arial" w:hAnsi="Arial" w:cs="Arial"/>
        </w:rPr>
        <w:t xml:space="preserve">A prosecutor may argue that the jury should do justice for the victim and the victim’s family, provided that the argument does not address the victim’s family’s opinions about the defendant or the crime. </w:t>
      </w:r>
      <w:r w:rsidRPr="00641284">
        <w:rPr>
          <w:rFonts w:ascii="Arial" w:hAnsi="Arial" w:cs="Arial"/>
          <w:i/>
          <w:iCs/>
        </w:rPr>
        <w:t>Prevatte</w:t>
      </w:r>
      <w:r w:rsidRPr="00641284">
        <w:rPr>
          <w:rFonts w:ascii="Arial" w:hAnsi="Arial" w:cs="Arial"/>
        </w:rPr>
        <w:t>, 356 N.C. at 269.</w:t>
      </w:r>
    </w:p>
    <w:p w14:paraId="28C50A24" w14:textId="77777777" w:rsidR="00DB30BF" w:rsidRPr="00DB30BF" w:rsidRDefault="00DB30BF" w:rsidP="00DB30BF">
      <w:pPr>
        <w:pStyle w:val="ListParagraph"/>
        <w:spacing w:after="0" w:line="240" w:lineRule="auto"/>
        <w:ind w:left="1440"/>
        <w:rPr>
          <w:rStyle w:val="Heading2Char"/>
          <w:b w:val="0"/>
          <w:bCs w:val="0"/>
        </w:rPr>
      </w:pPr>
      <w:bookmarkStart w:id="31" w:name="_Toc402880161"/>
      <w:bookmarkStart w:id="32" w:name="_Toc402880719"/>
    </w:p>
    <w:p w14:paraId="63F22F2C" w14:textId="0994B3DE" w:rsidR="007B6333" w:rsidRPr="005C36DE" w:rsidRDefault="007B6333" w:rsidP="00DB30BF">
      <w:pPr>
        <w:pStyle w:val="ListParagraph"/>
        <w:numPr>
          <w:ilvl w:val="0"/>
          <w:numId w:val="4"/>
        </w:numPr>
        <w:spacing w:after="0" w:line="240" w:lineRule="auto"/>
        <w:rPr>
          <w:rFonts w:ascii="Arial" w:hAnsi="Arial" w:cs="Arial"/>
        </w:rPr>
      </w:pPr>
      <w:bookmarkStart w:id="33" w:name="_Toc163125208"/>
      <w:r w:rsidRPr="00CF4FBE">
        <w:rPr>
          <w:rStyle w:val="Heading2Char"/>
        </w:rPr>
        <w:lastRenderedPageBreak/>
        <w:t>Display or Use of Evidence</w:t>
      </w:r>
      <w:bookmarkEnd w:id="31"/>
      <w:bookmarkEnd w:id="32"/>
      <w:bookmarkEnd w:id="33"/>
      <w:r w:rsidRPr="005C36DE">
        <w:rPr>
          <w:rFonts w:ascii="Arial" w:hAnsi="Arial" w:cs="Arial"/>
          <w:b/>
          <w:bCs/>
        </w:rPr>
        <w:t>.</w:t>
      </w:r>
      <w:r w:rsidRPr="005C36DE">
        <w:rPr>
          <w:rFonts w:ascii="Arial" w:hAnsi="Arial" w:cs="Arial"/>
        </w:rPr>
        <w:t xml:space="preserve"> Items that were introduced in evidence may be used during argument. </w:t>
      </w:r>
      <w:r w:rsidRPr="005C36DE">
        <w:rPr>
          <w:rFonts w:ascii="Arial" w:hAnsi="Arial" w:cs="Arial"/>
          <w:i/>
          <w:iCs/>
        </w:rPr>
        <w:t xml:space="preserve">See, e.g., </w:t>
      </w:r>
      <w:r w:rsidRPr="005C36DE">
        <w:rPr>
          <w:rFonts w:ascii="Arial" w:hAnsi="Arial" w:cs="Arial"/>
        </w:rPr>
        <w:t xml:space="preserve">State v. Billings, 348 N.C. 169, 188 (1998) (in a capital sentencing proceeding the prosecutor properly played an audio tape of a 911 call when the tape was admitted into evidence); State v. Sidden, 347 N.C. 218, 229 (1997) (because photographs of the victims had been introduced into evidence, they could be used in closing argument by either party); State v. Johnson, </w:t>
      </w:r>
      <w:r w:rsidR="00B41043">
        <w:rPr>
          <w:rFonts w:ascii="Arial" w:hAnsi="Arial" w:cs="Arial"/>
        </w:rPr>
        <w:t>214</w:t>
      </w:r>
      <w:r w:rsidRPr="005C36DE">
        <w:rPr>
          <w:rFonts w:ascii="Arial" w:hAnsi="Arial" w:cs="Arial"/>
        </w:rPr>
        <w:t xml:space="preserve"> N.C. App. </w:t>
      </w:r>
      <w:r w:rsidR="00B41043">
        <w:rPr>
          <w:rFonts w:ascii="Arial" w:hAnsi="Arial" w:cs="Arial"/>
        </w:rPr>
        <w:t>436</w:t>
      </w:r>
      <w:r w:rsidRPr="005C36DE">
        <w:rPr>
          <w:rFonts w:ascii="Arial" w:hAnsi="Arial" w:cs="Arial"/>
        </w:rPr>
        <w:t>,</w:t>
      </w:r>
      <w:r w:rsidR="00B41043">
        <w:rPr>
          <w:rFonts w:ascii="Arial" w:hAnsi="Arial" w:cs="Arial"/>
        </w:rPr>
        <w:t xml:space="preserve"> 442-45</w:t>
      </w:r>
      <w:r w:rsidRPr="005C36DE">
        <w:rPr>
          <w:rFonts w:ascii="Arial" w:hAnsi="Arial" w:cs="Arial"/>
        </w:rPr>
        <w:t xml:space="preserve"> (2011) (the trial court did not abuse its discretion by allowing the State to play a video recording during closing arguments when the recording had been admitted into evidence; the fact that the recording was presented in a frame-by-frame manner did not change this result).</w:t>
      </w:r>
    </w:p>
    <w:p w14:paraId="142A4AEE" w14:textId="77777777" w:rsidR="00DB30BF" w:rsidRPr="00DB30BF" w:rsidRDefault="00DB30BF" w:rsidP="00DB30BF">
      <w:pPr>
        <w:pStyle w:val="ListParagraph"/>
        <w:tabs>
          <w:tab w:val="left" w:pos="720"/>
        </w:tabs>
        <w:spacing w:after="0" w:line="240" w:lineRule="auto"/>
        <w:ind w:left="1440"/>
        <w:rPr>
          <w:rStyle w:val="Heading2Char"/>
          <w:b w:val="0"/>
          <w:bCs w:val="0"/>
        </w:rPr>
      </w:pPr>
      <w:bookmarkStart w:id="34" w:name="_Toc402880162"/>
      <w:bookmarkStart w:id="35" w:name="_Toc402880720"/>
    </w:p>
    <w:p w14:paraId="25C78812" w14:textId="2A22CD4A" w:rsidR="004F5954" w:rsidRDefault="007B6333" w:rsidP="00DB30BF">
      <w:pPr>
        <w:pStyle w:val="ListParagraph"/>
        <w:numPr>
          <w:ilvl w:val="0"/>
          <w:numId w:val="4"/>
        </w:numPr>
        <w:tabs>
          <w:tab w:val="left" w:pos="720"/>
        </w:tabs>
        <w:spacing w:after="0" w:line="240" w:lineRule="auto"/>
        <w:rPr>
          <w:rFonts w:ascii="Arial" w:hAnsi="Arial" w:cs="Arial"/>
        </w:rPr>
      </w:pPr>
      <w:bookmarkStart w:id="36" w:name="_Toc163125209"/>
      <w:r w:rsidRPr="00CF4FBE">
        <w:rPr>
          <w:rStyle w:val="Heading2Char"/>
        </w:rPr>
        <w:t>Specific Deterrence</w:t>
      </w:r>
      <w:bookmarkEnd w:id="34"/>
      <w:bookmarkEnd w:id="35"/>
      <w:bookmarkEnd w:id="36"/>
      <w:r w:rsidRPr="00641284">
        <w:rPr>
          <w:rFonts w:ascii="Arial" w:hAnsi="Arial" w:cs="Arial"/>
          <w:b/>
          <w:bCs/>
        </w:rPr>
        <w:t>.</w:t>
      </w:r>
      <w:r w:rsidRPr="00641284">
        <w:rPr>
          <w:rFonts w:ascii="Arial" w:hAnsi="Arial" w:cs="Arial"/>
        </w:rPr>
        <w:t xml:space="preserve"> </w:t>
      </w:r>
      <w:r w:rsidR="004F5954">
        <w:rPr>
          <w:rFonts w:ascii="Arial" w:hAnsi="Arial" w:cs="Arial"/>
        </w:rPr>
        <w:t>Specific deterrence refers to the notion that the jury’s verdict will prevent the defendant from committing crimes in the future, whereas general deterrence refers to the idea that the jury’s verdict will deter other people from committing crimes.</w:t>
      </w:r>
    </w:p>
    <w:p w14:paraId="12AB2FB3" w14:textId="5021CDDC" w:rsidR="005574CD" w:rsidRDefault="004F5954" w:rsidP="00DB30BF">
      <w:pPr>
        <w:pStyle w:val="ListParagraph"/>
        <w:tabs>
          <w:tab w:val="left" w:pos="720"/>
        </w:tabs>
        <w:spacing w:after="0" w:line="240" w:lineRule="auto"/>
        <w:ind w:left="1440"/>
        <w:rPr>
          <w:rFonts w:ascii="Arial" w:hAnsi="Arial" w:cs="Arial"/>
        </w:rPr>
      </w:pPr>
      <w:r>
        <w:rPr>
          <w:rStyle w:val="Heading2Char"/>
        </w:rPr>
        <w:tab/>
      </w:r>
      <w:r w:rsidR="0017006A">
        <w:rPr>
          <w:rFonts w:ascii="Arial" w:hAnsi="Arial" w:cs="Arial"/>
        </w:rPr>
        <w:t>T</w:t>
      </w:r>
      <w:r w:rsidR="007B6333" w:rsidRPr="00641284">
        <w:rPr>
          <w:rFonts w:ascii="Arial" w:hAnsi="Arial" w:cs="Arial"/>
        </w:rPr>
        <w:t>he prosecution may make specific-deterrence arguments</w:t>
      </w:r>
      <w:r w:rsidR="005574CD">
        <w:rPr>
          <w:rFonts w:ascii="Arial" w:hAnsi="Arial" w:cs="Arial"/>
        </w:rPr>
        <w:t xml:space="preserve"> </w:t>
      </w:r>
      <w:r w:rsidR="00AD47DE">
        <w:rPr>
          <w:rFonts w:ascii="Arial" w:hAnsi="Arial" w:cs="Arial"/>
        </w:rPr>
        <w:t>in</w:t>
      </w:r>
      <w:r w:rsidR="005574CD">
        <w:rPr>
          <w:rFonts w:ascii="Arial" w:hAnsi="Arial" w:cs="Arial"/>
        </w:rPr>
        <w:t xml:space="preserve"> the sentencing phase of a</w:t>
      </w:r>
      <w:r w:rsidR="00AD47DE">
        <w:rPr>
          <w:rFonts w:ascii="Arial" w:hAnsi="Arial" w:cs="Arial"/>
        </w:rPr>
        <w:t xml:space="preserve"> capital </w:t>
      </w:r>
      <w:r w:rsidR="005574CD">
        <w:rPr>
          <w:rFonts w:ascii="Arial" w:hAnsi="Arial" w:cs="Arial"/>
        </w:rPr>
        <w:t>trial</w:t>
      </w:r>
      <w:r w:rsidR="007B6333" w:rsidRPr="00641284">
        <w:rPr>
          <w:rFonts w:ascii="Arial" w:hAnsi="Arial" w:cs="Arial"/>
        </w:rPr>
        <w:t>.</w:t>
      </w:r>
      <w:r w:rsidR="00BE12DE">
        <w:rPr>
          <w:rFonts w:ascii="Arial" w:hAnsi="Arial" w:cs="Arial"/>
        </w:rPr>
        <w:t xml:space="preserve"> State v. Zuniga, 320 N.C. 233, 269 (1987) (proper to make such an argument in capital sentencing proceeding);</w:t>
      </w:r>
      <w:r w:rsidR="007B6333" w:rsidRPr="00641284">
        <w:rPr>
          <w:rFonts w:ascii="Arial" w:hAnsi="Arial" w:cs="Arial"/>
        </w:rPr>
        <w:t xml:space="preserve"> State v. Thomas, 350 N.C. 315, 362 (1999)</w:t>
      </w:r>
      <w:r w:rsidR="00BC1E49">
        <w:rPr>
          <w:rFonts w:ascii="Arial" w:hAnsi="Arial" w:cs="Arial"/>
        </w:rPr>
        <w:t xml:space="preserve"> (</w:t>
      </w:r>
      <w:r w:rsidR="005574CD">
        <w:rPr>
          <w:rFonts w:ascii="Arial" w:hAnsi="Arial" w:cs="Arial"/>
        </w:rPr>
        <w:t xml:space="preserve">citing other capital cases and stating in the context of a capital sentencing proceeding: </w:t>
      </w:r>
      <w:r w:rsidR="00BC1E49">
        <w:rPr>
          <w:rFonts w:ascii="Arial" w:hAnsi="Arial" w:cs="Arial"/>
        </w:rPr>
        <w:t>"We have consistently held</w:t>
      </w:r>
      <w:r w:rsidR="00BE12DE">
        <w:rPr>
          <w:rFonts w:ascii="Arial" w:hAnsi="Arial" w:cs="Arial"/>
        </w:rPr>
        <w:t xml:space="preserve"> </w:t>
      </w:r>
      <w:r w:rsidR="00BC1E49">
        <w:rPr>
          <w:rFonts w:ascii="Arial" w:hAnsi="Arial" w:cs="Arial"/>
        </w:rPr>
        <w:t>. . . that the specific deterrence argument is permissible”)</w:t>
      </w:r>
      <w:r w:rsidR="005574CD">
        <w:rPr>
          <w:rFonts w:ascii="Arial" w:hAnsi="Arial" w:cs="Arial"/>
        </w:rPr>
        <w:t xml:space="preserve">; State v. Larry, 345 N.C. 497, 528 (1997) (same). The North Carolina Supreme Court case law is mixed as to whether specific deterrence arguments are permissible in the guilt/innocence phase of a capital trial. </w:t>
      </w:r>
      <w:r w:rsidR="005574CD">
        <w:rPr>
          <w:rFonts w:ascii="Arial" w:hAnsi="Arial" w:cs="Arial"/>
          <w:i/>
          <w:iCs/>
        </w:rPr>
        <w:t>Compare</w:t>
      </w:r>
      <w:r w:rsidR="007B6333" w:rsidRPr="00641284">
        <w:rPr>
          <w:rFonts w:ascii="Arial" w:hAnsi="Arial" w:cs="Arial"/>
        </w:rPr>
        <w:t xml:space="preserve"> State v. Campbell, 340 N.C. 612, 631-32 (1995) (not improper</w:t>
      </w:r>
      <w:r w:rsidR="00BE12DE">
        <w:rPr>
          <w:rFonts w:ascii="Arial" w:hAnsi="Arial" w:cs="Arial"/>
        </w:rPr>
        <w:t xml:space="preserve"> in guilt/innocence phase of capital trial</w:t>
      </w:r>
      <w:r w:rsidR="007B6333" w:rsidRPr="00641284">
        <w:rPr>
          <w:rFonts w:ascii="Arial" w:hAnsi="Arial" w:cs="Arial"/>
        </w:rPr>
        <w:t xml:space="preserve"> to argue that the jury should convict the defendant so he could not commit crimes in the future)</w:t>
      </w:r>
      <w:r w:rsidR="005574CD">
        <w:rPr>
          <w:rFonts w:ascii="Arial" w:hAnsi="Arial" w:cs="Arial"/>
        </w:rPr>
        <w:t xml:space="preserve">, </w:t>
      </w:r>
      <w:r w:rsidR="005574CD">
        <w:rPr>
          <w:rFonts w:ascii="Arial" w:hAnsi="Arial" w:cs="Arial"/>
          <w:i/>
          <w:iCs/>
        </w:rPr>
        <w:t xml:space="preserve">and </w:t>
      </w:r>
      <w:r w:rsidR="005574CD">
        <w:rPr>
          <w:rFonts w:ascii="Arial" w:hAnsi="Arial" w:cs="Arial"/>
        </w:rPr>
        <w:t>State v. Abraham, 338 N.C. 315, 339 (1994) (same)</w:t>
      </w:r>
      <w:r w:rsidR="0065108C">
        <w:rPr>
          <w:rFonts w:ascii="Arial" w:hAnsi="Arial" w:cs="Arial"/>
        </w:rPr>
        <w:t>,</w:t>
      </w:r>
      <w:r w:rsidR="005574CD">
        <w:rPr>
          <w:rFonts w:ascii="Arial" w:hAnsi="Arial" w:cs="Arial"/>
        </w:rPr>
        <w:t xml:space="preserve"> </w:t>
      </w:r>
      <w:r w:rsidR="005574CD">
        <w:rPr>
          <w:rFonts w:ascii="Arial" w:hAnsi="Arial" w:cs="Arial"/>
          <w:i/>
          <w:iCs/>
        </w:rPr>
        <w:t>with</w:t>
      </w:r>
      <w:r w:rsidR="00833387">
        <w:rPr>
          <w:rFonts w:ascii="Arial" w:hAnsi="Arial" w:cs="Arial"/>
          <w:i/>
          <w:iCs/>
        </w:rPr>
        <w:t xml:space="preserve"> </w:t>
      </w:r>
      <w:r w:rsidR="00833387">
        <w:rPr>
          <w:rFonts w:ascii="Arial" w:hAnsi="Arial" w:cs="Arial"/>
        </w:rPr>
        <w:t xml:space="preserve">State v. Payne, 328 N.C. 377, 406 (1991) (relying on a passage in </w:t>
      </w:r>
      <w:r w:rsidR="00833387">
        <w:rPr>
          <w:rFonts w:ascii="Arial" w:hAnsi="Arial" w:cs="Arial"/>
          <w:i/>
          <w:iCs/>
        </w:rPr>
        <w:t xml:space="preserve">Zuniga </w:t>
      </w:r>
      <w:r w:rsidR="00ED571A">
        <w:rPr>
          <w:rFonts w:ascii="Arial" w:hAnsi="Arial" w:cs="Arial"/>
        </w:rPr>
        <w:t xml:space="preserve">that assumed </w:t>
      </w:r>
      <w:r w:rsidR="00ED571A">
        <w:rPr>
          <w:rFonts w:ascii="Arial" w:hAnsi="Arial" w:cs="Arial"/>
          <w:i/>
          <w:iCs/>
        </w:rPr>
        <w:t>arguendo</w:t>
      </w:r>
      <w:r w:rsidR="00ED571A">
        <w:rPr>
          <w:rFonts w:ascii="Arial" w:hAnsi="Arial" w:cs="Arial"/>
        </w:rPr>
        <w:t xml:space="preserve"> that a general deterrence argument was improper to support the broader statement</w:t>
      </w:r>
      <w:r w:rsidR="005574CD">
        <w:rPr>
          <w:rFonts w:ascii="Arial" w:hAnsi="Arial" w:cs="Arial"/>
        </w:rPr>
        <w:t xml:space="preserve"> in the context of guilt/innocence phase argument</w:t>
      </w:r>
      <w:r w:rsidR="00ED571A">
        <w:rPr>
          <w:rFonts w:ascii="Arial" w:hAnsi="Arial" w:cs="Arial"/>
        </w:rPr>
        <w:t>: “To argue that a defendant, if acquitted, will commit a future crime is improper”</w:t>
      </w:r>
      <w:r w:rsidR="00833387">
        <w:rPr>
          <w:rFonts w:ascii="Arial" w:hAnsi="Arial" w:cs="Arial"/>
        </w:rPr>
        <w:t>)</w:t>
      </w:r>
      <w:r w:rsidR="005574CD">
        <w:rPr>
          <w:rFonts w:ascii="Arial" w:hAnsi="Arial" w:cs="Arial"/>
        </w:rPr>
        <w:t xml:space="preserve">, </w:t>
      </w:r>
      <w:r w:rsidR="005574CD">
        <w:rPr>
          <w:rFonts w:ascii="Arial" w:hAnsi="Arial" w:cs="Arial"/>
          <w:i/>
          <w:iCs/>
        </w:rPr>
        <w:t>and</w:t>
      </w:r>
      <w:r w:rsidR="0007545E">
        <w:rPr>
          <w:rFonts w:ascii="Arial" w:hAnsi="Arial" w:cs="Arial"/>
        </w:rPr>
        <w:t xml:space="preserve"> State v. Berry, 356 N.C. 490, 522 (2002) (finding a specific deterrence argument improper but not prejudicial in a capital case where the state conceded that it could not find any authority to the contrary)</w:t>
      </w:r>
      <w:r w:rsidR="00833387">
        <w:rPr>
          <w:rFonts w:ascii="Arial" w:hAnsi="Arial" w:cs="Arial"/>
        </w:rPr>
        <w:t>.</w:t>
      </w:r>
    </w:p>
    <w:p w14:paraId="7951073B" w14:textId="6E2A2310" w:rsidR="00833387" w:rsidRDefault="005574CD" w:rsidP="00DB30BF">
      <w:pPr>
        <w:pStyle w:val="ListParagraph"/>
        <w:tabs>
          <w:tab w:val="left" w:pos="720"/>
        </w:tabs>
        <w:spacing w:after="0" w:line="240" w:lineRule="auto"/>
        <w:ind w:left="1440"/>
        <w:rPr>
          <w:rFonts w:ascii="Arial" w:hAnsi="Arial" w:cs="Arial"/>
        </w:rPr>
      </w:pPr>
      <w:r>
        <w:rPr>
          <w:rStyle w:val="Heading2Char"/>
        </w:rPr>
        <w:tab/>
      </w:r>
      <w:r w:rsidR="0007545E">
        <w:rPr>
          <w:rFonts w:ascii="Arial" w:hAnsi="Arial" w:cs="Arial"/>
        </w:rPr>
        <w:t>General deterrence arguments are impermissible</w:t>
      </w:r>
      <w:r w:rsidR="0017006A">
        <w:rPr>
          <w:rFonts w:ascii="Arial" w:hAnsi="Arial" w:cs="Arial"/>
        </w:rPr>
        <w:t xml:space="preserve">, at least in capital cases, </w:t>
      </w:r>
      <w:r w:rsidR="0017006A" w:rsidRPr="0065108C">
        <w:rPr>
          <w:rFonts w:ascii="Arial" w:hAnsi="Arial" w:cs="Arial"/>
          <w:i/>
          <w:iCs/>
        </w:rPr>
        <w:t>Abraham</w:t>
      </w:r>
      <w:r w:rsidR="0017006A">
        <w:rPr>
          <w:rFonts w:ascii="Arial" w:hAnsi="Arial" w:cs="Arial"/>
        </w:rPr>
        <w:t xml:space="preserve">, 338 N.C. </w:t>
      </w:r>
      <w:r>
        <w:rPr>
          <w:rFonts w:ascii="Arial" w:hAnsi="Arial" w:cs="Arial"/>
        </w:rPr>
        <w:t>at</w:t>
      </w:r>
      <w:r w:rsidR="0017006A">
        <w:rPr>
          <w:rFonts w:ascii="Arial" w:hAnsi="Arial" w:cs="Arial"/>
        </w:rPr>
        <w:t xml:space="preserve"> 339 (so stating in a capital case)</w:t>
      </w:r>
      <w:r w:rsidR="00345CAE">
        <w:rPr>
          <w:rFonts w:ascii="Arial" w:hAnsi="Arial" w:cs="Arial"/>
        </w:rPr>
        <w:t xml:space="preserve">. </w:t>
      </w:r>
      <w:proofErr w:type="gramStart"/>
      <w:r w:rsidR="00345CAE">
        <w:rPr>
          <w:rFonts w:ascii="Arial" w:hAnsi="Arial" w:cs="Arial"/>
        </w:rPr>
        <w:t>Such arguments</w:t>
      </w:r>
      <w:r w:rsidR="0017006A">
        <w:rPr>
          <w:rFonts w:ascii="Arial" w:hAnsi="Arial" w:cs="Arial"/>
        </w:rPr>
        <w:t>,</w:t>
      </w:r>
      <w:proofErr w:type="gramEnd"/>
      <w:r w:rsidR="0017006A">
        <w:rPr>
          <w:rFonts w:ascii="Arial" w:hAnsi="Arial" w:cs="Arial"/>
        </w:rPr>
        <w:t xml:space="preserve"> </w:t>
      </w:r>
      <w:r w:rsidR="00345CAE">
        <w:rPr>
          <w:rFonts w:ascii="Arial" w:hAnsi="Arial" w:cs="Arial"/>
        </w:rPr>
        <w:t>also are</w:t>
      </w:r>
      <w:r w:rsidR="0017006A">
        <w:rPr>
          <w:rFonts w:ascii="Arial" w:hAnsi="Arial" w:cs="Arial"/>
        </w:rPr>
        <w:t xml:space="preserve"> presumably </w:t>
      </w:r>
      <w:r w:rsidR="00345CAE">
        <w:rPr>
          <w:rFonts w:ascii="Arial" w:hAnsi="Arial" w:cs="Arial"/>
        </w:rPr>
        <w:t>improper in</w:t>
      </w:r>
      <w:r w:rsidR="0017006A">
        <w:rPr>
          <w:rFonts w:ascii="Arial" w:hAnsi="Arial" w:cs="Arial"/>
        </w:rPr>
        <w:t xml:space="preserve"> non-capital cases as </w:t>
      </w:r>
      <w:r w:rsidR="00345CAE">
        <w:rPr>
          <w:rFonts w:ascii="Arial" w:hAnsi="Arial" w:cs="Arial"/>
        </w:rPr>
        <w:t xml:space="preserve">they constitute </w:t>
      </w:r>
      <w:r w:rsidR="0017006A">
        <w:rPr>
          <w:rFonts w:ascii="Arial" w:hAnsi="Arial" w:cs="Arial"/>
        </w:rPr>
        <w:t>speculative personal opinion</w:t>
      </w:r>
      <w:r w:rsidR="000E2393">
        <w:rPr>
          <w:rFonts w:ascii="Arial" w:hAnsi="Arial" w:cs="Arial"/>
        </w:rPr>
        <w:t xml:space="preserve"> o</w:t>
      </w:r>
      <w:r w:rsidR="00DB30BF">
        <w:rPr>
          <w:rFonts w:ascii="Arial" w:hAnsi="Arial" w:cs="Arial"/>
        </w:rPr>
        <w:t>n</w:t>
      </w:r>
      <w:r w:rsidR="0017006A">
        <w:rPr>
          <w:rFonts w:ascii="Arial" w:hAnsi="Arial" w:cs="Arial"/>
        </w:rPr>
        <w:t xml:space="preserve"> a matter outside the record. </w:t>
      </w:r>
      <w:r w:rsidR="0017006A">
        <w:rPr>
          <w:rFonts w:ascii="Arial" w:hAnsi="Arial" w:cs="Arial"/>
          <w:i/>
          <w:iCs/>
        </w:rPr>
        <w:t xml:space="preserve">Cf. </w:t>
      </w:r>
      <w:r w:rsidR="0017006A" w:rsidRPr="001958FC">
        <w:rPr>
          <w:rFonts w:ascii="Arial" w:hAnsi="Arial" w:cs="Arial"/>
        </w:rPr>
        <w:t>State v. Kirkley</w:t>
      </w:r>
      <w:r w:rsidR="0017006A">
        <w:rPr>
          <w:rFonts w:ascii="Arial" w:hAnsi="Arial" w:cs="Arial"/>
        </w:rPr>
        <w:t xml:space="preserve">, 308 NC. 196, 216 (1983) (prosecutor’s general deterrence argument in capital case was improper “personal viewpoint”), </w:t>
      </w:r>
      <w:r w:rsidR="0017006A">
        <w:rPr>
          <w:rFonts w:ascii="Arial" w:hAnsi="Arial" w:cs="Arial"/>
          <w:i/>
          <w:iCs/>
        </w:rPr>
        <w:t xml:space="preserve">overruled in part on other grounds by </w:t>
      </w:r>
      <w:r w:rsidR="0017006A">
        <w:rPr>
          <w:rFonts w:ascii="Arial" w:hAnsi="Arial" w:cs="Arial"/>
        </w:rPr>
        <w:t>State v. Shank, 322 N.C. 243,251 (1988).</w:t>
      </w:r>
    </w:p>
    <w:p w14:paraId="5D089934" w14:textId="370FDDD8" w:rsidR="007B6333" w:rsidRDefault="00833387" w:rsidP="00DB30BF">
      <w:pPr>
        <w:pStyle w:val="ListParagraph"/>
        <w:tabs>
          <w:tab w:val="left" w:pos="720"/>
        </w:tabs>
        <w:spacing w:after="0" w:line="240" w:lineRule="auto"/>
        <w:ind w:left="1440"/>
        <w:rPr>
          <w:rFonts w:ascii="Arial" w:hAnsi="Arial" w:cs="Arial"/>
        </w:rPr>
      </w:pPr>
      <w:r>
        <w:rPr>
          <w:rFonts w:ascii="Arial" w:hAnsi="Arial" w:cs="Arial"/>
        </w:rPr>
        <w:tab/>
      </w:r>
      <w:r w:rsidR="00326F68">
        <w:rPr>
          <w:rFonts w:ascii="Arial" w:hAnsi="Arial" w:cs="Arial"/>
        </w:rPr>
        <w:t>C</w:t>
      </w:r>
      <w:r w:rsidR="0007545E">
        <w:rPr>
          <w:rFonts w:ascii="Arial" w:hAnsi="Arial" w:cs="Arial"/>
        </w:rPr>
        <w:t>ases from the North Carolina Court of Appeals</w:t>
      </w:r>
      <w:r>
        <w:rPr>
          <w:rFonts w:ascii="Arial" w:hAnsi="Arial" w:cs="Arial"/>
        </w:rPr>
        <w:t xml:space="preserve"> state that specific deterrence arguments are permissible in</w:t>
      </w:r>
      <w:r w:rsidR="00345CAE">
        <w:rPr>
          <w:rFonts w:ascii="Arial" w:hAnsi="Arial" w:cs="Arial"/>
        </w:rPr>
        <w:t xml:space="preserve"> the guilt/innocence phase of</w:t>
      </w:r>
      <w:r>
        <w:rPr>
          <w:rFonts w:ascii="Arial" w:hAnsi="Arial" w:cs="Arial"/>
        </w:rPr>
        <w:t xml:space="preserve"> non-capital cases. </w:t>
      </w:r>
      <w:r>
        <w:rPr>
          <w:rFonts w:ascii="Arial" w:hAnsi="Arial" w:cs="Arial"/>
          <w:i/>
          <w:iCs/>
        </w:rPr>
        <w:t>See, e.g.</w:t>
      </w:r>
      <w:r>
        <w:rPr>
          <w:rFonts w:ascii="Arial" w:hAnsi="Arial" w:cs="Arial"/>
        </w:rPr>
        <w:t>,</w:t>
      </w:r>
      <w:r w:rsidR="00713335">
        <w:rPr>
          <w:rFonts w:ascii="Arial" w:hAnsi="Arial" w:cs="Arial"/>
        </w:rPr>
        <w:t xml:space="preserve"> State v. Strickland, 283 N.C. App. 295, 309 (2022) (not </w:t>
      </w:r>
      <w:r w:rsidR="0007545E">
        <w:rPr>
          <w:rFonts w:ascii="Arial" w:hAnsi="Arial" w:cs="Arial"/>
        </w:rPr>
        <w:t xml:space="preserve">grossly </w:t>
      </w:r>
      <w:r w:rsidR="00713335">
        <w:rPr>
          <w:rFonts w:ascii="Arial" w:hAnsi="Arial" w:cs="Arial"/>
        </w:rPr>
        <w:t>improper to argue that convicting defendant would protect the victim and “every other vulnerable female in Edgecombe County that might find herself in the unfortunate position of being in a domestic relationship with [the] defendant”);</w:t>
      </w:r>
      <w:r w:rsidR="007B6333" w:rsidRPr="00641284">
        <w:rPr>
          <w:rFonts w:ascii="Arial" w:hAnsi="Arial" w:cs="Arial"/>
        </w:rPr>
        <w:t xml:space="preserve"> State v. Chappelle, 193 N.C. App. 313, 328 (2008) (</w:t>
      </w:r>
      <w:r>
        <w:rPr>
          <w:rFonts w:ascii="Arial" w:hAnsi="Arial" w:cs="Arial"/>
        </w:rPr>
        <w:t>finding similar argument proper</w:t>
      </w:r>
      <w:r w:rsidR="007B6333" w:rsidRPr="00641284">
        <w:rPr>
          <w:rFonts w:ascii="Arial" w:hAnsi="Arial" w:cs="Arial"/>
        </w:rPr>
        <w:t xml:space="preserve">). </w:t>
      </w:r>
      <w:r w:rsidR="005574CD">
        <w:rPr>
          <w:rFonts w:ascii="Arial" w:hAnsi="Arial" w:cs="Arial"/>
        </w:rPr>
        <w:t xml:space="preserve">As discussed above, however, the North Carolina Supreme Court case law upon which these cases rely was developed largely in the context of capital </w:t>
      </w:r>
      <w:r w:rsidR="005574CD">
        <w:rPr>
          <w:rFonts w:ascii="Arial" w:hAnsi="Arial" w:cs="Arial"/>
        </w:rPr>
        <w:lastRenderedPageBreak/>
        <w:t>sentencing proceedings</w:t>
      </w:r>
      <w:r w:rsidR="00345CAE">
        <w:rPr>
          <w:rFonts w:ascii="Arial" w:hAnsi="Arial" w:cs="Arial"/>
        </w:rPr>
        <w:t>,</w:t>
      </w:r>
      <w:r w:rsidR="005574CD">
        <w:rPr>
          <w:rFonts w:ascii="Arial" w:hAnsi="Arial" w:cs="Arial"/>
        </w:rPr>
        <w:t xml:space="preserve"> and the Court’s case law outside that context is mixed as to the propriety of specific deterrence arguments.</w:t>
      </w:r>
    </w:p>
    <w:p w14:paraId="2DEA4126" w14:textId="77777777" w:rsidR="005C36DE" w:rsidRPr="00641284" w:rsidRDefault="005C36DE" w:rsidP="00DB30BF">
      <w:pPr>
        <w:pStyle w:val="ListParagraph"/>
        <w:tabs>
          <w:tab w:val="left" w:pos="720"/>
        </w:tabs>
        <w:spacing w:after="0" w:line="240" w:lineRule="auto"/>
        <w:ind w:left="1440"/>
        <w:rPr>
          <w:rFonts w:ascii="Arial" w:hAnsi="Arial" w:cs="Arial"/>
        </w:rPr>
      </w:pPr>
    </w:p>
    <w:p w14:paraId="0ED21FCE" w14:textId="35DCBA17" w:rsidR="007B6333" w:rsidRPr="005C36DE" w:rsidRDefault="007B6333" w:rsidP="00DB30BF">
      <w:pPr>
        <w:pStyle w:val="ListParagraph"/>
        <w:numPr>
          <w:ilvl w:val="0"/>
          <w:numId w:val="1"/>
        </w:numPr>
        <w:spacing w:after="0" w:line="240" w:lineRule="auto"/>
        <w:rPr>
          <w:rFonts w:ascii="Arial" w:hAnsi="Arial" w:cs="Arial"/>
          <w:b/>
          <w:bCs/>
        </w:rPr>
      </w:pPr>
      <w:bookmarkStart w:id="37" w:name="_Toc402880163"/>
      <w:bookmarkStart w:id="38" w:name="_Toc402880721"/>
      <w:bookmarkStart w:id="39" w:name="_Toc163125210"/>
      <w:r w:rsidRPr="00CF4FBE">
        <w:rPr>
          <w:rStyle w:val="Heading1Char"/>
        </w:rPr>
        <w:t>Impermissible Argument</w:t>
      </w:r>
      <w:bookmarkEnd w:id="37"/>
      <w:bookmarkEnd w:id="38"/>
      <w:bookmarkEnd w:id="39"/>
      <w:r w:rsidRPr="005C36DE">
        <w:rPr>
          <w:rFonts w:ascii="Arial" w:hAnsi="Arial" w:cs="Arial"/>
          <w:b/>
          <w:bCs/>
        </w:rPr>
        <w:t xml:space="preserve">. </w:t>
      </w:r>
      <w:r w:rsidR="00F74D0F" w:rsidRPr="005C36DE">
        <w:rPr>
          <w:rFonts w:ascii="Arial" w:hAnsi="Arial" w:cs="Arial"/>
          <w:bCs/>
        </w:rPr>
        <w:t xml:space="preserve">The subsections below explore </w:t>
      </w:r>
      <w:r w:rsidR="00345CAE">
        <w:rPr>
          <w:rFonts w:ascii="Arial" w:hAnsi="Arial" w:cs="Arial"/>
          <w:bCs/>
        </w:rPr>
        <w:t>several</w:t>
      </w:r>
      <w:r w:rsidR="00F74D0F" w:rsidRPr="005C36DE">
        <w:rPr>
          <w:rFonts w:ascii="Arial" w:hAnsi="Arial" w:cs="Arial"/>
          <w:bCs/>
        </w:rPr>
        <w:t xml:space="preserve"> categories of impermissible argument.</w:t>
      </w:r>
    </w:p>
    <w:p w14:paraId="2E1AE2E0" w14:textId="77777777" w:rsidR="007B6333" w:rsidRPr="00641284" w:rsidRDefault="007B6333" w:rsidP="00DB30BF">
      <w:pPr>
        <w:pStyle w:val="ListParagraph"/>
        <w:numPr>
          <w:ilvl w:val="0"/>
          <w:numId w:val="8"/>
        </w:numPr>
        <w:spacing w:after="0" w:line="240" w:lineRule="auto"/>
        <w:rPr>
          <w:rFonts w:ascii="Arial" w:hAnsi="Arial" w:cs="Arial"/>
        </w:rPr>
      </w:pPr>
      <w:bookmarkStart w:id="40" w:name="_Toc402880164"/>
      <w:bookmarkStart w:id="41" w:name="_Toc402880722"/>
      <w:bookmarkStart w:id="42" w:name="_Toc163125211"/>
      <w:r w:rsidRPr="00CF4FBE">
        <w:rPr>
          <w:rStyle w:val="Heading2Char"/>
        </w:rPr>
        <w:t>Generally</w:t>
      </w:r>
      <w:bookmarkEnd w:id="40"/>
      <w:bookmarkEnd w:id="41"/>
      <w:bookmarkEnd w:id="42"/>
      <w:r w:rsidRPr="00641284">
        <w:rPr>
          <w:rFonts w:ascii="Arial" w:hAnsi="Arial" w:cs="Arial"/>
          <w:b/>
          <w:bCs/>
        </w:rPr>
        <w:t>.</w:t>
      </w:r>
    </w:p>
    <w:p w14:paraId="587E7853" w14:textId="40C2B18A" w:rsidR="007B6333" w:rsidRPr="005C36DE" w:rsidRDefault="007B6333" w:rsidP="00DB30BF">
      <w:pPr>
        <w:pStyle w:val="ListParagraph"/>
        <w:numPr>
          <w:ilvl w:val="2"/>
          <w:numId w:val="8"/>
        </w:numPr>
        <w:spacing w:after="0" w:line="240" w:lineRule="auto"/>
        <w:rPr>
          <w:rFonts w:ascii="Arial" w:hAnsi="Arial" w:cs="Arial"/>
        </w:rPr>
      </w:pPr>
      <w:bookmarkStart w:id="43" w:name="_Toc402880723"/>
      <w:bookmarkStart w:id="44" w:name="_Toc163125212"/>
      <w:r w:rsidRPr="00304356">
        <w:rPr>
          <w:rStyle w:val="Heading3Char"/>
        </w:rPr>
        <w:t>Abusive Arguments</w:t>
      </w:r>
      <w:bookmarkEnd w:id="43"/>
      <w:bookmarkEnd w:id="44"/>
      <w:r w:rsidRPr="005C36DE">
        <w:rPr>
          <w:rFonts w:ascii="Arial" w:hAnsi="Arial" w:cs="Arial"/>
          <w:b/>
          <w:bCs/>
        </w:rPr>
        <w:t xml:space="preserve">. </w:t>
      </w:r>
      <w:r w:rsidRPr="005C36DE">
        <w:rPr>
          <w:rFonts w:ascii="Arial" w:hAnsi="Arial" w:cs="Arial"/>
        </w:rPr>
        <w:t xml:space="preserve">During a closing argument a lawyer may not become abusive. G.S. 15A-1230(a); N.C. R. </w:t>
      </w:r>
      <w:r w:rsidRPr="005C36DE">
        <w:rPr>
          <w:rFonts w:ascii="Arial" w:hAnsi="Arial" w:cs="Arial"/>
          <w:smallCaps/>
        </w:rPr>
        <w:t xml:space="preserve">Super. and Dist. </w:t>
      </w:r>
      <w:proofErr w:type="spellStart"/>
      <w:r w:rsidRPr="005C36DE">
        <w:rPr>
          <w:rFonts w:ascii="Arial" w:hAnsi="Arial" w:cs="Arial"/>
          <w:smallCaps/>
        </w:rPr>
        <w:t>Cts</w:t>
      </w:r>
      <w:proofErr w:type="spellEnd"/>
      <w:r w:rsidRPr="005C36DE">
        <w:rPr>
          <w:rFonts w:ascii="Arial" w:hAnsi="Arial" w:cs="Arial"/>
          <w:smallCaps/>
        </w:rPr>
        <w:t>.</w:t>
      </w:r>
      <w:r w:rsidRPr="005C36DE">
        <w:rPr>
          <w:rFonts w:ascii="Arial" w:hAnsi="Arial" w:cs="Arial"/>
        </w:rPr>
        <w:t xml:space="preserve"> Rule. 12 (“Abusive language [is] prohibited”); State v. Matthews, 358 N.C. 102, 111-12 (2004) (inappropriate to refer to the defense case as “bull crap”); State v. Jones, 355 N.C. 117, 127 (2002) (citing the statute); </w:t>
      </w:r>
      <w:r w:rsidRPr="005C36DE">
        <w:rPr>
          <w:rFonts w:ascii="Arial" w:hAnsi="Arial" w:cs="Arial"/>
          <w:i/>
          <w:iCs/>
        </w:rPr>
        <w:t xml:space="preserve">see also </w:t>
      </w:r>
      <w:r w:rsidRPr="005C36DE">
        <w:rPr>
          <w:rFonts w:ascii="Arial" w:hAnsi="Arial" w:cs="Arial"/>
        </w:rPr>
        <w:t xml:space="preserve">State v. </w:t>
      </w:r>
      <w:proofErr w:type="spellStart"/>
      <w:r w:rsidRPr="005C36DE">
        <w:rPr>
          <w:rFonts w:ascii="Arial" w:hAnsi="Arial" w:cs="Arial"/>
        </w:rPr>
        <w:t>Gillikin</w:t>
      </w:r>
      <w:proofErr w:type="spellEnd"/>
      <w:r w:rsidRPr="005C36DE">
        <w:rPr>
          <w:rFonts w:ascii="Arial" w:hAnsi="Arial" w:cs="Arial"/>
        </w:rPr>
        <w:t xml:space="preserve">, </w:t>
      </w:r>
      <w:r w:rsidR="008F24F9">
        <w:rPr>
          <w:rFonts w:ascii="Arial" w:hAnsi="Arial" w:cs="Arial"/>
        </w:rPr>
        <w:t>217</w:t>
      </w:r>
      <w:r w:rsidRPr="005C36DE">
        <w:rPr>
          <w:rFonts w:ascii="Arial" w:hAnsi="Arial" w:cs="Arial"/>
        </w:rPr>
        <w:t xml:space="preserve"> N.C. App. </w:t>
      </w:r>
      <w:r w:rsidR="008F24F9">
        <w:rPr>
          <w:rFonts w:ascii="Arial" w:hAnsi="Arial" w:cs="Arial"/>
        </w:rPr>
        <w:t>256</w:t>
      </w:r>
      <w:r w:rsidRPr="005C36DE">
        <w:rPr>
          <w:rFonts w:ascii="Arial" w:hAnsi="Arial" w:cs="Arial"/>
        </w:rPr>
        <w:t xml:space="preserve">, </w:t>
      </w:r>
      <w:r w:rsidR="008F24F9">
        <w:rPr>
          <w:rFonts w:ascii="Arial" w:hAnsi="Arial" w:cs="Arial"/>
        </w:rPr>
        <w:t>266-67</w:t>
      </w:r>
      <w:r w:rsidRPr="005C36DE">
        <w:rPr>
          <w:rFonts w:ascii="Arial" w:hAnsi="Arial" w:cs="Arial"/>
        </w:rPr>
        <w:t xml:space="preserve"> (2011) (closing argument was “grossly improper” where the prosecutor repeatedly engaged in abusive name-calling of the defendant and expressed his opinion that defendant was a liar and was guilty).</w:t>
      </w:r>
    </w:p>
    <w:p w14:paraId="06DAF6E6" w14:textId="18B4834A" w:rsidR="007B6333" w:rsidRPr="00641284" w:rsidRDefault="007B6333" w:rsidP="00DB30BF">
      <w:pPr>
        <w:pStyle w:val="ListParagraph"/>
        <w:numPr>
          <w:ilvl w:val="2"/>
          <w:numId w:val="8"/>
        </w:numPr>
        <w:spacing w:after="0" w:line="240" w:lineRule="auto"/>
        <w:rPr>
          <w:rFonts w:ascii="Arial" w:hAnsi="Arial" w:cs="Arial"/>
          <w:b/>
          <w:bCs/>
        </w:rPr>
      </w:pPr>
      <w:bookmarkStart w:id="45" w:name="_Toc402880724"/>
      <w:bookmarkStart w:id="46" w:name="_Toc163125213"/>
      <w:r w:rsidRPr="00304356">
        <w:rPr>
          <w:rStyle w:val="Heading3Char"/>
        </w:rPr>
        <w:t>Lack of Dignity or Propriety</w:t>
      </w:r>
      <w:bookmarkEnd w:id="45"/>
      <w:bookmarkEnd w:id="46"/>
      <w:r w:rsidRPr="00641284">
        <w:rPr>
          <w:rFonts w:ascii="Arial" w:hAnsi="Arial" w:cs="Arial"/>
          <w:b/>
          <w:bCs/>
        </w:rPr>
        <w:t xml:space="preserve">. </w:t>
      </w:r>
      <w:r w:rsidRPr="00641284">
        <w:rPr>
          <w:rFonts w:ascii="Arial" w:hAnsi="Arial" w:cs="Arial"/>
        </w:rPr>
        <w:t xml:space="preserve">During jury argument lawyers must conduct themselves with “dignity and propriety.” N.C. R. </w:t>
      </w:r>
      <w:r w:rsidRPr="00641284">
        <w:rPr>
          <w:rFonts w:ascii="Arial" w:hAnsi="Arial" w:cs="Arial"/>
          <w:smallCaps/>
        </w:rPr>
        <w:t xml:space="preserve">Super. and Dist. </w:t>
      </w:r>
      <w:proofErr w:type="spellStart"/>
      <w:r w:rsidRPr="00641284">
        <w:rPr>
          <w:rFonts w:ascii="Arial" w:hAnsi="Arial" w:cs="Arial"/>
          <w:smallCaps/>
        </w:rPr>
        <w:t>Cts</w:t>
      </w:r>
      <w:proofErr w:type="spellEnd"/>
      <w:r w:rsidRPr="00641284">
        <w:rPr>
          <w:rFonts w:ascii="Arial" w:hAnsi="Arial" w:cs="Arial"/>
          <w:smallCaps/>
        </w:rPr>
        <w:t>.</w:t>
      </w:r>
      <w:r w:rsidRPr="00641284">
        <w:rPr>
          <w:rFonts w:ascii="Arial" w:hAnsi="Arial" w:cs="Arial"/>
        </w:rPr>
        <w:t xml:space="preserve"> Rule 12; </w:t>
      </w:r>
      <w:r w:rsidRPr="00641284">
        <w:rPr>
          <w:rFonts w:ascii="Arial" w:hAnsi="Arial" w:cs="Arial"/>
          <w:i/>
          <w:iCs/>
        </w:rPr>
        <w:t>see also</w:t>
      </w:r>
      <w:r w:rsidRPr="00641284">
        <w:rPr>
          <w:rFonts w:ascii="Arial" w:hAnsi="Arial" w:cs="Arial"/>
        </w:rPr>
        <w:t xml:space="preserve"> </w:t>
      </w:r>
      <w:proofErr w:type="spellStart"/>
      <w:r w:rsidRPr="00641284">
        <w:rPr>
          <w:rFonts w:ascii="Arial" w:hAnsi="Arial" w:cs="Arial"/>
          <w:i/>
          <w:iCs/>
        </w:rPr>
        <w:t>Gillikin</w:t>
      </w:r>
      <w:proofErr w:type="spellEnd"/>
      <w:r w:rsidRPr="00641284">
        <w:rPr>
          <w:rFonts w:ascii="Arial" w:hAnsi="Arial" w:cs="Arial"/>
        </w:rPr>
        <w:t xml:space="preserve">, </w:t>
      </w:r>
      <w:r w:rsidR="008F24F9">
        <w:rPr>
          <w:rFonts w:ascii="Arial" w:hAnsi="Arial" w:cs="Arial"/>
        </w:rPr>
        <w:t>217</w:t>
      </w:r>
      <w:r w:rsidRPr="00641284">
        <w:rPr>
          <w:rFonts w:ascii="Arial" w:hAnsi="Arial" w:cs="Arial"/>
        </w:rPr>
        <w:t xml:space="preserve"> N.C. App. </w:t>
      </w:r>
      <w:r w:rsidR="008F24F9">
        <w:rPr>
          <w:rFonts w:ascii="Arial" w:hAnsi="Arial" w:cs="Arial"/>
        </w:rPr>
        <w:t>at 267</w:t>
      </w:r>
      <w:r w:rsidRPr="00641284">
        <w:rPr>
          <w:rFonts w:ascii="Arial" w:hAnsi="Arial" w:cs="Arial"/>
        </w:rPr>
        <w:t xml:space="preserve"> (the entire tenor of the prosecutor’s argument was undignified).</w:t>
      </w:r>
    </w:p>
    <w:p w14:paraId="193E9ADE" w14:textId="73A4026C" w:rsidR="007B6333" w:rsidRPr="00641284" w:rsidRDefault="007B6333" w:rsidP="00DB30BF">
      <w:pPr>
        <w:pStyle w:val="ListParagraph"/>
        <w:numPr>
          <w:ilvl w:val="2"/>
          <w:numId w:val="8"/>
        </w:numPr>
        <w:spacing w:after="0" w:line="240" w:lineRule="auto"/>
        <w:rPr>
          <w:rFonts w:ascii="Arial" w:hAnsi="Arial" w:cs="Arial"/>
          <w:b/>
          <w:bCs/>
        </w:rPr>
      </w:pPr>
      <w:bookmarkStart w:id="47" w:name="_Toc402880725"/>
      <w:bookmarkStart w:id="48" w:name="_Toc163125214"/>
      <w:r w:rsidRPr="00304356">
        <w:rPr>
          <w:rStyle w:val="Heading3Char"/>
        </w:rPr>
        <w:t>Arguments Appealing to Passion or Prejudice</w:t>
      </w:r>
      <w:bookmarkEnd w:id="47"/>
      <w:bookmarkEnd w:id="48"/>
      <w:r w:rsidRPr="00641284">
        <w:rPr>
          <w:rFonts w:ascii="Arial" w:hAnsi="Arial" w:cs="Arial"/>
          <w:b/>
          <w:bCs/>
        </w:rPr>
        <w:t xml:space="preserve">. </w:t>
      </w:r>
      <w:r w:rsidRPr="00641284">
        <w:rPr>
          <w:rFonts w:ascii="Arial" w:hAnsi="Arial" w:cs="Arial"/>
        </w:rPr>
        <w:t xml:space="preserve">It is improper to make an argument designed to appeal to the jurors’ passions or prejudices. </w:t>
      </w:r>
      <w:r w:rsidRPr="00641284">
        <w:rPr>
          <w:rFonts w:ascii="Arial" w:hAnsi="Arial" w:cs="Arial"/>
          <w:i/>
          <w:iCs/>
        </w:rPr>
        <w:t>See, e.g., Jones</w:t>
      </w:r>
      <w:r w:rsidRPr="00641284">
        <w:rPr>
          <w:rFonts w:ascii="Arial" w:hAnsi="Arial" w:cs="Arial"/>
        </w:rPr>
        <w:t>, 355 N.C. at 132-33 (prosecutor’s reference to the Columbine school shooting and Oklahoma City federal building bombing was an improper attempt to lead jurors away from the evidence by appealing instead to their sense of passion and prejudice)</w:t>
      </w:r>
      <w:r w:rsidR="00462D3A">
        <w:rPr>
          <w:rFonts w:ascii="Arial" w:hAnsi="Arial" w:cs="Arial"/>
        </w:rPr>
        <w:t xml:space="preserve">; State v. Norris, 287 N.C. App. 302, 319-20 (2022) (citing </w:t>
      </w:r>
      <w:r w:rsidR="00462D3A">
        <w:rPr>
          <w:rFonts w:ascii="Arial" w:hAnsi="Arial" w:cs="Arial"/>
          <w:i/>
          <w:iCs/>
        </w:rPr>
        <w:t xml:space="preserve">Jones </w:t>
      </w:r>
      <w:r w:rsidR="00462D3A">
        <w:rPr>
          <w:rFonts w:ascii="Arial" w:hAnsi="Arial" w:cs="Arial"/>
        </w:rPr>
        <w:t xml:space="preserve">and finding prosecutor’s argument improper </w:t>
      </w:r>
      <w:r w:rsidR="002C23B4">
        <w:rPr>
          <w:rFonts w:ascii="Arial" w:hAnsi="Arial" w:cs="Arial"/>
        </w:rPr>
        <w:t>where it referenced nationally salient acts of mass violence in a murder solicitation prosecution involving a defendant who was a high school student</w:t>
      </w:r>
      <w:r w:rsidR="00462D3A">
        <w:rPr>
          <w:rFonts w:ascii="Arial" w:hAnsi="Arial" w:cs="Arial"/>
        </w:rPr>
        <w:t>)</w:t>
      </w:r>
      <w:r w:rsidR="008061DE">
        <w:rPr>
          <w:rFonts w:ascii="Arial" w:hAnsi="Arial" w:cs="Arial"/>
        </w:rPr>
        <w:t xml:space="preserve">; State v. Reber, 289 N.C. App. 66, 81-82 (2023) (grossly improper for prosecutor to make </w:t>
      </w:r>
      <w:r w:rsidR="00411162">
        <w:rPr>
          <w:rFonts w:ascii="Arial" w:hAnsi="Arial" w:cs="Arial"/>
        </w:rPr>
        <w:t>baseless</w:t>
      </w:r>
      <w:r w:rsidR="008061DE">
        <w:rPr>
          <w:rFonts w:ascii="Arial" w:hAnsi="Arial" w:cs="Arial"/>
        </w:rPr>
        <w:t xml:space="preserve"> inference that defendant spread sexually transmitted diseases to or impregnated alleged child victim as </w:t>
      </w:r>
      <w:r w:rsidR="00223E22">
        <w:rPr>
          <w:rFonts w:ascii="Arial" w:hAnsi="Arial" w:cs="Arial"/>
        </w:rPr>
        <w:t xml:space="preserve">the </w:t>
      </w:r>
      <w:r w:rsidR="00411162">
        <w:rPr>
          <w:rFonts w:ascii="Arial" w:hAnsi="Arial" w:cs="Arial"/>
        </w:rPr>
        <w:t>unsupported</w:t>
      </w:r>
      <w:r w:rsidR="00223E22">
        <w:rPr>
          <w:rFonts w:ascii="Arial" w:hAnsi="Arial" w:cs="Arial"/>
        </w:rPr>
        <w:t xml:space="preserve"> inflammatory argument appealed to passion or prejudice</w:t>
      </w:r>
      <w:r w:rsidR="008061DE">
        <w:rPr>
          <w:rFonts w:ascii="Arial" w:hAnsi="Arial" w:cs="Arial"/>
        </w:rPr>
        <w:t>)</w:t>
      </w:r>
      <w:r w:rsidRPr="00641284">
        <w:rPr>
          <w:rFonts w:ascii="Arial" w:hAnsi="Arial" w:cs="Arial"/>
        </w:rPr>
        <w:t xml:space="preserve">. </w:t>
      </w:r>
    </w:p>
    <w:p w14:paraId="11C7EACD" w14:textId="0DAF47C6" w:rsidR="007B6333" w:rsidRPr="00641284" w:rsidRDefault="007B6333" w:rsidP="00DB30BF">
      <w:pPr>
        <w:pStyle w:val="ListParagraph"/>
        <w:numPr>
          <w:ilvl w:val="2"/>
          <w:numId w:val="8"/>
        </w:numPr>
        <w:spacing w:after="0" w:line="240" w:lineRule="auto"/>
        <w:rPr>
          <w:rFonts w:ascii="Arial" w:hAnsi="Arial" w:cs="Arial"/>
        </w:rPr>
      </w:pPr>
      <w:bookmarkStart w:id="49" w:name="_Toc402880726"/>
      <w:bookmarkStart w:id="50" w:name="_Toc163125215"/>
      <w:r w:rsidRPr="00304356">
        <w:rPr>
          <w:rStyle w:val="Heading3Char"/>
        </w:rPr>
        <w:t>Lack of Candor and Unfairness</w:t>
      </w:r>
      <w:bookmarkEnd w:id="49"/>
      <w:bookmarkEnd w:id="50"/>
      <w:r w:rsidRPr="00641284">
        <w:rPr>
          <w:rFonts w:ascii="Arial" w:hAnsi="Arial" w:cs="Arial"/>
          <w:b/>
          <w:bCs/>
        </w:rPr>
        <w:t>.</w:t>
      </w:r>
      <w:r w:rsidRPr="00641284">
        <w:rPr>
          <w:rFonts w:ascii="Arial" w:hAnsi="Arial" w:cs="Arial"/>
        </w:rPr>
        <w:t xml:space="preserve"> “The conduct of the lawyers before the court and with other lawyers should be characterized by candor and fairness.” N.C. </w:t>
      </w:r>
      <w:r w:rsidRPr="00641284">
        <w:rPr>
          <w:rFonts w:ascii="Arial" w:hAnsi="Arial" w:cs="Arial"/>
          <w:smallCaps/>
        </w:rPr>
        <w:t xml:space="preserve">R. Super. and Dist. </w:t>
      </w:r>
      <w:proofErr w:type="spellStart"/>
      <w:r w:rsidRPr="00641284">
        <w:rPr>
          <w:rFonts w:ascii="Arial" w:hAnsi="Arial" w:cs="Arial"/>
          <w:smallCaps/>
        </w:rPr>
        <w:t>Cts</w:t>
      </w:r>
      <w:proofErr w:type="spellEnd"/>
      <w:r w:rsidRPr="00641284">
        <w:rPr>
          <w:rFonts w:ascii="Arial" w:hAnsi="Arial" w:cs="Arial"/>
          <w:smallCaps/>
        </w:rPr>
        <w:t>.</w:t>
      </w:r>
      <w:r w:rsidRPr="00641284">
        <w:rPr>
          <w:rFonts w:ascii="Arial" w:hAnsi="Arial" w:cs="Arial"/>
        </w:rPr>
        <w:t xml:space="preserve"> Rule 12. Thus, for example, counsel should not “‘not knowingly misinterpret . . . the language or argument of opposite counsel.’” State v. Phillips, 365 N.C. 103, 136-37 (2011) (quoting R. 12; prosecutor improperly suggested that defense counsel had admitted the defendant’s guilt to first-degree murder).</w:t>
      </w:r>
    </w:p>
    <w:p w14:paraId="3D877E22" w14:textId="77777777" w:rsidR="007B6333" w:rsidRPr="00641284" w:rsidRDefault="007B6333" w:rsidP="00DB30BF">
      <w:pPr>
        <w:pStyle w:val="ListParagraph"/>
        <w:numPr>
          <w:ilvl w:val="0"/>
          <w:numId w:val="8"/>
        </w:numPr>
        <w:spacing w:after="0" w:line="240" w:lineRule="auto"/>
        <w:rPr>
          <w:rFonts w:ascii="Arial" w:hAnsi="Arial" w:cs="Arial"/>
        </w:rPr>
      </w:pPr>
      <w:bookmarkStart w:id="51" w:name="_Toc402880165"/>
      <w:bookmarkStart w:id="52" w:name="_Toc402880727"/>
      <w:bookmarkStart w:id="53" w:name="_Toc163125216"/>
      <w:r w:rsidRPr="00CF4FBE">
        <w:rPr>
          <w:rStyle w:val="Heading2Char"/>
        </w:rPr>
        <w:t>Specific Types of Impermissible Arguments</w:t>
      </w:r>
      <w:bookmarkEnd w:id="51"/>
      <w:bookmarkEnd w:id="52"/>
      <w:bookmarkEnd w:id="53"/>
      <w:r w:rsidRPr="00641284">
        <w:rPr>
          <w:rFonts w:ascii="Arial" w:hAnsi="Arial" w:cs="Arial"/>
          <w:b/>
          <w:bCs/>
        </w:rPr>
        <w:t>.</w:t>
      </w:r>
    </w:p>
    <w:p w14:paraId="11FEB905" w14:textId="77777777" w:rsidR="007B6333" w:rsidRPr="00641284" w:rsidRDefault="007B6333" w:rsidP="00DB30BF">
      <w:pPr>
        <w:pStyle w:val="ListParagraph"/>
        <w:numPr>
          <w:ilvl w:val="2"/>
          <w:numId w:val="8"/>
        </w:numPr>
        <w:spacing w:after="0" w:line="240" w:lineRule="auto"/>
        <w:rPr>
          <w:rFonts w:ascii="Arial" w:hAnsi="Arial" w:cs="Arial"/>
        </w:rPr>
      </w:pPr>
      <w:bookmarkStart w:id="54" w:name="_Toc402880728"/>
      <w:bookmarkStart w:id="55" w:name="_Toc163125217"/>
      <w:r w:rsidRPr="00CF4FBE">
        <w:rPr>
          <w:rStyle w:val="Heading3Char"/>
        </w:rPr>
        <w:t>Matters Outside the Record</w:t>
      </w:r>
      <w:bookmarkEnd w:id="54"/>
      <w:bookmarkEnd w:id="55"/>
      <w:r w:rsidRPr="00641284">
        <w:rPr>
          <w:rFonts w:ascii="Arial" w:hAnsi="Arial" w:cs="Arial"/>
          <w:b/>
          <w:bCs/>
        </w:rPr>
        <w:t xml:space="preserve">. </w:t>
      </w:r>
      <w:r w:rsidRPr="00641284">
        <w:rPr>
          <w:rFonts w:ascii="Arial" w:hAnsi="Arial" w:cs="Arial"/>
        </w:rPr>
        <w:t>A lawyer may not make arguments based on matters outside the record except for matters that are the proper subject of judicial notice. G.S. 15A-1230(a).</w:t>
      </w:r>
    </w:p>
    <w:p w14:paraId="49E4E2ED" w14:textId="4D25F394" w:rsidR="00B00607" w:rsidRDefault="007B6333" w:rsidP="00DB30BF">
      <w:pPr>
        <w:pStyle w:val="ListParagraph"/>
        <w:numPr>
          <w:ilvl w:val="3"/>
          <w:numId w:val="8"/>
        </w:numPr>
        <w:spacing w:after="0" w:line="240" w:lineRule="auto"/>
        <w:ind w:hanging="720"/>
        <w:rPr>
          <w:rFonts w:ascii="Arial" w:hAnsi="Arial" w:cs="Arial"/>
        </w:rPr>
      </w:pPr>
      <w:r w:rsidRPr="00641284">
        <w:rPr>
          <w:rFonts w:ascii="Arial" w:hAnsi="Arial" w:cs="Arial"/>
          <w:b/>
          <w:bCs/>
        </w:rPr>
        <w:t>Facts Not in Evidence</w:t>
      </w:r>
      <w:r w:rsidR="000B1C12">
        <w:rPr>
          <w:rFonts w:ascii="Arial" w:hAnsi="Arial" w:cs="Arial"/>
          <w:b/>
          <w:bCs/>
        </w:rPr>
        <w:t xml:space="preserve"> or Misstatement of Facts</w:t>
      </w:r>
      <w:r w:rsidR="00FB164D">
        <w:rPr>
          <w:rFonts w:ascii="Arial" w:hAnsi="Arial" w:cs="Arial"/>
          <w:b/>
          <w:bCs/>
        </w:rPr>
        <w:t xml:space="preserve"> in Evidence</w:t>
      </w:r>
      <w:r w:rsidRPr="00641284">
        <w:rPr>
          <w:rFonts w:ascii="Arial" w:hAnsi="Arial" w:cs="Arial"/>
          <w:b/>
          <w:bCs/>
        </w:rPr>
        <w:t xml:space="preserve">. </w:t>
      </w:r>
      <w:r w:rsidRPr="00641284">
        <w:rPr>
          <w:rFonts w:ascii="Arial" w:hAnsi="Arial" w:cs="Arial"/>
        </w:rPr>
        <w:t xml:space="preserve">A lawyer may not argue facts that are not in evidence. </w:t>
      </w:r>
      <w:r w:rsidRPr="00641284">
        <w:rPr>
          <w:rFonts w:ascii="Arial" w:hAnsi="Arial" w:cs="Arial"/>
          <w:i/>
          <w:iCs/>
        </w:rPr>
        <w:t xml:space="preserve">See, e.g., </w:t>
      </w:r>
      <w:r w:rsidRPr="00641284">
        <w:rPr>
          <w:rFonts w:ascii="Arial" w:hAnsi="Arial" w:cs="Arial"/>
        </w:rPr>
        <w:t xml:space="preserve">State v. Jones, 355 N.C. 117, 132 (2002) (improper to refer to the Columbine school shooting and the Oklahoma City federal building bombing as those events were outside of the record); </w:t>
      </w:r>
      <w:r w:rsidR="009D165F">
        <w:rPr>
          <w:rFonts w:ascii="Arial" w:hAnsi="Arial" w:cs="Arial"/>
        </w:rPr>
        <w:t xml:space="preserve">State v. Reber, 289 N.C. App. 66, 81-82 (2023) (grossly improper for prosecutor to infer that defendant spread sexually transmitted </w:t>
      </w:r>
      <w:r w:rsidR="009D165F">
        <w:rPr>
          <w:rFonts w:ascii="Arial" w:hAnsi="Arial" w:cs="Arial"/>
        </w:rPr>
        <w:lastRenderedPageBreak/>
        <w:t xml:space="preserve">diseases to or impregnated alleged </w:t>
      </w:r>
      <w:r w:rsidR="008061DE">
        <w:rPr>
          <w:rFonts w:ascii="Arial" w:hAnsi="Arial" w:cs="Arial"/>
        </w:rPr>
        <w:t xml:space="preserve">child </w:t>
      </w:r>
      <w:r w:rsidR="009D165F">
        <w:rPr>
          <w:rFonts w:ascii="Arial" w:hAnsi="Arial" w:cs="Arial"/>
        </w:rPr>
        <w:t>victim where there was no evidence</w:t>
      </w:r>
      <w:r w:rsidR="008061DE">
        <w:rPr>
          <w:rFonts w:ascii="Arial" w:hAnsi="Arial" w:cs="Arial"/>
        </w:rPr>
        <w:t xml:space="preserve"> in the record supporting that inference</w:t>
      </w:r>
      <w:r w:rsidR="009D165F">
        <w:rPr>
          <w:rFonts w:ascii="Arial" w:hAnsi="Arial" w:cs="Arial"/>
        </w:rPr>
        <w:t xml:space="preserve">); </w:t>
      </w:r>
      <w:r w:rsidRPr="00641284">
        <w:rPr>
          <w:rFonts w:ascii="Arial" w:hAnsi="Arial" w:cs="Arial"/>
        </w:rPr>
        <w:t xml:space="preserve">State v. Caldwell, 68 N.C. App. 488, 489 (1984) (improper for prosecutor to make assertions about why a witness did not testify when that explanation was not supported by the evidence); </w:t>
      </w:r>
      <w:r w:rsidRPr="00641284">
        <w:rPr>
          <w:rFonts w:ascii="Arial" w:hAnsi="Arial" w:cs="Arial"/>
          <w:i/>
          <w:iCs/>
        </w:rPr>
        <w:t>see also</w:t>
      </w:r>
      <w:r w:rsidRPr="00641284">
        <w:rPr>
          <w:rFonts w:ascii="Arial" w:hAnsi="Arial" w:cs="Arial"/>
        </w:rPr>
        <w:t xml:space="preserve"> N.C. </w:t>
      </w:r>
      <w:r w:rsidRPr="00641284">
        <w:rPr>
          <w:rFonts w:ascii="Arial" w:hAnsi="Arial" w:cs="Arial"/>
          <w:smallCaps/>
        </w:rPr>
        <w:t xml:space="preserve">R. </w:t>
      </w:r>
      <w:proofErr w:type="spellStart"/>
      <w:r w:rsidRPr="00641284">
        <w:rPr>
          <w:rFonts w:ascii="Arial" w:hAnsi="Arial" w:cs="Arial"/>
          <w:smallCaps/>
        </w:rPr>
        <w:t>Prof’l</w:t>
      </w:r>
      <w:proofErr w:type="spellEnd"/>
      <w:r w:rsidRPr="00641284">
        <w:rPr>
          <w:rFonts w:ascii="Arial" w:hAnsi="Arial" w:cs="Arial"/>
          <w:smallCaps/>
        </w:rPr>
        <w:t xml:space="preserve"> Conduct </w:t>
      </w:r>
      <w:r w:rsidRPr="00641284">
        <w:rPr>
          <w:rFonts w:ascii="Arial" w:hAnsi="Arial" w:cs="Arial"/>
        </w:rPr>
        <w:t xml:space="preserve">Rule 3.4(e) (lawyer may not “allude to any matter . . . that will not be supported by admissible evidence”). </w:t>
      </w:r>
    </w:p>
    <w:p w14:paraId="740CA00C" w14:textId="5F60FF96" w:rsidR="007B6333" w:rsidRDefault="00B00607" w:rsidP="00DB30BF">
      <w:pPr>
        <w:pStyle w:val="ListParagraph"/>
        <w:spacing w:after="0" w:line="240" w:lineRule="auto"/>
        <w:ind w:left="2880" w:firstLine="720"/>
        <w:rPr>
          <w:rFonts w:ascii="Arial" w:hAnsi="Arial" w:cs="Arial"/>
        </w:rPr>
      </w:pPr>
      <w:r>
        <w:rPr>
          <w:rFonts w:ascii="Arial" w:hAnsi="Arial" w:cs="Arial"/>
        </w:rPr>
        <w:t xml:space="preserve">It also is improper for a lawyer to misstate the facts </w:t>
      </w:r>
      <w:r w:rsidR="008B3A28">
        <w:rPr>
          <w:rFonts w:ascii="Arial" w:hAnsi="Arial" w:cs="Arial"/>
        </w:rPr>
        <w:t>that</w:t>
      </w:r>
      <w:r>
        <w:rPr>
          <w:rFonts w:ascii="Arial" w:hAnsi="Arial" w:cs="Arial"/>
        </w:rPr>
        <w:t xml:space="preserve"> are in evidence, though </w:t>
      </w:r>
      <w:r w:rsidR="00C42F9F">
        <w:rPr>
          <w:rFonts w:ascii="Arial" w:hAnsi="Arial" w:cs="Arial"/>
        </w:rPr>
        <w:t xml:space="preserve">appellate </w:t>
      </w:r>
      <w:r>
        <w:rPr>
          <w:rFonts w:ascii="Arial" w:hAnsi="Arial" w:cs="Arial"/>
        </w:rPr>
        <w:t xml:space="preserve">courts are reluctant to find prejudicial error in situations where a misstatement is unintentional or </w:t>
      </w:r>
      <w:r w:rsidR="00345CAE">
        <w:rPr>
          <w:rFonts w:ascii="Arial" w:hAnsi="Arial" w:cs="Arial"/>
        </w:rPr>
        <w:t xml:space="preserve">constitutes </w:t>
      </w:r>
      <w:r>
        <w:rPr>
          <w:rFonts w:ascii="Arial" w:hAnsi="Arial" w:cs="Arial"/>
        </w:rPr>
        <w:t>a small portion of an otherwise proper argument. State v. Parker, 377 N.C. 466, 473 (2021) (</w:t>
      </w:r>
      <w:r w:rsidR="008B3A28">
        <w:rPr>
          <w:rFonts w:ascii="Arial" w:hAnsi="Arial" w:cs="Arial"/>
        </w:rPr>
        <w:t xml:space="preserve">trial court did not abuse its discretion by failing to intervene </w:t>
      </w:r>
      <w:r w:rsidR="008B3A28">
        <w:rPr>
          <w:rFonts w:ascii="Arial" w:hAnsi="Arial" w:cs="Arial"/>
          <w:i/>
          <w:iCs/>
        </w:rPr>
        <w:t xml:space="preserve">ex </w:t>
      </w:r>
      <w:proofErr w:type="spellStart"/>
      <w:r w:rsidR="008B3A28">
        <w:rPr>
          <w:rFonts w:ascii="Arial" w:hAnsi="Arial" w:cs="Arial"/>
          <w:i/>
          <w:iCs/>
        </w:rPr>
        <w:t>mero</w:t>
      </w:r>
      <w:proofErr w:type="spellEnd"/>
      <w:r w:rsidR="008B3A28">
        <w:rPr>
          <w:rFonts w:ascii="Arial" w:hAnsi="Arial" w:cs="Arial"/>
          <w:i/>
          <w:iCs/>
        </w:rPr>
        <w:t xml:space="preserve"> motu </w:t>
      </w:r>
      <w:r w:rsidR="008B3A28">
        <w:rPr>
          <w:rFonts w:ascii="Arial" w:hAnsi="Arial" w:cs="Arial"/>
        </w:rPr>
        <w:t xml:space="preserve">to correct </w:t>
      </w:r>
      <w:r>
        <w:rPr>
          <w:rFonts w:ascii="Arial" w:hAnsi="Arial" w:cs="Arial"/>
        </w:rPr>
        <w:t>prosecutor’s unintentional misstatements concerning the location of defendant’s tattoos; “</w:t>
      </w:r>
      <w:r w:rsidRPr="00B00607">
        <w:rPr>
          <w:rFonts w:ascii="Arial" w:hAnsi="Arial" w:cs="Arial"/>
        </w:rPr>
        <w:t>We decline to impose a perfection requirement on the attorneys and trial courts of this State, ever mindful that parties are entitled to a fair trial but not a perfect one.”</w:t>
      </w:r>
      <w:r>
        <w:rPr>
          <w:rFonts w:ascii="Arial" w:hAnsi="Arial" w:cs="Arial"/>
        </w:rPr>
        <w:t xml:space="preserve"> (internal quotation omitted)); State v. McNeill, 371 N.C. 198, 251 (2018) (in a murder case where defense counsel revealed the location of the victim’s body to law enforcement without revealing the defendant as the source of that information, it was improper for the prosecutor argue that the body was found “where the defendant’s lawyer said [the defendant] put the body”; </w:t>
      </w:r>
      <w:r w:rsidR="008B3A28">
        <w:rPr>
          <w:rFonts w:ascii="Arial" w:hAnsi="Arial" w:cs="Arial"/>
        </w:rPr>
        <w:t>trial court did not abuse its discretion by denying defendant’s motion for mistrial as the remark was part of an otherwise proper argument inferring that the defendant was the source of the information</w:t>
      </w:r>
      <w:r>
        <w:rPr>
          <w:rFonts w:ascii="Arial" w:hAnsi="Arial" w:cs="Arial"/>
        </w:rPr>
        <w:t>)</w:t>
      </w:r>
      <w:r w:rsidR="000342B1">
        <w:rPr>
          <w:rFonts w:ascii="Arial" w:hAnsi="Arial" w:cs="Arial"/>
        </w:rPr>
        <w:t xml:space="preserve">; State v. Scott, 343 N.C. 313, 344-45 (1996) (trial court did not err by failing to intervene </w:t>
      </w:r>
      <w:r w:rsidR="000342B1">
        <w:rPr>
          <w:rFonts w:ascii="Arial" w:hAnsi="Arial" w:cs="Arial"/>
          <w:i/>
          <w:iCs/>
        </w:rPr>
        <w:t xml:space="preserve">ex </w:t>
      </w:r>
      <w:proofErr w:type="spellStart"/>
      <w:r w:rsidR="000342B1">
        <w:rPr>
          <w:rFonts w:ascii="Arial" w:hAnsi="Arial" w:cs="Arial"/>
          <w:i/>
          <w:iCs/>
        </w:rPr>
        <w:t>mero</w:t>
      </w:r>
      <w:proofErr w:type="spellEnd"/>
      <w:r w:rsidR="000342B1">
        <w:rPr>
          <w:rFonts w:ascii="Arial" w:hAnsi="Arial" w:cs="Arial"/>
          <w:i/>
          <w:iCs/>
        </w:rPr>
        <w:t xml:space="preserve"> motu</w:t>
      </w:r>
      <w:r w:rsidR="000342B1">
        <w:rPr>
          <w:rFonts w:ascii="Arial" w:hAnsi="Arial" w:cs="Arial"/>
        </w:rPr>
        <w:t xml:space="preserve"> to correct prosecutor’s “slight” mix-up of facts concerning two different assaults)</w:t>
      </w:r>
      <w:r>
        <w:rPr>
          <w:rFonts w:ascii="Arial" w:hAnsi="Arial" w:cs="Arial"/>
        </w:rPr>
        <w:t>.</w:t>
      </w:r>
      <w:r w:rsidR="000B1C12">
        <w:rPr>
          <w:rFonts w:ascii="Arial" w:hAnsi="Arial" w:cs="Arial"/>
        </w:rPr>
        <w:t xml:space="preserve"> The pattern jury instruction for remarks to jurors before final arguments, NCPI Crim. 101.37, specifically admonishes jurors to be guided exclusively by their recollection of the evidence if it differs from that recounted by a lawyer.</w:t>
      </w:r>
    </w:p>
    <w:p w14:paraId="48ECB236" w14:textId="55D9D115" w:rsidR="0060720C" w:rsidRPr="00641284" w:rsidRDefault="0060720C" w:rsidP="00DB30BF">
      <w:pPr>
        <w:pStyle w:val="ListParagraph"/>
        <w:spacing w:after="0" w:line="240" w:lineRule="auto"/>
        <w:ind w:left="2880" w:firstLine="720"/>
        <w:rPr>
          <w:rFonts w:ascii="Arial" w:hAnsi="Arial" w:cs="Arial"/>
        </w:rPr>
      </w:pPr>
      <w:r>
        <w:rPr>
          <w:rFonts w:ascii="Arial" w:hAnsi="Arial" w:cs="Arial"/>
        </w:rPr>
        <w:t xml:space="preserve">A related issue to improperly misstating the facts in evidence is improperly misstating the purpose for which certain facts have been admitted into evidence. </w:t>
      </w:r>
      <w:r w:rsidR="00A1292F">
        <w:rPr>
          <w:rFonts w:ascii="Arial" w:hAnsi="Arial" w:cs="Arial"/>
        </w:rPr>
        <w:t>When</w:t>
      </w:r>
      <w:r>
        <w:rPr>
          <w:rFonts w:ascii="Arial" w:hAnsi="Arial" w:cs="Arial"/>
        </w:rPr>
        <w:t xml:space="preserve"> evidence is introduced </w:t>
      </w:r>
      <w:r w:rsidR="000C1E76">
        <w:rPr>
          <w:rFonts w:ascii="Arial" w:hAnsi="Arial" w:cs="Arial"/>
        </w:rPr>
        <w:t>under</w:t>
      </w:r>
      <w:r>
        <w:rPr>
          <w:rFonts w:ascii="Arial" w:hAnsi="Arial" w:cs="Arial"/>
        </w:rPr>
        <w:t xml:space="preserve"> an evidentiary rule specifically limiting the purpose for which it may be used, it is improper to argue that the jury should consider the evidence for another purpose. </w:t>
      </w:r>
      <w:r>
        <w:rPr>
          <w:rFonts w:ascii="Arial" w:hAnsi="Arial" w:cs="Arial"/>
          <w:i/>
          <w:iCs/>
        </w:rPr>
        <w:t>See, e.g.</w:t>
      </w:r>
      <w:r>
        <w:rPr>
          <w:rFonts w:ascii="Arial" w:hAnsi="Arial" w:cs="Arial"/>
        </w:rPr>
        <w:t>, State v. Tucker, 317 N.C. 532, 542-43 (1986) (improper as a material misstatement of the evidence for prosecutor to argue that the jury should consider defendant’s prior convictions as substantive evidence of guilt when the convictions were introduced solely for impeachment under Rule 609)</w:t>
      </w:r>
      <w:r w:rsidR="006722AF">
        <w:rPr>
          <w:rFonts w:ascii="Arial" w:hAnsi="Arial" w:cs="Arial"/>
        </w:rPr>
        <w:t xml:space="preserve">; </w:t>
      </w:r>
      <w:r w:rsidR="006722AF">
        <w:rPr>
          <w:rFonts w:ascii="Arial" w:hAnsi="Arial" w:cs="Arial"/>
          <w:i/>
          <w:iCs/>
        </w:rPr>
        <w:t xml:space="preserve">see also </w:t>
      </w:r>
      <w:r w:rsidR="006722AF">
        <w:rPr>
          <w:rFonts w:ascii="Arial" w:hAnsi="Arial" w:cs="Arial"/>
        </w:rPr>
        <w:t xml:space="preserve">State v. </w:t>
      </w:r>
      <w:proofErr w:type="spellStart"/>
      <w:r w:rsidR="006722AF">
        <w:rPr>
          <w:rFonts w:ascii="Arial" w:hAnsi="Arial" w:cs="Arial"/>
        </w:rPr>
        <w:t>Phachoumphone</w:t>
      </w:r>
      <w:proofErr w:type="spellEnd"/>
      <w:r w:rsidR="006722AF">
        <w:rPr>
          <w:rFonts w:ascii="Arial" w:hAnsi="Arial" w:cs="Arial"/>
        </w:rPr>
        <w:t xml:space="preserve">, 257 N.C. App. 848, 864-65 (2018) (improper for prosecutor to recite impeachment evidence of witness’s prior inconsistent statement as </w:t>
      </w:r>
      <w:r w:rsidR="00A1292F">
        <w:rPr>
          <w:rFonts w:ascii="Arial" w:hAnsi="Arial" w:cs="Arial"/>
        </w:rPr>
        <w:t>though</w:t>
      </w:r>
      <w:r w:rsidR="007F13CC">
        <w:rPr>
          <w:rFonts w:ascii="Arial" w:hAnsi="Arial" w:cs="Arial"/>
        </w:rPr>
        <w:t xml:space="preserve"> </w:t>
      </w:r>
      <w:r w:rsidR="000C1E76">
        <w:rPr>
          <w:rFonts w:ascii="Arial" w:hAnsi="Arial" w:cs="Arial"/>
        </w:rPr>
        <w:t>statement</w:t>
      </w:r>
      <w:r w:rsidR="006722AF">
        <w:rPr>
          <w:rFonts w:ascii="Arial" w:hAnsi="Arial" w:cs="Arial"/>
        </w:rPr>
        <w:t xml:space="preserve"> was substantive evidence)</w:t>
      </w:r>
      <w:r>
        <w:rPr>
          <w:rFonts w:ascii="Arial" w:hAnsi="Arial" w:cs="Arial"/>
        </w:rPr>
        <w:t>.</w:t>
      </w:r>
    </w:p>
    <w:p w14:paraId="2364E525" w14:textId="77777777" w:rsidR="007B6333" w:rsidRPr="00641284" w:rsidRDefault="007B6333" w:rsidP="00DB30BF">
      <w:pPr>
        <w:pStyle w:val="ListParagraph"/>
        <w:numPr>
          <w:ilvl w:val="3"/>
          <w:numId w:val="8"/>
        </w:numPr>
        <w:spacing w:after="0" w:line="240" w:lineRule="auto"/>
        <w:ind w:hanging="720"/>
        <w:rPr>
          <w:rFonts w:ascii="Arial" w:hAnsi="Arial" w:cs="Arial"/>
        </w:rPr>
      </w:pPr>
      <w:r w:rsidRPr="00641284">
        <w:rPr>
          <w:rFonts w:ascii="Arial" w:hAnsi="Arial" w:cs="Arial"/>
          <w:b/>
          <w:bCs/>
        </w:rPr>
        <w:t>Trial Court’s Legal Rulings.</w:t>
      </w:r>
      <w:r w:rsidRPr="00641284">
        <w:rPr>
          <w:rFonts w:ascii="Arial" w:hAnsi="Arial" w:cs="Arial"/>
        </w:rPr>
        <w:t xml:space="preserve"> A lawyer may not introduce into argument legal rulings of the trial court. State v. Allen, 353 N.C. 504, 508-11 (2001) (new trial required when the prosecutor </w:t>
      </w:r>
      <w:r w:rsidRPr="00641284">
        <w:rPr>
          <w:rFonts w:ascii="Arial" w:hAnsi="Arial" w:cs="Arial"/>
        </w:rPr>
        <w:lastRenderedPageBreak/>
        <w:t xml:space="preserve">argued to the jury with respect to hearsay statements admitted at trial: “the Court let you hear it, because the Court found they were trustworthy and reliable </w:t>
      </w:r>
      <w:proofErr w:type="gramStart"/>
      <w:r w:rsidRPr="00641284">
        <w:rPr>
          <w:rFonts w:ascii="Arial" w:hAnsi="Arial" w:cs="Arial"/>
        </w:rPr>
        <w:t>. . . .</w:t>
      </w:r>
      <w:proofErr w:type="gramEnd"/>
      <w:r w:rsidRPr="00641284">
        <w:rPr>
          <w:rFonts w:ascii="Arial" w:hAnsi="Arial" w:cs="Arial"/>
        </w:rPr>
        <w:t xml:space="preserve"> If there had been anything wrong with that evidence, you would not have heard that”; the court cautioned: “Parties in a trial must take special care against expressing or revealing to the jury legal rulings which have been made by the trial court, as any such disclosures will have the potential for special influence with the jurors.”).</w:t>
      </w:r>
    </w:p>
    <w:p w14:paraId="70B78EC9" w14:textId="75E6494F" w:rsidR="007B6333" w:rsidRPr="00641284" w:rsidRDefault="007B6333" w:rsidP="00DB30BF">
      <w:pPr>
        <w:pStyle w:val="ListParagraph"/>
        <w:numPr>
          <w:ilvl w:val="2"/>
          <w:numId w:val="8"/>
        </w:numPr>
        <w:spacing w:after="0" w:line="240" w:lineRule="auto"/>
        <w:rPr>
          <w:rFonts w:ascii="Arial" w:hAnsi="Arial" w:cs="Arial"/>
        </w:rPr>
      </w:pPr>
      <w:bookmarkStart w:id="56" w:name="_Toc402880729"/>
      <w:bookmarkStart w:id="57" w:name="_Toc163125218"/>
      <w:r w:rsidRPr="00CF4FBE">
        <w:rPr>
          <w:rStyle w:val="Heading3Char"/>
        </w:rPr>
        <w:t>Irrelevant Statements of the Law</w:t>
      </w:r>
      <w:bookmarkEnd w:id="56"/>
      <w:bookmarkEnd w:id="57"/>
      <w:r w:rsidRPr="00641284">
        <w:rPr>
          <w:rFonts w:ascii="Arial" w:hAnsi="Arial" w:cs="Arial"/>
          <w:b/>
          <w:bCs/>
        </w:rPr>
        <w:t xml:space="preserve">. </w:t>
      </w:r>
      <w:r w:rsidRPr="00641284">
        <w:rPr>
          <w:rFonts w:ascii="Arial" w:hAnsi="Arial" w:cs="Arial"/>
        </w:rPr>
        <w:t>Although counsel may argue all relevant law to the jury, see Section I</w:t>
      </w:r>
      <w:r w:rsidR="008B3DD4">
        <w:rPr>
          <w:rFonts w:ascii="Arial" w:hAnsi="Arial" w:cs="Arial"/>
        </w:rPr>
        <w:t>V</w:t>
      </w:r>
      <w:r w:rsidRPr="00641284">
        <w:rPr>
          <w:rFonts w:ascii="Arial" w:hAnsi="Arial" w:cs="Arial"/>
        </w:rPr>
        <w:t xml:space="preserve">.B above, it is improper for counsel to argue points of law that have no bearing on the case at hand. </w:t>
      </w:r>
      <w:r w:rsidRPr="00641284">
        <w:rPr>
          <w:rFonts w:ascii="Arial" w:hAnsi="Arial" w:cs="Arial"/>
          <w:i/>
          <w:iCs/>
        </w:rPr>
        <w:t xml:space="preserve">See, e.g., </w:t>
      </w:r>
      <w:r w:rsidRPr="00641284">
        <w:rPr>
          <w:rFonts w:ascii="Arial" w:hAnsi="Arial" w:cs="Arial"/>
        </w:rPr>
        <w:t>State v. Gardner, 316 N.C. 605</w:t>
      </w:r>
      <w:r w:rsidR="00C24529">
        <w:rPr>
          <w:rFonts w:ascii="Arial" w:hAnsi="Arial" w:cs="Arial"/>
        </w:rPr>
        <w:t>, 609</w:t>
      </w:r>
      <w:r w:rsidRPr="00641284">
        <w:rPr>
          <w:rFonts w:ascii="Arial" w:hAnsi="Arial" w:cs="Arial"/>
        </w:rPr>
        <w:t xml:space="preserve"> (1986) (“Although it is well settled that counsel may argue the law as well as the facts, he may not read to the jury decisions discussing principles of law which are irrelevant to the case and have no application to the facts in evidence.”</w:t>
      </w:r>
      <w:r w:rsidRPr="00641284">
        <w:t xml:space="preserve"> </w:t>
      </w:r>
      <w:r w:rsidRPr="00641284">
        <w:rPr>
          <w:rFonts w:ascii="Arial" w:hAnsi="Arial" w:cs="Arial"/>
        </w:rPr>
        <w:t>(citation omitted)</w:t>
      </w:r>
      <w:r w:rsidR="00C24529">
        <w:rPr>
          <w:rFonts w:ascii="Arial" w:hAnsi="Arial" w:cs="Arial"/>
        </w:rPr>
        <w:t>)</w:t>
      </w:r>
      <w:r w:rsidRPr="00641284">
        <w:rPr>
          <w:rFonts w:ascii="Arial" w:hAnsi="Arial" w:cs="Arial"/>
        </w:rPr>
        <w:t>.</w:t>
      </w:r>
    </w:p>
    <w:p w14:paraId="4CEDA6C3" w14:textId="3E20B8DB" w:rsidR="007B6333" w:rsidRPr="00641284" w:rsidRDefault="007B6333" w:rsidP="00DB30BF">
      <w:pPr>
        <w:pStyle w:val="ListParagraph"/>
        <w:numPr>
          <w:ilvl w:val="2"/>
          <w:numId w:val="8"/>
        </w:numPr>
        <w:spacing w:after="0" w:line="240" w:lineRule="auto"/>
        <w:rPr>
          <w:rFonts w:ascii="Arial" w:hAnsi="Arial" w:cs="Arial"/>
        </w:rPr>
      </w:pPr>
      <w:bookmarkStart w:id="58" w:name="_Toc402880730"/>
      <w:bookmarkStart w:id="59" w:name="_Toc163125219"/>
      <w:r w:rsidRPr="00CF4FBE">
        <w:rPr>
          <w:rStyle w:val="Heading3Char"/>
        </w:rPr>
        <w:t>Incorrect Statements of the Law</w:t>
      </w:r>
      <w:bookmarkEnd w:id="58"/>
      <w:bookmarkEnd w:id="59"/>
      <w:r w:rsidRPr="00641284">
        <w:rPr>
          <w:rFonts w:ascii="Arial" w:hAnsi="Arial" w:cs="Arial"/>
          <w:b/>
          <w:bCs/>
        </w:rPr>
        <w:t xml:space="preserve">. </w:t>
      </w:r>
      <w:r w:rsidRPr="00641284">
        <w:rPr>
          <w:rFonts w:ascii="Arial" w:hAnsi="Arial" w:cs="Arial"/>
        </w:rPr>
        <w:t xml:space="preserve">It is improper for counsel to misstate the law during jury argument. </w:t>
      </w:r>
      <w:r w:rsidR="003A5D8B">
        <w:rPr>
          <w:rFonts w:ascii="Arial" w:hAnsi="Arial" w:cs="Arial"/>
        </w:rPr>
        <w:t xml:space="preserve">State v. Fletcher, 370 N.C. 313, 322 (2017) (prosecutor’s argument was improper where it </w:t>
      </w:r>
      <w:r w:rsidR="00C8743D">
        <w:rPr>
          <w:rFonts w:ascii="Arial" w:hAnsi="Arial" w:cs="Arial"/>
        </w:rPr>
        <w:t>i</w:t>
      </w:r>
      <w:r w:rsidR="006B5027">
        <w:rPr>
          <w:rFonts w:ascii="Arial" w:hAnsi="Arial" w:cs="Arial"/>
        </w:rPr>
        <w:t>ncorrectly</w:t>
      </w:r>
      <w:r w:rsidR="00C8743D">
        <w:rPr>
          <w:rFonts w:ascii="Arial" w:hAnsi="Arial" w:cs="Arial"/>
        </w:rPr>
        <w:t xml:space="preserve"> asserted</w:t>
      </w:r>
      <w:r w:rsidR="006B5027">
        <w:rPr>
          <w:rFonts w:ascii="Arial" w:hAnsi="Arial" w:cs="Arial"/>
        </w:rPr>
        <w:t xml:space="preserve"> </w:t>
      </w:r>
      <w:r w:rsidR="003A5D8B">
        <w:rPr>
          <w:rFonts w:ascii="Arial" w:hAnsi="Arial" w:cs="Arial"/>
        </w:rPr>
        <w:t>that certain conduct would constitute first-degree sexual exploitation of a minor)</w:t>
      </w:r>
      <w:r w:rsidR="0097024C">
        <w:rPr>
          <w:rFonts w:ascii="Arial" w:hAnsi="Arial" w:cs="Arial"/>
        </w:rPr>
        <w:t>; State v. Martin, 248 N.C. App. 84, 90 (2016) (improper for prosecutor to argue in armed robbery case that it made no difference whether a shotgun was loaded as this incorrectly stated the law re</w:t>
      </w:r>
      <w:r w:rsidR="00C8743D">
        <w:rPr>
          <w:rFonts w:ascii="Arial" w:hAnsi="Arial" w:cs="Arial"/>
        </w:rPr>
        <w:t>garding</w:t>
      </w:r>
      <w:r w:rsidR="0097024C">
        <w:rPr>
          <w:rFonts w:ascii="Arial" w:hAnsi="Arial" w:cs="Arial"/>
        </w:rPr>
        <w:t xml:space="preserve"> an element of th</w:t>
      </w:r>
      <w:r w:rsidR="00C24529">
        <w:rPr>
          <w:rFonts w:ascii="Arial" w:hAnsi="Arial" w:cs="Arial"/>
        </w:rPr>
        <w:t>e</w:t>
      </w:r>
      <w:r w:rsidR="0097024C">
        <w:rPr>
          <w:rFonts w:ascii="Arial" w:hAnsi="Arial" w:cs="Arial"/>
        </w:rPr>
        <w:t xml:space="preserve"> offense)</w:t>
      </w:r>
      <w:r w:rsidR="003A5D8B">
        <w:rPr>
          <w:rFonts w:ascii="Arial" w:hAnsi="Arial" w:cs="Arial"/>
        </w:rPr>
        <w:t>. In addition to the straightforward prohibition o</w:t>
      </w:r>
      <w:r w:rsidR="00A1292F">
        <w:rPr>
          <w:rFonts w:ascii="Arial" w:hAnsi="Arial" w:cs="Arial"/>
        </w:rPr>
        <w:t>f</w:t>
      </w:r>
      <w:r w:rsidR="003A5D8B">
        <w:rPr>
          <w:rFonts w:ascii="Arial" w:hAnsi="Arial" w:cs="Arial"/>
        </w:rPr>
        <w:t xml:space="preserve"> </w:t>
      </w:r>
      <w:r w:rsidR="0097024C">
        <w:rPr>
          <w:rFonts w:ascii="Arial" w:hAnsi="Arial" w:cs="Arial"/>
        </w:rPr>
        <w:t>arguments</w:t>
      </w:r>
      <w:r w:rsidR="003A5D8B">
        <w:rPr>
          <w:rFonts w:ascii="Arial" w:hAnsi="Arial" w:cs="Arial"/>
        </w:rPr>
        <w:t xml:space="preserve"> that are</w:t>
      </w:r>
      <w:r w:rsidR="00A1292F">
        <w:rPr>
          <w:rFonts w:ascii="Arial" w:hAnsi="Arial" w:cs="Arial"/>
        </w:rPr>
        <w:t xml:space="preserve"> legally</w:t>
      </w:r>
      <w:r w:rsidR="003A5D8B">
        <w:rPr>
          <w:rFonts w:ascii="Arial" w:hAnsi="Arial" w:cs="Arial"/>
        </w:rPr>
        <w:t xml:space="preserve"> incorrect,</w:t>
      </w:r>
      <w:r w:rsidRPr="00641284">
        <w:rPr>
          <w:rFonts w:ascii="Arial" w:hAnsi="Arial" w:cs="Arial"/>
        </w:rPr>
        <w:t xml:space="preserve"> counsel may not:</w:t>
      </w:r>
    </w:p>
    <w:p w14:paraId="54235656" w14:textId="77777777" w:rsidR="007B6333" w:rsidRPr="00641284" w:rsidRDefault="007B6333" w:rsidP="00DB30BF">
      <w:pPr>
        <w:pStyle w:val="ListParagraph"/>
        <w:numPr>
          <w:ilvl w:val="0"/>
          <w:numId w:val="15"/>
        </w:numPr>
        <w:spacing w:after="0" w:line="240" w:lineRule="auto"/>
        <w:ind w:left="2880"/>
        <w:rPr>
          <w:rFonts w:ascii="Arial" w:hAnsi="Arial" w:cs="Arial"/>
        </w:rPr>
      </w:pPr>
      <w:r w:rsidRPr="00641284">
        <w:rPr>
          <w:rFonts w:ascii="Arial" w:hAnsi="Arial" w:cs="Arial"/>
        </w:rPr>
        <w:t xml:space="preserve">present a statement of the law out of context, </w:t>
      </w:r>
      <w:r w:rsidRPr="00641284">
        <w:rPr>
          <w:rFonts w:ascii="Arial" w:hAnsi="Arial" w:cs="Arial"/>
          <w:i/>
          <w:iCs/>
        </w:rPr>
        <w:t>see, e.g., Gardner</w:t>
      </w:r>
      <w:r w:rsidRPr="00641284">
        <w:rPr>
          <w:rFonts w:ascii="Arial" w:hAnsi="Arial" w:cs="Arial"/>
        </w:rPr>
        <w:t xml:space="preserve">, 316 N.C. at 610, </w:t>
      </w:r>
    </w:p>
    <w:p w14:paraId="6AB416BA" w14:textId="0294BBCD" w:rsidR="007B6333" w:rsidRPr="00641284" w:rsidRDefault="007B6333" w:rsidP="00DB30BF">
      <w:pPr>
        <w:pStyle w:val="ListParagraph"/>
        <w:numPr>
          <w:ilvl w:val="0"/>
          <w:numId w:val="15"/>
        </w:numPr>
        <w:spacing w:after="0" w:line="240" w:lineRule="auto"/>
        <w:ind w:left="2880"/>
        <w:rPr>
          <w:rFonts w:ascii="Arial" w:hAnsi="Arial" w:cs="Arial"/>
        </w:rPr>
      </w:pPr>
      <w:r w:rsidRPr="00641284">
        <w:rPr>
          <w:rFonts w:ascii="Arial" w:hAnsi="Arial" w:cs="Arial"/>
        </w:rPr>
        <w:t xml:space="preserve">read from a dissenting opinion in a reported case, </w:t>
      </w:r>
      <w:r w:rsidRPr="00641284">
        <w:rPr>
          <w:rFonts w:ascii="Arial" w:hAnsi="Arial" w:cs="Arial"/>
          <w:i/>
          <w:iCs/>
        </w:rPr>
        <w:t xml:space="preserve">see, e.g., id. </w:t>
      </w:r>
      <w:r w:rsidRPr="00641284">
        <w:rPr>
          <w:rFonts w:ascii="Arial" w:hAnsi="Arial" w:cs="Arial"/>
        </w:rPr>
        <w:t xml:space="preserve">at 611, or </w:t>
      </w:r>
    </w:p>
    <w:p w14:paraId="19D8D695" w14:textId="77777777" w:rsidR="007B6333" w:rsidRPr="00641284" w:rsidRDefault="007B6333" w:rsidP="00DB30BF">
      <w:pPr>
        <w:pStyle w:val="ListParagraph"/>
        <w:numPr>
          <w:ilvl w:val="0"/>
          <w:numId w:val="15"/>
        </w:numPr>
        <w:spacing w:after="0" w:line="240" w:lineRule="auto"/>
        <w:ind w:left="2880"/>
        <w:rPr>
          <w:rFonts w:ascii="Arial" w:hAnsi="Arial" w:cs="Arial"/>
        </w:rPr>
      </w:pPr>
      <w:r w:rsidRPr="00641284">
        <w:rPr>
          <w:rFonts w:ascii="Arial" w:hAnsi="Arial" w:cs="Arial"/>
        </w:rPr>
        <w:t xml:space="preserve">read from a case that no longer has precedential value, </w:t>
      </w:r>
      <w:r w:rsidRPr="00641284">
        <w:rPr>
          <w:rFonts w:ascii="Arial" w:hAnsi="Arial" w:cs="Arial"/>
          <w:i/>
          <w:iCs/>
        </w:rPr>
        <w:t xml:space="preserve">see, e.g., id. </w:t>
      </w:r>
      <w:r w:rsidRPr="00641284">
        <w:rPr>
          <w:rFonts w:ascii="Arial" w:hAnsi="Arial" w:cs="Arial"/>
        </w:rPr>
        <w:t xml:space="preserve">(trial court did not err by prohibiting defense counsel from reading from a case when at the time the opinion had no “legal precedential value as part of the body of the law of this State”). </w:t>
      </w:r>
    </w:p>
    <w:p w14:paraId="2EACD305" w14:textId="1895384E" w:rsidR="007B6333" w:rsidRDefault="00A1292F" w:rsidP="00DB30BF">
      <w:pPr>
        <w:spacing w:after="0" w:line="240" w:lineRule="auto"/>
        <w:ind w:left="2160"/>
        <w:rPr>
          <w:rFonts w:ascii="Arial" w:hAnsi="Arial" w:cs="Arial"/>
        </w:rPr>
      </w:pPr>
      <w:r>
        <w:rPr>
          <w:rFonts w:ascii="Arial" w:hAnsi="Arial" w:cs="Arial"/>
        </w:rPr>
        <w:t>T</w:t>
      </w:r>
      <w:r w:rsidR="007B6333" w:rsidRPr="00641284">
        <w:rPr>
          <w:rFonts w:ascii="Arial" w:hAnsi="Arial" w:cs="Arial"/>
        </w:rPr>
        <w:t>he prosecutor</w:t>
      </w:r>
      <w:r>
        <w:rPr>
          <w:rFonts w:ascii="Arial" w:hAnsi="Arial" w:cs="Arial"/>
        </w:rPr>
        <w:t xml:space="preserve"> also</w:t>
      </w:r>
      <w:r w:rsidR="007B6333" w:rsidRPr="00641284">
        <w:rPr>
          <w:rFonts w:ascii="Arial" w:hAnsi="Arial" w:cs="Arial"/>
        </w:rPr>
        <w:t xml:space="preserve"> may not make arguments that undermine the presumption of innocence. State v. Wilder, 124 N.C. App. 136, 142-43 (1996) (the prosecutor's remarks improperly undermined the presumption of innocence; the prosecutor implied that by pleading not guilty </w:t>
      </w:r>
      <w:proofErr w:type="gramStart"/>
      <w:r w:rsidR="007B6333" w:rsidRPr="00641284">
        <w:rPr>
          <w:rFonts w:ascii="Arial" w:hAnsi="Arial" w:cs="Arial"/>
        </w:rPr>
        <w:t>in order to</w:t>
      </w:r>
      <w:proofErr w:type="gramEnd"/>
      <w:r w:rsidR="007B6333" w:rsidRPr="00641284">
        <w:rPr>
          <w:rFonts w:ascii="Arial" w:hAnsi="Arial" w:cs="Arial"/>
        </w:rPr>
        <w:t xml:space="preserve"> put the State to its burden of proving the charge against him, the defendant was really guilty).</w:t>
      </w:r>
    </w:p>
    <w:p w14:paraId="372825D5" w14:textId="1735C885" w:rsidR="007B6333" w:rsidRPr="00641284" w:rsidRDefault="007B6333" w:rsidP="00DB30BF">
      <w:pPr>
        <w:pStyle w:val="ListParagraph"/>
        <w:numPr>
          <w:ilvl w:val="2"/>
          <w:numId w:val="8"/>
        </w:numPr>
        <w:spacing w:after="0" w:line="240" w:lineRule="auto"/>
        <w:rPr>
          <w:rFonts w:ascii="Arial" w:hAnsi="Arial" w:cs="Arial"/>
        </w:rPr>
      </w:pPr>
      <w:bookmarkStart w:id="60" w:name="_Toc402880731"/>
      <w:bookmarkStart w:id="61" w:name="_Toc163125220"/>
      <w:r w:rsidRPr="00CF4FBE">
        <w:rPr>
          <w:rStyle w:val="Heading3Char"/>
        </w:rPr>
        <w:t xml:space="preserve">Arguing that a Result is Mandated </w:t>
      </w:r>
      <w:r w:rsidR="00B00607">
        <w:rPr>
          <w:rStyle w:val="Heading3Char"/>
        </w:rPr>
        <w:t>b</w:t>
      </w:r>
      <w:r w:rsidRPr="00CF4FBE">
        <w:rPr>
          <w:rStyle w:val="Heading3Char"/>
        </w:rPr>
        <w:t>y a Prior Case</w:t>
      </w:r>
      <w:bookmarkEnd w:id="60"/>
      <w:bookmarkEnd w:id="61"/>
      <w:r w:rsidRPr="00641284">
        <w:rPr>
          <w:rFonts w:ascii="Arial" w:hAnsi="Arial" w:cs="Arial"/>
          <w:b/>
          <w:bCs/>
        </w:rPr>
        <w:t>.</w:t>
      </w:r>
      <w:r w:rsidRPr="00641284">
        <w:rPr>
          <w:rFonts w:ascii="Arial" w:hAnsi="Arial" w:cs="Arial"/>
        </w:rPr>
        <w:t xml:space="preserve"> As discussed in Section I</w:t>
      </w:r>
      <w:r w:rsidR="00E571D0">
        <w:rPr>
          <w:rFonts w:ascii="Arial" w:hAnsi="Arial" w:cs="Arial"/>
        </w:rPr>
        <w:t>V</w:t>
      </w:r>
      <w:r w:rsidRPr="00641284">
        <w:rPr>
          <w:rFonts w:ascii="Arial" w:hAnsi="Arial" w:cs="Arial"/>
        </w:rPr>
        <w:t xml:space="preserve">.B above, a lawyer may argue all relevant law to the jury, and this may include reading from prior cases. Caution should be exercised, however, </w:t>
      </w:r>
      <w:proofErr w:type="gramStart"/>
      <w:r w:rsidRPr="00641284">
        <w:rPr>
          <w:rFonts w:ascii="Arial" w:hAnsi="Arial" w:cs="Arial"/>
        </w:rPr>
        <w:t>with regard to</w:t>
      </w:r>
      <w:proofErr w:type="gramEnd"/>
      <w:r w:rsidRPr="00641284">
        <w:rPr>
          <w:rFonts w:ascii="Arial" w:hAnsi="Arial" w:cs="Arial"/>
        </w:rPr>
        <w:t xml:space="preserve"> recitation of the facts of </w:t>
      </w:r>
      <w:r w:rsidRPr="00F74D0F">
        <w:rPr>
          <w:rFonts w:ascii="Arial" w:hAnsi="Arial" w:cs="Arial"/>
          <w:iCs/>
        </w:rPr>
        <w:t>other</w:t>
      </w:r>
      <w:r w:rsidRPr="00641284">
        <w:rPr>
          <w:rFonts w:ascii="Arial" w:hAnsi="Arial" w:cs="Arial"/>
        </w:rPr>
        <w:t xml:space="preserve"> cases. State v. Wright, 304 N.C. 349</w:t>
      </w:r>
      <w:r w:rsidR="00E571D0">
        <w:rPr>
          <w:rFonts w:ascii="Arial" w:hAnsi="Arial" w:cs="Arial"/>
        </w:rPr>
        <w:t>, 355</w:t>
      </w:r>
      <w:r w:rsidRPr="00641284">
        <w:rPr>
          <w:rFonts w:ascii="Arial" w:hAnsi="Arial" w:cs="Arial"/>
        </w:rPr>
        <w:t xml:space="preserve"> (1981) (“We perceive that the facts of </w:t>
      </w:r>
      <w:r w:rsidRPr="00641284">
        <w:rPr>
          <w:rFonts w:ascii="Arial" w:hAnsi="Arial" w:cs="Arial"/>
          <w:i/>
          <w:iCs/>
        </w:rPr>
        <w:t>other</w:t>
      </w:r>
      <w:r w:rsidRPr="00641284">
        <w:rPr>
          <w:rFonts w:ascii="Arial" w:hAnsi="Arial" w:cs="Arial"/>
        </w:rPr>
        <w:t xml:space="preserve"> cases would ordinarily be inappropriate topics for jury argument.” (emphasis in original)). Additionally, a lawyer may not recite the facts of another tried case together with the result to suggest that a similar result should obtain in the case at hand. </w:t>
      </w:r>
      <w:r w:rsidRPr="00641284">
        <w:rPr>
          <w:rFonts w:ascii="Arial" w:hAnsi="Arial" w:cs="Arial"/>
          <w:i/>
          <w:iCs/>
        </w:rPr>
        <w:t>Gardner</w:t>
      </w:r>
      <w:r w:rsidRPr="00641284">
        <w:rPr>
          <w:rFonts w:ascii="Arial" w:hAnsi="Arial" w:cs="Arial"/>
        </w:rPr>
        <w:t xml:space="preserve">, 316 N.C. at 611; State v. Thomas, 350 N.C. 315, 353-55 (1999) (quoting </w:t>
      </w:r>
      <w:r w:rsidRPr="00641284">
        <w:rPr>
          <w:rFonts w:ascii="Arial" w:hAnsi="Arial" w:cs="Arial"/>
          <w:i/>
          <w:iCs/>
        </w:rPr>
        <w:t>Gardner</w:t>
      </w:r>
      <w:r w:rsidRPr="00641284">
        <w:rPr>
          <w:rFonts w:ascii="Arial" w:hAnsi="Arial" w:cs="Arial"/>
        </w:rPr>
        <w:t xml:space="preserve">; prosecution’s argument was proper where it was limited to reciting relevant statement of law); State v. Billings, 348 N.C. 169, 185 (1998) (citing </w:t>
      </w:r>
      <w:r w:rsidRPr="00641284">
        <w:rPr>
          <w:rFonts w:ascii="Arial" w:hAnsi="Arial" w:cs="Arial"/>
          <w:i/>
          <w:iCs/>
        </w:rPr>
        <w:t>Gardner</w:t>
      </w:r>
      <w:r w:rsidRPr="00641284">
        <w:rPr>
          <w:rFonts w:ascii="Arial" w:hAnsi="Arial" w:cs="Arial"/>
        </w:rPr>
        <w:t xml:space="preserve"> for this </w:t>
      </w:r>
      <w:r w:rsidRPr="00641284">
        <w:rPr>
          <w:rFonts w:ascii="Arial" w:hAnsi="Arial" w:cs="Arial"/>
        </w:rPr>
        <w:lastRenderedPageBreak/>
        <w:t xml:space="preserve">proposition); State v. Burr, 341 N.C. 263, 307 (1995) (same); State v. Simmons, 205 N.C. App. 509, 515-16 (2010) (improper for prosecutor to make such an argument). </w:t>
      </w:r>
    </w:p>
    <w:p w14:paraId="1A402D01" w14:textId="1460F12C" w:rsidR="007B6333" w:rsidRPr="00641284" w:rsidRDefault="007B6333" w:rsidP="00DB30BF">
      <w:pPr>
        <w:pStyle w:val="ListParagraph"/>
        <w:numPr>
          <w:ilvl w:val="2"/>
          <w:numId w:val="8"/>
        </w:numPr>
        <w:spacing w:after="0" w:line="240" w:lineRule="auto"/>
        <w:rPr>
          <w:rFonts w:ascii="Arial" w:hAnsi="Arial" w:cs="Arial"/>
          <w:b/>
          <w:bCs/>
        </w:rPr>
      </w:pPr>
      <w:bookmarkStart w:id="62" w:name="_Toc402880732"/>
      <w:bookmarkStart w:id="63" w:name="_Toc163125221"/>
      <w:r w:rsidRPr="00CF4FBE">
        <w:rPr>
          <w:rStyle w:val="Heading3Char"/>
        </w:rPr>
        <w:t>Pretrial Silence</w:t>
      </w:r>
      <w:bookmarkEnd w:id="62"/>
      <w:bookmarkEnd w:id="63"/>
      <w:r w:rsidRPr="00641284">
        <w:rPr>
          <w:rFonts w:ascii="Arial" w:hAnsi="Arial" w:cs="Arial"/>
          <w:b/>
          <w:bCs/>
        </w:rPr>
        <w:t xml:space="preserve">. </w:t>
      </w:r>
      <w:r w:rsidR="00877BA2">
        <w:rPr>
          <w:rFonts w:ascii="Arial" w:hAnsi="Arial" w:cs="Arial"/>
        </w:rPr>
        <w:t xml:space="preserve">As discussed above in Section IV.E, </w:t>
      </w:r>
      <w:r w:rsidR="002F6E11">
        <w:rPr>
          <w:rFonts w:ascii="Arial" w:hAnsi="Arial" w:cs="Arial"/>
        </w:rPr>
        <w:t xml:space="preserve">if a defendant testifies at trial, </w:t>
      </w:r>
      <w:r w:rsidR="00877BA2">
        <w:rPr>
          <w:rFonts w:ascii="Arial" w:hAnsi="Arial" w:cs="Arial"/>
        </w:rPr>
        <w:t xml:space="preserve">evidence of </w:t>
      </w:r>
      <w:r w:rsidR="000478BF">
        <w:rPr>
          <w:rFonts w:ascii="Arial" w:hAnsi="Arial" w:cs="Arial"/>
        </w:rPr>
        <w:t>the</w:t>
      </w:r>
      <w:r w:rsidR="00877BA2">
        <w:rPr>
          <w:rFonts w:ascii="Arial" w:hAnsi="Arial" w:cs="Arial"/>
        </w:rPr>
        <w:t xml:space="preserve"> defendant’s pretrial silence</w:t>
      </w:r>
      <w:r w:rsidR="00E843BB">
        <w:rPr>
          <w:rFonts w:ascii="Arial" w:hAnsi="Arial" w:cs="Arial"/>
        </w:rPr>
        <w:t xml:space="preserve"> in connection with a criminal investigation</w:t>
      </w:r>
      <w:r w:rsidR="00877BA2">
        <w:rPr>
          <w:rFonts w:ascii="Arial" w:hAnsi="Arial" w:cs="Arial"/>
        </w:rPr>
        <w:t xml:space="preserve"> prior to receiving </w:t>
      </w:r>
      <w:r w:rsidR="00877BA2">
        <w:rPr>
          <w:rFonts w:ascii="Arial" w:hAnsi="Arial" w:cs="Arial"/>
          <w:i/>
          <w:iCs/>
        </w:rPr>
        <w:t xml:space="preserve">Miranda </w:t>
      </w:r>
      <w:r w:rsidR="00877BA2">
        <w:rPr>
          <w:rFonts w:ascii="Arial" w:hAnsi="Arial" w:cs="Arial"/>
        </w:rPr>
        <w:t>warnings sometimes may be introduced to impeach the defendant’s testimony. It is imp</w:t>
      </w:r>
      <w:r w:rsidR="004F6017">
        <w:rPr>
          <w:rFonts w:ascii="Arial" w:hAnsi="Arial" w:cs="Arial"/>
        </w:rPr>
        <w:t>roper</w:t>
      </w:r>
      <w:r w:rsidR="00877BA2">
        <w:rPr>
          <w:rFonts w:ascii="Arial" w:hAnsi="Arial" w:cs="Arial"/>
        </w:rPr>
        <w:t xml:space="preserve"> </w:t>
      </w:r>
      <w:r w:rsidR="00604728">
        <w:rPr>
          <w:rFonts w:ascii="Arial" w:hAnsi="Arial" w:cs="Arial"/>
        </w:rPr>
        <w:t xml:space="preserve">in a jury argument </w:t>
      </w:r>
      <w:r w:rsidR="00877BA2">
        <w:rPr>
          <w:rFonts w:ascii="Arial" w:hAnsi="Arial" w:cs="Arial"/>
        </w:rPr>
        <w:t>to reference such silence</w:t>
      </w:r>
      <w:r w:rsidR="00604728">
        <w:rPr>
          <w:rFonts w:ascii="Arial" w:hAnsi="Arial" w:cs="Arial"/>
        </w:rPr>
        <w:t xml:space="preserve"> as substantive evidence of guilt</w:t>
      </w:r>
      <w:r w:rsidR="00877BA2">
        <w:rPr>
          <w:rFonts w:ascii="Arial" w:hAnsi="Arial" w:cs="Arial"/>
        </w:rPr>
        <w:t xml:space="preserve"> </w:t>
      </w:r>
      <w:r w:rsidR="002F6E11">
        <w:rPr>
          <w:rFonts w:ascii="Arial" w:hAnsi="Arial" w:cs="Arial"/>
        </w:rPr>
        <w:t xml:space="preserve">as </w:t>
      </w:r>
      <w:r w:rsidR="00604728">
        <w:rPr>
          <w:rFonts w:ascii="Arial" w:hAnsi="Arial" w:cs="Arial"/>
        </w:rPr>
        <w:t>this</w:t>
      </w:r>
      <w:r w:rsidR="00290A91">
        <w:rPr>
          <w:rFonts w:ascii="Arial" w:hAnsi="Arial" w:cs="Arial"/>
        </w:rPr>
        <w:t xml:space="preserve"> constitute</w:t>
      </w:r>
      <w:r w:rsidR="000478BF">
        <w:rPr>
          <w:rFonts w:ascii="Arial" w:hAnsi="Arial" w:cs="Arial"/>
        </w:rPr>
        <w:t>s</w:t>
      </w:r>
      <w:r w:rsidR="00290A91">
        <w:rPr>
          <w:rFonts w:ascii="Arial" w:hAnsi="Arial" w:cs="Arial"/>
        </w:rPr>
        <w:t xml:space="preserve"> a misstatement of the facts in evidence, </w:t>
      </w:r>
      <w:r w:rsidR="000478BF">
        <w:rPr>
          <w:rFonts w:ascii="Arial" w:hAnsi="Arial" w:cs="Arial"/>
        </w:rPr>
        <w:t>see</w:t>
      </w:r>
      <w:r w:rsidR="00290A91">
        <w:rPr>
          <w:rFonts w:ascii="Arial" w:hAnsi="Arial" w:cs="Arial"/>
        </w:rPr>
        <w:t xml:space="preserve"> Section V.B.1.a</w:t>
      </w:r>
      <w:r w:rsidR="000478BF">
        <w:rPr>
          <w:rFonts w:ascii="Arial" w:hAnsi="Arial" w:cs="Arial"/>
        </w:rPr>
        <w:t xml:space="preserve"> (noting the prohibition on misstating impeachment evidence as substantive evidence of guilt)</w:t>
      </w:r>
      <w:r w:rsidR="00290A91">
        <w:rPr>
          <w:rFonts w:ascii="Arial" w:hAnsi="Arial" w:cs="Arial"/>
        </w:rPr>
        <w:t>, and infringe</w:t>
      </w:r>
      <w:r w:rsidR="00E843BB">
        <w:rPr>
          <w:rFonts w:ascii="Arial" w:hAnsi="Arial" w:cs="Arial"/>
        </w:rPr>
        <w:t>s</w:t>
      </w:r>
      <w:r w:rsidR="00290A91">
        <w:rPr>
          <w:rFonts w:ascii="Arial" w:hAnsi="Arial" w:cs="Arial"/>
        </w:rPr>
        <w:t xml:space="preserve"> upon the defendant’s Fifth Amendment right to silence</w:t>
      </w:r>
      <w:r w:rsidR="00877BA2">
        <w:rPr>
          <w:rFonts w:ascii="Arial" w:hAnsi="Arial" w:cs="Arial"/>
        </w:rPr>
        <w:t>.</w:t>
      </w:r>
      <w:r w:rsidR="00290A91">
        <w:rPr>
          <w:rFonts w:ascii="Arial" w:hAnsi="Arial" w:cs="Arial"/>
        </w:rPr>
        <w:t xml:space="preserve"> </w:t>
      </w:r>
      <w:r w:rsidR="00EA7C70">
        <w:rPr>
          <w:rFonts w:ascii="Arial" w:hAnsi="Arial" w:cs="Arial"/>
          <w:i/>
          <w:iCs/>
        </w:rPr>
        <w:t>See</w:t>
      </w:r>
      <w:r w:rsidR="009862B8">
        <w:rPr>
          <w:rFonts w:ascii="Arial" w:hAnsi="Arial" w:cs="Arial"/>
          <w:i/>
          <w:iCs/>
        </w:rPr>
        <w:t xml:space="preserve"> </w:t>
      </w:r>
      <w:r w:rsidR="00290A91">
        <w:rPr>
          <w:rFonts w:ascii="Arial" w:hAnsi="Arial" w:cs="Arial"/>
        </w:rPr>
        <w:t>State v. Boston, 191 N.C. App. 637, 649-52 (2008) (</w:t>
      </w:r>
      <w:r w:rsidR="009F16FA">
        <w:rPr>
          <w:rFonts w:ascii="Arial" w:hAnsi="Arial" w:cs="Arial"/>
        </w:rPr>
        <w:t xml:space="preserve">holding in a case where the pretrial silence at issue occurred prior to the non-testifying defendant being arrested or receiving </w:t>
      </w:r>
      <w:r w:rsidR="009F16FA">
        <w:rPr>
          <w:rFonts w:ascii="Arial" w:hAnsi="Arial" w:cs="Arial"/>
          <w:i/>
          <w:iCs/>
        </w:rPr>
        <w:t xml:space="preserve">Miranda </w:t>
      </w:r>
      <w:r w:rsidR="009F16FA">
        <w:rPr>
          <w:rFonts w:ascii="Arial" w:hAnsi="Arial" w:cs="Arial"/>
        </w:rPr>
        <w:t>warnings that “a proper invocation of the privilege against self-incrimination is protected from prosecutorial comment or substantive use, no matter whether such invocation occurs before or after a defendant’s arrest”</w:t>
      </w:r>
      <w:r w:rsidR="00290A91">
        <w:rPr>
          <w:rFonts w:ascii="Arial" w:hAnsi="Arial" w:cs="Arial"/>
        </w:rPr>
        <w:t>).</w:t>
      </w:r>
      <w:r w:rsidR="00C133C1">
        <w:rPr>
          <w:rFonts w:ascii="Arial" w:hAnsi="Arial" w:cs="Arial"/>
        </w:rPr>
        <w:t xml:space="preserve"> It is impermissible to comment on </w:t>
      </w:r>
      <w:r w:rsidR="00FB0E0D">
        <w:rPr>
          <w:rFonts w:ascii="Arial" w:hAnsi="Arial" w:cs="Arial"/>
        </w:rPr>
        <w:t xml:space="preserve">a defendant’s pretrial silence that has not been admitted into evidence or that has been improperly admitted. </w:t>
      </w:r>
      <w:r w:rsidR="00FB0E0D">
        <w:rPr>
          <w:rFonts w:ascii="Arial" w:hAnsi="Arial" w:cs="Arial"/>
          <w:i/>
          <w:iCs/>
        </w:rPr>
        <w:t xml:space="preserve">See </w:t>
      </w:r>
      <w:r w:rsidR="00FB0E0D">
        <w:rPr>
          <w:rFonts w:ascii="Arial" w:hAnsi="Arial" w:cs="Arial"/>
        </w:rPr>
        <w:t>Section V.B.1.a (discussing prohibition on comment on matters outside the record); State v. Richardson, 226 N.C. App. 292, 308 (2013) (improper for prosecutor in closing argument to reference improperly admitted evidence of defendant’s pretrial silence).</w:t>
      </w:r>
      <w:r w:rsidRPr="00641284">
        <w:rPr>
          <w:rFonts w:ascii="Arial" w:hAnsi="Arial" w:cs="Arial"/>
        </w:rPr>
        <w:t xml:space="preserve"> </w:t>
      </w:r>
    </w:p>
    <w:p w14:paraId="2B0B43ED" w14:textId="59F8562E" w:rsidR="007B6333" w:rsidRPr="00641284" w:rsidRDefault="007B6333" w:rsidP="00DB30BF">
      <w:pPr>
        <w:pStyle w:val="ListParagraph"/>
        <w:numPr>
          <w:ilvl w:val="2"/>
          <w:numId w:val="8"/>
        </w:numPr>
        <w:spacing w:after="0" w:line="240" w:lineRule="auto"/>
        <w:rPr>
          <w:rFonts w:ascii="Arial" w:hAnsi="Arial" w:cs="Arial"/>
        </w:rPr>
      </w:pPr>
      <w:bookmarkStart w:id="64" w:name="_Toc402880733"/>
      <w:bookmarkStart w:id="65" w:name="_Toc163125222"/>
      <w:r w:rsidRPr="00CF4FBE">
        <w:rPr>
          <w:rStyle w:val="Heading3Char"/>
        </w:rPr>
        <w:t>Comment on the Defendant’s</w:t>
      </w:r>
      <w:r w:rsidR="00DD2704">
        <w:rPr>
          <w:rStyle w:val="Heading3Char"/>
        </w:rPr>
        <w:t xml:space="preserve"> Exercise of Right to Jury </w:t>
      </w:r>
      <w:r w:rsidR="00A066E3">
        <w:rPr>
          <w:rStyle w:val="Heading3Char"/>
        </w:rPr>
        <w:t>T</w:t>
      </w:r>
      <w:r w:rsidR="00DD2704">
        <w:rPr>
          <w:rStyle w:val="Heading3Char"/>
        </w:rPr>
        <w:t>rial or</w:t>
      </w:r>
      <w:r w:rsidRPr="00CF4FBE">
        <w:rPr>
          <w:rStyle w:val="Heading3Char"/>
        </w:rPr>
        <w:t xml:space="preserve"> Failure to Plead Guilty</w:t>
      </w:r>
      <w:bookmarkEnd w:id="64"/>
      <w:bookmarkEnd w:id="65"/>
      <w:r w:rsidRPr="00641284">
        <w:rPr>
          <w:rFonts w:ascii="Arial" w:hAnsi="Arial" w:cs="Arial"/>
          <w:b/>
          <w:bCs/>
        </w:rPr>
        <w:t xml:space="preserve">. </w:t>
      </w:r>
      <w:r w:rsidRPr="00641284">
        <w:rPr>
          <w:rFonts w:ascii="Arial" w:hAnsi="Arial" w:cs="Arial"/>
        </w:rPr>
        <w:t xml:space="preserve">A prosecutor's reference to a defendant's </w:t>
      </w:r>
      <w:r w:rsidR="00DD2704">
        <w:rPr>
          <w:rFonts w:ascii="Arial" w:hAnsi="Arial" w:cs="Arial"/>
        </w:rPr>
        <w:t xml:space="preserve">choice to exercise the right to a jury trial or </w:t>
      </w:r>
      <w:r w:rsidRPr="00641284">
        <w:rPr>
          <w:rFonts w:ascii="Arial" w:hAnsi="Arial" w:cs="Arial"/>
        </w:rPr>
        <w:t xml:space="preserve">failure to plead guilty is a violation of the defendant's constitutional right to a jury trial. </w:t>
      </w:r>
      <w:r w:rsidR="002C39AC">
        <w:rPr>
          <w:rFonts w:ascii="Arial" w:hAnsi="Arial" w:cs="Arial"/>
        </w:rPr>
        <w:t xml:space="preserve">State v. Goins, 377 N.C. 475, 480 (2021) (“undeniably improper” for prosecutor to comment on defendant’s decision to plead not guilty and exercise right to jury trial); </w:t>
      </w:r>
      <w:r w:rsidRPr="00641284">
        <w:rPr>
          <w:rFonts w:ascii="Arial" w:hAnsi="Arial" w:cs="Arial"/>
        </w:rPr>
        <w:t>State v. Kemmerlin, 356 N.C. 446, 482 (2002)</w:t>
      </w:r>
      <w:r w:rsidR="002C39AC">
        <w:rPr>
          <w:rFonts w:ascii="Arial" w:hAnsi="Arial" w:cs="Arial"/>
        </w:rPr>
        <w:t xml:space="preserve"> (so stating)</w:t>
      </w:r>
      <w:r w:rsidR="00DD2704">
        <w:rPr>
          <w:rFonts w:ascii="Arial" w:hAnsi="Arial" w:cs="Arial"/>
        </w:rPr>
        <w:t>;</w:t>
      </w:r>
      <w:r w:rsidR="002C39AC">
        <w:rPr>
          <w:rFonts w:ascii="Arial" w:hAnsi="Arial" w:cs="Arial"/>
        </w:rPr>
        <w:t xml:space="preserve"> </w:t>
      </w:r>
      <w:r w:rsidR="00DD2704">
        <w:rPr>
          <w:rFonts w:ascii="Arial" w:hAnsi="Arial" w:cs="Arial"/>
        </w:rPr>
        <w:t>State v. Degraffenried, 262 N.C. App. 308, 311 (2018) (“Counsel is admonished for minimalizing and referring to Defendant’s exercise of his right to a trial by jury in a condescending manner</w:t>
      </w:r>
      <w:r w:rsidR="002C39AC">
        <w:rPr>
          <w:rFonts w:ascii="Arial" w:hAnsi="Arial" w:cs="Arial"/>
        </w:rPr>
        <w:t>.</w:t>
      </w:r>
      <w:r w:rsidR="00DD2704">
        <w:rPr>
          <w:rFonts w:ascii="Arial" w:hAnsi="Arial" w:cs="Arial"/>
        </w:rPr>
        <w:t>”)</w:t>
      </w:r>
      <w:r w:rsidRPr="00641284">
        <w:rPr>
          <w:rFonts w:ascii="Arial" w:hAnsi="Arial" w:cs="Arial"/>
        </w:rPr>
        <w:t xml:space="preserve">. </w:t>
      </w:r>
    </w:p>
    <w:p w14:paraId="6A39964A" w14:textId="3D27174D" w:rsidR="007B6333" w:rsidRPr="00641284" w:rsidRDefault="007B6333" w:rsidP="00DB30BF">
      <w:pPr>
        <w:pStyle w:val="ListParagraph"/>
        <w:numPr>
          <w:ilvl w:val="2"/>
          <w:numId w:val="8"/>
        </w:numPr>
        <w:spacing w:after="0" w:line="240" w:lineRule="auto"/>
        <w:rPr>
          <w:rFonts w:ascii="Arial" w:hAnsi="Arial" w:cs="Arial"/>
        </w:rPr>
      </w:pPr>
      <w:bookmarkStart w:id="66" w:name="_Toc402880734"/>
      <w:bookmarkStart w:id="67" w:name="_Toc163125223"/>
      <w:r w:rsidRPr="00CF4FBE">
        <w:rPr>
          <w:rStyle w:val="Heading3Char"/>
        </w:rPr>
        <w:t>Comment on the Defendant’s Failure to Testify</w:t>
      </w:r>
      <w:bookmarkEnd w:id="66"/>
      <w:bookmarkEnd w:id="67"/>
      <w:r w:rsidRPr="00641284">
        <w:rPr>
          <w:rFonts w:ascii="Arial" w:hAnsi="Arial" w:cs="Arial"/>
          <w:b/>
          <w:bCs/>
        </w:rPr>
        <w:t xml:space="preserve">. </w:t>
      </w:r>
      <w:r w:rsidRPr="00641284">
        <w:rPr>
          <w:rFonts w:ascii="Arial" w:hAnsi="Arial" w:cs="Arial"/>
        </w:rPr>
        <w:t>A defendant has a constitutional right to refuse to testify at trial and exercise of this right may not be used against the defendant. State v. Mitchell, 353 N.C. 309, 326 (2001). As a result</w:t>
      </w:r>
      <w:r w:rsidR="002B3FED">
        <w:rPr>
          <w:rFonts w:ascii="Arial" w:hAnsi="Arial" w:cs="Arial"/>
        </w:rPr>
        <w:t>,</w:t>
      </w:r>
      <w:r w:rsidRPr="00641284">
        <w:rPr>
          <w:rFonts w:ascii="Arial" w:hAnsi="Arial" w:cs="Arial"/>
        </w:rPr>
        <w:t xml:space="preserve"> any reference to a defendant's failure to testify violates the defendant's constitutional rights. </w:t>
      </w:r>
      <w:r w:rsidRPr="00641284">
        <w:rPr>
          <w:rFonts w:ascii="Arial" w:hAnsi="Arial" w:cs="Arial"/>
          <w:i/>
          <w:iCs/>
        </w:rPr>
        <w:t>Id.; Kemmerlin</w:t>
      </w:r>
      <w:r w:rsidRPr="00641284">
        <w:rPr>
          <w:rFonts w:ascii="Arial" w:hAnsi="Arial" w:cs="Arial"/>
        </w:rPr>
        <w:t xml:space="preserve">, 356 N.C. at 481. A statement may be interpreted as commenting on a defendant's decision not to testify “if the jury would naturally and necessarily understand the statement to be a comment on the failure of the accused to testify.” </w:t>
      </w:r>
      <w:r w:rsidRPr="00641284">
        <w:rPr>
          <w:rFonts w:ascii="Arial" w:hAnsi="Arial" w:cs="Arial"/>
          <w:i/>
          <w:iCs/>
        </w:rPr>
        <w:t>Mitchell</w:t>
      </w:r>
      <w:r w:rsidRPr="00641284">
        <w:rPr>
          <w:rFonts w:ascii="Arial" w:hAnsi="Arial" w:cs="Arial"/>
        </w:rPr>
        <w:t xml:space="preserve">, 353 N.C. at 326. </w:t>
      </w:r>
      <w:r w:rsidR="00081070">
        <w:rPr>
          <w:rFonts w:ascii="Arial" w:hAnsi="Arial" w:cs="Arial"/>
        </w:rPr>
        <w:t xml:space="preserve">Beyond prohibiting comment on a defendant’s failure to testify, the rule </w:t>
      </w:r>
      <w:r w:rsidR="009A485B">
        <w:rPr>
          <w:rFonts w:ascii="Arial" w:hAnsi="Arial" w:cs="Arial"/>
        </w:rPr>
        <w:t xml:space="preserve">broadly </w:t>
      </w:r>
      <w:r w:rsidR="00081070">
        <w:rPr>
          <w:rFonts w:ascii="Arial" w:hAnsi="Arial" w:cs="Arial"/>
        </w:rPr>
        <w:t xml:space="preserve">prohibits </w:t>
      </w:r>
      <w:r w:rsidR="009A485B">
        <w:rPr>
          <w:rFonts w:ascii="Arial" w:hAnsi="Arial" w:cs="Arial"/>
        </w:rPr>
        <w:t xml:space="preserve">any </w:t>
      </w:r>
      <w:r w:rsidR="00081070">
        <w:rPr>
          <w:rFonts w:ascii="Arial" w:hAnsi="Arial" w:cs="Arial"/>
        </w:rPr>
        <w:t xml:space="preserve">comment </w:t>
      </w:r>
      <w:r w:rsidR="00EF5D37">
        <w:rPr>
          <w:rFonts w:ascii="Arial" w:hAnsi="Arial" w:cs="Arial"/>
        </w:rPr>
        <w:t xml:space="preserve">by the prosecutor </w:t>
      </w:r>
      <w:r w:rsidR="00081070">
        <w:rPr>
          <w:rFonts w:ascii="Arial" w:hAnsi="Arial" w:cs="Arial"/>
        </w:rPr>
        <w:t>on th</w:t>
      </w:r>
      <w:r w:rsidR="009A485B">
        <w:rPr>
          <w:rFonts w:ascii="Arial" w:hAnsi="Arial" w:cs="Arial"/>
        </w:rPr>
        <w:t>e</w:t>
      </w:r>
      <w:r w:rsidR="00081070">
        <w:rPr>
          <w:rFonts w:ascii="Arial" w:hAnsi="Arial" w:cs="Arial"/>
        </w:rPr>
        <w:t xml:space="preserve"> existence of the right. State v. Branche, </w:t>
      </w:r>
      <w:r w:rsidR="0029747F">
        <w:rPr>
          <w:rFonts w:ascii="Arial" w:hAnsi="Arial" w:cs="Arial"/>
        </w:rPr>
        <w:t xml:space="preserve">___ N.C. App. ___, ___, </w:t>
      </w:r>
      <w:r w:rsidR="00081070">
        <w:rPr>
          <w:rFonts w:ascii="Arial" w:hAnsi="Arial" w:cs="Arial"/>
        </w:rPr>
        <w:t>895 S.E.2d 597, 609 (2023) (stating that there was “no doubt” that it was improper for prosecutor to argue: “The Judge will tell you [the defendant] does not have to testify, and the fact that he does not testify cannot be used against him and I want you to make sure you don’t use it against him</w:t>
      </w:r>
      <w:r w:rsidR="00F46A85">
        <w:rPr>
          <w:rFonts w:ascii="Arial" w:hAnsi="Arial" w:cs="Arial"/>
        </w:rPr>
        <w:t>.</w:t>
      </w:r>
      <w:r w:rsidR="00081070">
        <w:rPr>
          <w:rFonts w:ascii="Arial" w:hAnsi="Arial" w:cs="Arial"/>
        </w:rPr>
        <w:t>”).</w:t>
      </w:r>
    </w:p>
    <w:p w14:paraId="3E4781C1" w14:textId="2D60E0F9" w:rsidR="007B6333" w:rsidRPr="00641284" w:rsidRDefault="007B6333" w:rsidP="00722EFE">
      <w:pPr>
        <w:pStyle w:val="ListParagraph"/>
        <w:spacing w:after="0" w:line="240" w:lineRule="auto"/>
        <w:ind w:left="2160" w:firstLine="720"/>
        <w:rPr>
          <w:rFonts w:ascii="Arial" w:hAnsi="Arial" w:cs="Arial"/>
        </w:rPr>
      </w:pPr>
      <w:r w:rsidRPr="00641284">
        <w:rPr>
          <w:rFonts w:ascii="Arial" w:hAnsi="Arial" w:cs="Arial"/>
        </w:rPr>
        <w:lastRenderedPageBreak/>
        <w:t xml:space="preserve">The rule prohibiting comment on a defendant’s failure to testify applies to both the prosecutor and the defense </w:t>
      </w:r>
      <w:r w:rsidR="00EF5D37">
        <w:rPr>
          <w:rFonts w:ascii="Arial" w:hAnsi="Arial" w:cs="Arial"/>
        </w:rPr>
        <w:t>attorney</w:t>
      </w:r>
      <w:r w:rsidRPr="00641284">
        <w:rPr>
          <w:rFonts w:ascii="Arial" w:hAnsi="Arial" w:cs="Arial"/>
        </w:rPr>
        <w:t xml:space="preserve">. </w:t>
      </w:r>
      <w:r w:rsidR="0029747F">
        <w:rPr>
          <w:rFonts w:ascii="Arial" w:hAnsi="Arial" w:cs="Arial"/>
        </w:rPr>
        <w:t xml:space="preserve">State v. Bovender, 233 N.C. 683, 689-90 (1951) (trial court did not err by sustaining objection to defense counsel’s </w:t>
      </w:r>
      <w:r w:rsidR="00F14954">
        <w:rPr>
          <w:rFonts w:ascii="Arial" w:hAnsi="Arial" w:cs="Arial"/>
        </w:rPr>
        <w:t>closing argument statement “the law says no man has to take the witness stand”</w:t>
      </w:r>
      <w:r w:rsidR="0029747F">
        <w:rPr>
          <w:rFonts w:ascii="Arial" w:hAnsi="Arial" w:cs="Arial"/>
        </w:rPr>
        <w:t>)</w:t>
      </w:r>
      <w:r w:rsidR="00B44866">
        <w:rPr>
          <w:rFonts w:ascii="Arial" w:hAnsi="Arial" w:cs="Arial"/>
        </w:rPr>
        <w:t xml:space="preserve">, </w:t>
      </w:r>
      <w:r w:rsidR="00B44866">
        <w:rPr>
          <w:rFonts w:ascii="Arial" w:hAnsi="Arial" w:cs="Arial"/>
          <w:i/>
          <w:iCs/>
        </w:rPr>
        <w:t>overruled in part on other grounds</w:t>
      </w:r>
      <w:r w:rsidR="00C13883">
        <w:rPr>
          <w:rFonts w:ascii="Arial" w:hAnsi="Arial" w:cs="Arial"/>
          <w:i/>
          <w:iCs/>
        </w:rPr>
        <w:t xml:space="preserve"> by</w:t>
      </w:r>
      <w:r w:rsidR="00B44866">
        <w:rPr>
          <w:rFonts w:ascii="Arial" w:hAnsi="Arial" w:cs="Arial"/>
        </w:rPr>
        <w:t xml:space="preserve"> </w:t>
      </w:r>
      <w:r w:rsidR="00C13883">
        <w:rPr>
          <w:rFonts w:ascii="Arial" w:hAnsi="Arial" w:cs="Arial"/>
        </w:rPr>
        <w:t xml:space="preserve">State v. Barnes, </w:t>
      </w:r>
      <w:r w:rsidR="00B44866">
        <w:rPr>
          <w:rFonts w:ascii="Arial" w:hAnsi="Arial" w:cs="Arial"/>
        </w:rPr>
        <w:t>324 N.C. 539 (1989)</w:t>
      </w:r>
      <w:r w:rsidR="0029747F">
        <w:rPr>
          <w:rFonts w:ascii="Arial" w:hAnsi="Arial" w:cs="Arial"/>
        </w:rPr>
        <w:t xml:space="preserve">; </w:t>
      </w:r>
      <w:r w:rsidRPr="00641284">
        <w:rPr>
          <w:rFonts w:ascii="Arial" w:hAnsi="Arial" w:cs="Arial"/>
        </w:rPr>
        <w:t xml:space="preserve">State v. Soloman, 40 N.C. App. 600, 603 (1979) (“It is a well-established rule that neither the district attorney nor counsel for the defendant may comment on the defendant's failure to testify.”). </w:t>
      </w:r>
      <w:r w:rsidR="009B0A05">
        <w:rPr>
          <w:rFonts w:ascii="Arial" w:hAnsi="Arial" w:cs="Arial"/>
        </w:rPr>
        <w:t xml:space="preserve">While some North Carolina appellate cases discussing the prohibition on comments concerning a defendant’s right not to testify state that the rule constrains the trial judge, a non-testifying defendant has </w:t>
      </w:r>
      <w:r w:rsidR="00DB46C4">
        <w:rPr>
          <w:rFonts w:ascii="Arial" w:hAnsi="Arial" w:cs="Arial"/>
        </w:rPr>
        <w:t>a</w:t>
      </w:r>
      <w:r w:rsidR="009B0A05">
        <w:rPr>
          <w:rFonts w:ascii="Arial" w:hAnsi="Arial" w:cs="Arial"/>
        </w:rPr>
        <w:t xml:space="preserve"> constitutional right</w:t>
      </w:r>
      <w:r w:rsidR="00DB46C4">
        <w:rPr>
          <w:rFonts w:ascii="Arial" w:hAnsi="Arial" w:cs="Arial"/>
        </w:rPr>
        <w:t>, upon request,</w:t>
      </w:r>
      <w:r w:rsidR="009B0A05">
        <w:rPr>
          <w:rFonts w:ascii="Arial" w:hAnsi="Arial" w:cs="Arial"/>
        </w:rPr>
        <w:t xml:space="preserve"> to have the trial judge instruct the jury that his or her failure to testify may not be held against the defendant. State v. Randolph, 312 N.C. 198, 205-06 (1984); </w:t>
      </w:r>
      <w:r w:rsidR="009B0A05">
        <w:rPr>
          <w:rFonts w:ascii="Arial" w:hAnsi="Arial" w:cs="Arial"/>
          <w:i/>
          <w:iCs/>
        </w:rPr>
        <w:t xml:space="preserve">see also </w:t>
      </w:r>
      <w:r w:rsidR="009B0A05">
        <w:rPr>
          <w:rFonts w:ascii="Arial" w:hAnsi="Arial" w:cs="Arial"/>
        </w:rPr>
        <w:t>N.C.P.I. Crim. 101.30 (Effect of the Defendant’s Decision not to Testify).</w:t>
      </w:r>
      <w:r w:rsidR="003A337A">
        <w:rPr>
          <w:rFonts w:ascii="Arial" w:hAnsi="Arial" w:cs="Arial"/>
        </w:rPr>
        <w:t xml:space="preserve"> </w:t>
      </w:r>
      <w:r w:rsidR="00CC70EE">
        <w:rPr>
          <w:rFonts w:ascii="Arial" w:hAnsi="Arial" w:cs="Arial"/>
        </w:rPr>
        <w:t>Though</w:t>
      </w:r>
      <w:r w:rsidR="003A337A">
        <w:rPr>
          <w:rFonts w:ascii="Arial" w:hAnsi="Arial" w:cs="Arial"/>
        </w:rPr>
        <w:t xml:space="preserve"> defense counsel may not comment on a defendant’s failure to testify, it is permissible for defense counsel to </w:t>
      </w:r>
      <w:r w:rsidR="00CC70EE">
        <w:rPr>
          <w:rFonts w:ascii="Arial" w:hAnsi="Arial" w:cs="Arial"/>
        </w:rPr>
        <w:t>argue that</w:t>
      </w:r>
      <w:r w:rsidR="003A337A">
        <w:rPr>
          <w:rFonts w:ascii="Arial" w:hAnsi="Arial" w:cs="Arial"/>
        </w:rPr>
        <w:t xml:space="preserve"> the </w:t>
      </w:r>
      <w:r w:rsidR="00CC70EE">
        <w:rPr>
          <w:rFonts w:ascii="Arial" w:hAnsi="Arial" w:cs="Arial"/>
        </w:rPr>
        <w:t xml:space="preserve">jury should not </w:t>
      </w:r>
      <w:r w:rsidR="00CC70EE" w:rsidRPr="00641284">
        <w:rPr>
          <w:rFonts w:ascii="Arial" w:hAnsi="Arial" w:cs="Arial"/>
        </w:rPr>
        <w:t xml:space="preserve">consider </w:t>
      </w:r>
      <w:r w:rsidR="00CC70EE">
        <w:rPr>
          <w:rFonts w:ascii="Arial" w:hAnsi="Arial" w:cs="Arial"/>
        </w:rPr>
        <w:t xml:space="preserve">against the defendant </w:t>
      </w:r>
      <w:r w:rsidR="00CC70EE" w:rsidRPr="00641284">
        <w:rPr>
          <w:rFonts w:ascii="Arial" w:hAnsi="Arial" w:cs="Arial"/>
        </w:rPr>
        <w:t xml:space="preserve">the defendant’s election not to testify. State v. Banks, 322 N.C. 753, 764 (1988) (error to preclude defense counsel from </w:t>
      </w:r>
      <w:r w:rsidR="00CC70EE">
        <w:rPr>
          <w:rFonts w:ascii="Arial" w:hAnsi="Arial" w:cs="Arial"/>
        </w:rPr>
        <w:t>reading relevant clause of Fifth Amendment and so arguing</w:t>
      </w:r>
      <w:r w:rsidR="00EF01C1">
        <w:rPr>
          <w:rFonts w:ascii="Arial" w:hAnsi="Arial" w:cs="Arial"/>
        </w:rPr>
        <w:t>; stating, however, that “[n]o further comment or explanation</w:t>
      </w:r>
      <w:r w:rsidR="00FC0C39">
        <w:rPr>
          <w:rFonts w:ascii="Arial" w:hAnsi="Arial" w:cs="Arial"/>
        </w:rPr>
        <w:t>”</w:t>
      </w:r>
      <w:r w:rsidR="00EF01C1">
        <w:rPr>
          <w:rFonts w:ascii="Arial" w:hAnsi="Arial" w:cs="Arial"/>
        </w:rPr>
        <w:t xml:space="preserve"> should </w:t>
      </w:r>
      <w:r w:rsidR="00FC0C39">
        <w:rPr>
          <w:rFonts w:ascii="Arial" w:hAnsi="Arial" w:cs="Arial"/>
        </w:rPr>
        <w:t>be</w:t>
      </w:r>
      <w:r w:rsidR="00EF01C1">
        <w:rPr>
          <w:rFonts w:ascii="Arial" w:hAnsi="Arial" w:cs="Arial"/>
        </w:rPr>
        <w:t xml:space="preserve"> permitted”</w:t>
      </w:r>
      <w:r w:rsidR="00CC70EE" w:rsidRPr="00641284">
        <w:rPr>
          <w:rFonts w:ascii="Arial" w:hAnsi="Arial" w:cs="Arial"/>
        </w:rPr>
        <w:t>)</w:t>
      </w:r>
      <w:r w:rsidR="00CC70EE">
        <w:rPr>
          <w:rFonts w:ascii="Arial" w:hAnsi="Arial" w:cs="Arial"/>
        </w:rPr>
        <w:t>.</w:t>
      </w:r>
    </w:p>
    <w:p w14:paraId="5849A007" w14:textId="2264DE3D" w:rsidR="007B6333" w:rsidRPr="00641284" w:rsidRDefault="00923B09" w:rsidP="00722EFE">
      <w:pPr>
        <w:pStyle w:val="ListParagraph"/>
        <w:spacing w:after="0" w:line="240" w:lineRule="auto"/>
        <w:ind w:left="2160" w:firstLine="720"/>
        <w:rPr>
          <w:rFonts w:ascii="Arial" w:hAnsi="Arial" w:cs="Arial"/>
        </w:rPr>
      </w:pPr>
      <w:r>
        <w:rPr>
          <w:rFonts w:ascii="Arial" w:hAnsi="Arial" w:cs="Arial"/>
        </w:rPr>
        <w:t>A</w:t>
      </w:r>
      <w:r w:rsidR="007B6333" w:rsidRPr="00641284">
        <w:rPr>
          <w:rFonts w:ascii="Arial" w:hAnsi="Arial" w:cs="Arial"/>
        </w:rPr>
        <w:t>s discussed in Section I</w:t>
      </w:r>
      <w:r w:rsidR="00F46A85">
        <w:rPr>
          <w:rFonts w:ascii="Arial" w:hAnsi="Arial" w:cs="Arial"/>
        </w:rPr>
        <w:t>V</w:t>
      </w:r>
      <w:r w:rsidR="007B6333" w:rsidRPr="00641284">
        <w:rPr>
          <w:rFonts w:ascii="Arial" w:hAnsi="Arial" w:cs="Arial"/>
        </w:rPr>
        <w:t>.F above, a comment on a failure by the defense to put on evidence</w:t>
      </w:r>
      <w:r w:rsidR="002863DE">
        <w:rPr>
          <w:rFonts w:ascii="Arial" w:hAnsi="Arial" w:cs="Arial"/>
        </w:rPr>
        <w:t xml:space="preserve"> or contradict the State’s evidence</w:t>
      </w:r>
      <w:r w:rsidR="007B6333" w:rsidRPr="00641284">
        <w:rPr>
          <w:rFonts w:ascii="Arial" w:hAnsi="Arial" w:cs="Arial"/>
        </w:rPr>
        <w:t xml:space="preserve"> is not a comment on the defendant’s failure to testify.</w:t>
      </w:r>
      <w:r w:rsidR="009D6F57">
        <w:rPr>
          <w:rFonts w:ascii="Arial" w:hAnsi="Arial" w:cs="Arial"/>
        </w:rPr>
        <w:t xml:space="preserve"> </w:t>
      </w:r>
      <w:r w:rsidR="009D6F57">
        <w:rPr>
          <w:rFonts w:ascii="Arial" w:hAnsi="Arial" w:cs="Arial"/>
          <w:i/>
          <w:iCs/>
        </w:rPr>
        <w:t>See</w:t>
      </w:r>
      <w:r w:rsidR="002863DE">
        <w:rPr>
          <w:rFonts w:ascii="Arial" w:hAnsi="Arial" w:cs="Arial"/>
          <w:i/>
          <w:iCs/>
        </w:rPr>
        <w:t>, e.g.</w:t>
      </w:r>
      <w:r w:rsidR="002863DE">
        <w:rPr>
          <w:rFonts w:ascii="Arial" w:hAnsi="Arial" w:cs="Arial"/>
        </w:rPr>
        <w:t xml:space="preserve">, </w:t>
      </w:r>
      <w:r w:rsidR="009D6F57">
        <w:rPr>
          <w:rFonts w:ascii="Arial" w:hAnsi="Arial" w:cs="Arial"/>
        </w:rPr>
        <w:t xml:space="preserve">State v. </w:t>
      </w:r>
      <w:r w:rsidR="00ED20F8">
        <w:rPr>
          <w:rFonts w:ascii="Arial" w:hAnsi="Arial" w:cs="Arial"/>
        </w:rPr>
        <w:t xml:space="preserve">Fabian, </w:t>
      </w:r>
      <w:r w:rsidR="009D6F57">
        <w:rPr>
          <w:rFonts w:ascii="Arial" w:hAnsi="Arial" w:cs="Arial"/>
        </w:rPr>
        <w:t>286 N.C. App. 712</w:t>
      </w:r>
      <w:r w:rsidR="003A337A">
        <w:rPr>
          <w:rFonts w:ascii="Arial" w:hAnsi="Arial" w:cs="Arial"/>
        </w:rPr>
        <w:t>, 726-27</w:t>
      </w:r>
      <w:r w:rsidR="009D6F57">
        <w:rPr>
          <w:rFonts w:ascii="Arial" w:hAnsi="Arial" w:cs="Arial"/>
        </w:rPr>
        <w:t xml:space="preserve"> (2022) (prosecutor’s statement that child sex abuse victim’</w:t>
      </w:r>
      <w:r w:rsidR="00ED20F8">
        <w:rPr>
          <w:rFonts w:ascii="Arial" w:hAnsi="Arial" w:cs="Arial"/>
        </w:rPr>
        <w:t>s parents</w:t>
      </w:r>
      <w:r w:rsidR="009D6F57">
        <w:rPr>
          <w:rFonts w:ascii="Arial" w:hAnsi="Arial" w:cs="Arial"/>
        </w:rPr>
        <w:t xml:space="preserve"> still w</w:t>
      </w:r>
      <w:r w:rsidR="00ED20F8">
        <w:rPr>
          <w:rFonts w:ascii="Arial" w:hAnsi="Arial" w:cs="Arial"/>
        </w:rPr>
        <w:t>ere</w:t>
      </w:r>
      <w:r w:rsidR="009D6F57">
        <w:rPr>
          <w:rFonts w:ascii="Arial" w:hAnsi="Arial" w:cs="Arial"/>
        </w:rPr>
        <w:t xml:space="preserve"> waiting on the defendant to “deny it” was not a comment on defendant’s failure to testify at trial but rather a comment on </w:t>
      </w:r>
      <w:r w:rsidR="002B3FED">
        <w:rPr>
          <w:rFonts w:ascii="Arial" w:hAnsi="Arial" w:cs="Arial"/>
        </w:rPr>
        <w:t>properly admitted evidence showing</w:t>
      </w:r>
      <w:r w:rsidR="009D6F57">
        <w:rPr>
          <w:rFonts w:ascii="Arial" w:hAnsi="Arial" w:cs="Arial"/>
        </w:rPr>
        <w:t xml:space="preserve"> that defendant did not deny the conduct when confronted by the </w:t>
      </w:r>
      <w:r w:rsidR="00ED20F8">
        <w:rPr>
          <w:rFonts w:ascii="Arial" w:hAnsi="Arial" w:cs="Arial"/>
        </w:rPr>
        <w:t>parents</w:t>
      </w:r>
      <w:r w:rsidR="009D6F57">
        <w:rPr>
          <w:rFonts w:ascii="Arial" w:hAnsi="Arial" w:cs="Arial"/>
        </w:rPr>
        <w:t>)</w:t>
      </w:r>
      <w:r w:rsidR="002863DE">
        <w:rPr>
          <w:rFonts w:ascii="Arial" w:hAnsi="Arial" w:cs="Arial"/>
        </w:rPr>
        <w:t>; State v. Foust, 220 N.C. App. 63, 75 (2012) (prosecutor’s argument that aspects of the State’s case had not been contradicted was not an improper comment on the defendant’s right not to testify)</w:t>
      </w:r>
      <w:r w:rsidR="009D6F57">
        <w:rPr>
          <w:rFonts w:ascii="Arial" w:hAnsi="Arial" w:cs="Arial"/>
        </w:rPr>
        <w:t>.</w:t>
      </w:r>
    </w:p>
    <w:p w14:paraId="1B8D215C" w14:textId="77777777" w:rsidR="007B6333" w:rsidRPr="00641284" w:rsidRDefault="007B6333" w:rsidP="00DB30BF">
      <w:pPr>
        <w:pStyle w:val="ListParagraph"/>
        <w:numPr>
          <w:ilvl w:val="2"/>
          <w:numId w:val="8"/>
        </w:numPr>
        <w:spacing w:after="0" w:line="240" w:lineRule="auto"/>
        <w:rPr>
          <w:rFonts w:ascii="Arial" w:hAnsi="Arial" w:cs="Arial"/>
        </w:rPr>
      </w:pPr>
      <w:bookmarkStart w:id="68" w:name="_Toc402880735"/>
      <w:bookmarkStart w:id="69" w:name="_Toc163125224"/>
      <w:r w:rsidRPr="00CF4FBE">
        <w:rPr>
          <w:rStyle w:val="Heading3Char"/>
        </w:rPr>
        <w:t>Failure To Call a Spouse</w:t>
      </w:r>
      <w:bookmarkEnd w:id="68"/>
      <w:bookmarkEnd w:id="69"/>
      <w:r w:rsidRPr="00641284">
        <w:rPr>
          <w:rFonts w:ascii="Arial" w:hAnsi="Arial" w:cs="Arial"/>
          <w:b/>
          <w:bCs/>
        </w:rPr>
        <w:t xml:space="preserve">. </w:t>
      </w:r>
      <w:r w:rsidRPr="00641284">
        <w:rPr>
          <w:rFonts w:ascii="Arial" w:hAnsi="Arial" w:cs="Arial"/>
        </w:rPr>
        <w:t xml:space="preserve">A defendant’s failure to call a spouse as a witness may not be used against the defendant. G.S. 8-57(a); State v. Barden, 356 N.C. 316, 380-81 (2002) (citing </w:t>
      </w:r>
      <w:r w:rsidR="00F74D0F">
        <w:rPr>
          <w:rFonts w:ascii="Arial" w:hAnsi="Arial" w:cs="Arial"/>
        </w:rPr>
        <w:t xml:space="preserve">the </w:t>
      </w:r>
      <w:r w:rsidRPr="00641284">
        <w:rPr>
          <w:rFonts w:ascii="Arial" w:hAnsi="Arial" w:cs="Arial"/>
        </w:rPr>
        <w:t>statute and holding that the prosecutor’s argument about why the defense did not call the defendant’s wife was improper).</w:t>
      </w:r>
    </w:p>
    <w:p w14:paraId="104580B8" w14:textId="77777777" w:rsidR="007B6333" w:rsidRPr="00641284" w:rsidRDefault="007B6333" w:rsidP="00DB30BF">
      <w:pPr>
        <w:pStyle w:val="ListParagraph"/>
        <w:numPr>
          <w:ilvl w:val="2"/>
          <w:numId w:val="8"/>
        </w:numPr>
        <w:spacing w:after="0" w:line="240" w:lineRule="auto"/>
        <w:rPr>
          <w:rFonts w:ascii="Arial" w:hAnsi="Arial" w:cs="Arial"/>
        </w:rPr>
      </w:pPr>
      <w:bookmarkStart w:id="70" w:name="_Toc402880736"/>
      <w:bookmarkStart w:id="71" w:name="_Toc163125225"/>
      <w:r w:rsidRPr="00CF4FBE">
        <w:rPr>
          <w:rStyle w:val="Heading3Char"/>
        </w:rPr>
        <w:t>Reading the Indictment</w:t>
      </w:r>
      <w:bookmarkEnd w:id="70"/>
      <w:bookmarkEnd w:id="71"/>
      <w:r w:rsidRPr="00641284">
        <w:rPr>
          <w:rFonts w:ascii="Arial" w:hAnsi="Arial" w:cs="Arial"/>
          <w:b/>
          <w:bCs/>
        </w:rPr>
        <w:t xml:space="preserve">. </w:t>
      </w:r>
      <w:r w:rsidRPr="00641284">
        <w:rPr>
          <w:rFonts w:ascii="Arial" w:hAnsi="Arial" w:cs="Arial"/>
        </w:rPr>
        <w:t>Neither lawyer may read the indictment to the jury. G.S. 15A-1221(b).</w:t>
      </w:r>
    </w:p>
    <w:p w14:paraId="5567D275" w14:textId="77777777" w:rsidR="007B6333" w:rsidRPr="00641284" w:rsidRDefault="007B6333" w:rsidP="00DB30BF">
      <w:pPr>
        <w:pStyle w:val="ListParagraph"/>
        <w:numPr>
          <w:ilvl w:val="2"/>
          <w:numId w:val="8"/>
        </w:numPr>
        <w:spacing w:after="0" w:line="240" w:lineRule="auto"/>
        <w:rPr>
          <w:rFonts w:ascii="Arial" w:hAnsi="Arial" w:cs="Arial"/>
        </w:rPr>
      </w:pPr>
      <w:bookmarkStart w:id="72" w:name="_Toc402880737"/>
      <w:bookmarkStart w:id="73" w:name="_Toc163125226"/>
      <w:r w:rsidRPr="00CF4FBE">
        <w:rPr>
          <w:rStyle w:val="Heading3Char"/>
        </w:rPr>
        <w:t>Religious Arguments</w:t>
      </w:r>
      <w:bookmarkEnd w:id="72"/>
      <w:bookmarkEnd w:id="73"/>
      <w:r w:rsidRPr="00641284">
        <w:rPr>
          <w:rFonts w:ascii="Arial" w:hAnsi="Arial" w:cs="Arial"/>
          <w:b/>
          <w:bCs/>
        </w:rPr>
        <w:t xml:space="preserve">. </w:t>
      </w:r>
      <w:r w:rsidRPr="00641284">
        <w:rPr>
          <w:rFonts w:ascii="Arial" w:hAnsi="Arial" w:cs="Arial"/>
        </w:rPr>
        <w:t xml:space="preserve">The North Carolina Supreme Court has repeatedly cautioned against the use of arguments based on religion. </w:t>
      </w:r>
      <w:r w:rsidRPr="00641284">
        <w:rPr>
          <w:rFonts w:ascii="Arial" w:hAnsi="Arial" w:cs="Arial"/>
          <w:i/>
          <w:iCs/>
        </w:rPr>
        <w:t xml:space="preserve">See, e.g., </w:t>
      </w:r>
      <w:r w:rsidRPr="00641284">
        <w:rPr>
          <w:rFonts w:ascii="Arial" w:hAnsi="Arial" w:cs="Arial"/>
        </w:rPr>
        <w:t>State v. Barden, 356 N.C. 316 (2002). It has explained:</w:t>
      </w:r>
    </w:p>
    <w:p w14:paraId="0B01B483" w14:textId="77777777" w:rsidR="007B6333" w:rsidRPr="00641284" w:rsidRDefault="007B6333" w:rsidP="00DB30BF">
      <w:pPr>
        <w:pStyle w:val="ListParagraph"/>
        <w:spacing w:after="0" w:line="240" w:lineRule="auto"/>
        <w:ind w:left="2520" w:right="720"/>
        <w:rPr>
          <w:rFonts w:ascii="Arial" w:hAnsi="Arial" w:cs="Arial"/>
        </w:rPr>
      </w:pPr>
      <w:r w:rsidRPr="00641284">
        <w:rPr>
          <w:rFonts w:ascii="Arial" w:hAnsi="Arial" w:cs="Arial"/>
        </w:rPr>
        <w:t xml:space="preserve">Jury arguments based on any of the religions of the world inevitably pose a danger of distracting the jury from its sole and exclusive duty of applying secular law and unnecessarily risk reversal of otherwise error-free trials. Although we may believe that parts of our law are divinely inspired, it is the secular law of North Carolina which is to be applied in our courtrooms. Our trial courts must vigilantly ensure that counsel </w:t>
      </w:r>
      <w:r w:rsidRPr="00641284">
        <w:rPr>
          <w:rFonts w:ascii="Arial" w:hAnsi="Arial" w:cs="Arial"/>
        </w:rPr>
        <w:lastRenderedPageBreak/>
        <w:t>for the State and for defendant do not distract the jury from their sole and exclusive duty to apply secular law.</w:t>
      </w:r>
    </w:p>
    <w:p w14:paraId="5B76CF8B" w14:textId="68C14B90" w:rsidR="007B6333" w:rsidRPr="00641284" w:rsidRDefault="007B6333" w:rsidP="00DB30BF">
      <w:pPr>
        <w:pStyle w:val="ListParagraph"/>
        <w:spacing w:after="0" w:line="240" w:lineRule="auto"/>
        <w:ind w:left="2160"/>
        <w:rPr>
          <w:rFonts w:ascii="Arial" w:hAnsi="Arial" w:cs="Arial"/>
        </w:rPr>
      </w:pPr>
      <w:r w:rsidRPr="00641284">
        <w:rPr>
          <w:rFonts w:ascii="Arial" w:hAnsi="Arial" w:cs="Arial"/>
          <w:i/>
          <w:iCs/>
        </w:rPr>
        <w:t>Id.</w:t>
      </w:r>
      <w:r w:rsidRPr="00641284">
        <w:rPr>
          <w:rFonts w:ascii="Arial" w:hAnsi="Arial" w:cs="Arial"/>
        </w:rPr>
        <w:t xml:space="preserve"> at 358</w:t>
      </w:r>
      <w:r w:rsidRPr="00641284">
        <w:rPr>
          <w:rFonts w:ascii="Arial" w:hAnsi="Arial" w:cs="Arial"/>
          <w:i/>
          <w:iCs/>
        </w:rPr>
        <w:t xml:space="preserve"> </w:t>
      </w:r>
      <w:r w:rsidRPr="00641284">
        <w:rPr>
          <w:rFonts w:ascii="Arial" w:hAnsi="Arial" w:cs="Arial"/>
        </w:rPr>
        <w:t xml:space="preserve">(quoting State v. Williams, 350 N.C. 1, 27 (1999)); </w:t>
      </w:r>
      <w:r w:rsidRPr="00641284">
        <w:rPr>
          <w:rFonts w:ascii="Arial" w:hAnsi="Arial" w:cs="Arial"/>
          <w:i/>
          <w:iCs/>
        </w:rPr>
        <w:t xml:space="preserve">see also </w:t>
      </w:r>
      <w:r w:rsidRPr="00641284">
        <w:rPr>
          <w:rFonts w:ascii="Arial" w:hAnsi="Arial" w:cs="Arial"/>
        </w:rPr>
        <w:t xml:space="preserve">State v. Gell, 351 N.C. 192, 215 (2000) (quoting the same). Thus, for example, the North Carolina Supreme Court has disapproved of arguments citing Bible passages and arguing in effect that the powers of public officials, including the police, prosecutors and judges are ordained by God as his representatives on earth and that to resist these powers is to resist God, State v. Moose, 310 N.C. 482, 501 (1984), and of argument implying that if the defendant was guilty and the jurors convicted him that they would be blessed by God. State v. Bunning, 338 N.C. 483, 490 (1994). However, Biblical references are not always improper. </w:t>
      </w:r>
      <w:r w:rsidRPr="00641284">
        <w:rPr>
          <w:rFonts w:ascii="Arial" w:hAnsi="Arial" w:cs="Arial"/>
          <w:i/>
          <w:iCs/>
        </w:rPr>
        <w:t>See Barden</w:t>
      </w:r>
      <w:r w:rsidRPr="00641284">
        <w:rPr>
          <w:rFonts w:ascii="Arial" w:hAnsi="Arial" w:cs="Arial"/>
        </w:rPr>
        <w:t xml:space="preserve">, 356 N.C. at 358 (the court has “found biblical arguments to fall within permissible margins more often than not” (citation omitted)); </w:t>
      </w:r>
      <w:r w:rsidRPr="00641284">
        <w:rPr>
          <w:rFonts w:ascii="Arial" w:hAnsi="Arial" w:cs="Arial"/>
          <w:i/>
          <w:iCs/>
        </w:rPr>
        <w:t>Gell</w:t>
      </w:r>
      <w:r w:rsidRPr="00641284">
        <w:rPr>
          <w:rFonts w:ascii="Arial" w:hAnsi="Arial" w:cs="Arial"/>
        </w:rPr>
        <w:t xml:space="preserve">, 351 N.C. at 215 (same); State v. Call, 349 N.C. 382, 420-21 (1998) (it was not improper for the prosecutor, in closing argument, to use the Bible passage, “[t]he wicked flee when no man </w:t>
      </w:r>
      <w:proofErr w:type="spellStart"/>
      <w:r w:rsidRPr="00641284">
        <w:rPr>
          <w:rFonts w:ascii="Arial" w:hAnsi="Arial" w:cs="Arial"/>
        </w:rPr>
        <w:t>pursueth</w:t>
      </w:r>
      <w:proofErr w:type="spellEnd"/>
      <w:r w:rsidRPr="00641284">
        <w:rPr>
          <w:rFonts w:ascii="Arial" w:hAnsi="Arial" w:cs="Arial"/>
        </w:rPr>
        <w:t>, but the righteous are bold as a lion,” as explanation of significance of defendant's flight).</w:t>
      </w:r>
    </w:p>
    <w:p w14:paraId="7804EC0C" w14:textId="7C1108BF" w:rsidR="007B6333" w:rsidRPr="00641284" w:rsidRDefault="007B6333" w:rsidP="00DB30BF">
      <w:pPr>
        <w:pStyle w:val="ListParagraph"/>
        <w:numPr>
          <w:ilvl w:val="2"/>
          <w:numId w:val="8"/>
        </w:numPr>
        <w:spacing w:after="0" w:line="240" w:lineRule="auto"/>
        <w:rPr>
          <w:rFonts w:ascii="Arial" w:hAnsi="Arial" w:cs="Arial"/>
        </w:rPr>
      </w:pPr>
      <w:bookmarkStart w:id="74" w:name="_Toc402880738"/>
      <w:bookmarkStart w:id="75" w:name="_Toc163125227"/>
      <w:r w:rsidRPr="00CF4FBE">
        <w:rPr>
          <w:rStyle w:val="Heading3Char"/>
        </w:rPr>
        <w:t>Name Calling</w:t>
      </w:r>
      <w:bookmarkEnd w:id="74"/>
      <w:bookmarkEnd w:id="75"/>
      <w:r w:rsidRPr="00641284">
        <w:rPr>
          <w:rFonts w:ascii="Arial" w:hAnsi="Arial" w:cs="Arial"/>
          <w:b/>
          <w:bCs/>
        </w:rPr>
        <w:t xml:space="preserve">. </w:t>
      </w:r>
      <w:proofErr w:type="gramStart"/>
      <w:r w:rsidRPr="00641284">
        <w:rPr>
          <w:rFonts w:ascii="Arial" w:hAnsi="Arial" w:cs="Arial"/>
        </w:rPr>
        <w:t>As a general rule</w:t>
      </w:r>
      <w:proofErr w:type="gramEnd"/>
      <w:r w:rsidRPr="00641284">
        <w:rPr>
          <w:rFonts w:ascii="Arial" w:hAnsi="Arial" w:cs="Arial"/>
        </w:rPr>
        <w:t xml:space="preserve">, name calling should be avoided in jury argument. N.C. </w:t>
      </w:r>
      <w:r w:rsidRPr="00641284">
        <w:rPr>
          <w:rFonts w:ascii="Arial" w:hAnsi="Arial" w:cs="Arial"/>
          <w:smallCaps/>
        </w:rPr>
        <w:t xml:space="preserve">R. Super. and Dist. </w:t>
      </w:r>
      <w:proofErr w:type="spellStart"/>
      <w:r w:rsidRPr="00641284">
        <w:rPr>
          <w:rFonts w:ascii="Arial" w:hAnsi="Arial" w:cs="Arial"/>
          <w:smallCaps/>
        </w:rPr>
        <w:t>Cts</w:t>
      </w:r>
      <w:proofErr w:type="spellEnd"/>
      <w:r w:rsidR="005E3FB6">
        <w:rPr>
          <w:rFonts w:ascii="Arial" w:hAnsi="Arial" w:cs="Arial"/>
          <w:smallCaps/>
        </w:rPr>
        <w:t>.</w:t>
      </w:r>
      <w:r w:rsidRPr="00641284">
        <w:rPr>
          <w:rFonts w:ascii="Arial" w:hAnsi="Arial" w:cs="Arial"/>
          <w:smallCaps/>
        </w:rPr>
        <w:t xml:space="preserve"> </w:t>
      </w:r>
      <w:r w:rsidRPr="00641284">
        <w:rPr>
          <w:rFonts w:ascii="Arial" w:hAnsi="Arial" w:cs="Arial"/>
        </w:rPr>
        <w:t xml:space="preserve">Rule 12 (“offensive personal references are prohibited”); State v. Augustine, 359. N.C. 709, 736 (2005) (disapproving of a prosecutor’s reference to the defendant as a “despicable human being”); State v. Jones, 355 N.C. 117, 133-34 (2002) (prosecutor improperly engaged in name-calling when he said of the defendant: “You got this quitter, this loser, this worthless piece of-who's mean </w:t>
      </w:r>
      <w:proofErr w:type="gramStart"/>
      <w:r w:rsidRPr="00641284">
        <w:rPr>
          <w:rFonts w:ascii="Arial" w:hAnsi="Arial" w:cs="Arial"/>
        </w:rPr>
        <w:t>. . . .</w:t>
      </w:r>
      <w:proofErr w:type="gramEnd"/>
      <w:r w:rsidRPr="00641284">
        <w:rPr>
          <w:rFonts w:ascii="Arial" w:hAnsi="Arial" w:cs="Arial"/>
        </w:rPr>
        <w:t xml:space="preserve"> He's as mean as they come. He's lower than the dirt on a snake's belly.”); </w:t>
      </w:r>
      <w:r w:rsidR="00BA2330">
        <w:rPr>
          <w:rFonts w:ascii="Arial" w:hAnsi="Arial" w:cs="Arial"/>
        </w:rPr>
        <w:t xml:space="preserve">State v. Madonna, 256 N.C. App. 112, 118 (2017) (improperly abusive for prosecutor to state that the defendant “can’t keep her knees together or her mouth shut” and to refer to her as a “narcissist”); </w:t>
      </w:r>
      <w:r w:rsidRPr="00641284">
        <w:rPr>
          <w:rFonts w:ascii="Arial" w:hAnsi="Arial" w:cs="Arial"/>
        </w:rPr>
        <w:t xml:space="preserve">State v. </w:t>
      </w:r>
      <w:proofErr w:type="spellStart"/>
      <w:r w:rsidRPr="00641284">
        <w:rPr>
          <w:rFonts w:ascii="Arial" w:hAnsi="Arial" w:cs="Arial"/>
        </w:rPr>
        <w:t>Gillikin</w:t>
      </w:r>
      <w:proofErr w:type="spellEnd"/>
      <w:r w:rsidRPr="00641284">
        <w:rPr>
          <w:rFonts w:ascii="Arial" w:hAnsi="Arial" w:cs="Arial"/>
        </w:rPr>
        <w:t xml:space="preserve">, </w:t>
      </w:r>
      <w:r w:rsidR="00051F40">
        <w:rPr>
          <w:rFonts w:ascii="Arial" w:hAnsi="Arial" w:cs="Arial"/>
        </w:rPr>
        <w:t>217</w:t>
      </w:r>
      <w:r w:rsidRPr="00641284">
        <w:rPr>
          <w:rFonts w:ascii="Arial" w:hAnsi="Arial" w:cs="Arial"/>
        </w:rPr>
        <w:t xml:space="preserve"> N.C. App. </w:t>
      </w:r>
      <w:r w:rsidR="00051F40">
        <w:rPr>
          <w:rFonts w:ascii="Arial" w:hAnsi="Arial" w:cs="Arial"/>
        </w:rPr>
        <w:t>256, 266-67</w:t>
      </w:r>
      <w:r w:rsidRPr="00641284">
        <w:rPr>
          <w:rFonts w:ascii="Arial" w:hAnsi="Arial" w:cs="Arial"/>
        </w:rPr>
        <w:t xml:space="preserve"> (2011) (gross</w:t>
      </w:r>
      <w:r w:rsidR="00051F40">
        <w:rPr>
          <w:rFonts w:ascii="Arial" w:hAnsi="Arial" w:cs="Arial"/>
        </w:rPr>
        <w:t>ly</w:t>
      </w:r>
      <w:r w:rsidRPr="00641284">
        <w:rPr>
          <w:rFonts w:ascii="Arial" w:hAnsi="Arial" w:cs="Arial"/>
        </w:rPr>
        <w:t xml:space="preserve"> </w:t>
      </w:r>
      <w:r w:rsidR="00BD04F8">
        <w:rPr>
          <w:rFonts w:ascii="Arial" w:hAnsi="Arial" w:cs="Arial"/>
        </w:rPr>
        <w:t xml:space="preserve">improper for </w:t>
      </w:r>
      <w:r w:rsidRPr="00641284">
        <w:rPr>
          <w:rFonts w:ascii="Arial" w:hAnsi="Arial" w:cs="Arial"/>
        </w:rPr>
        <w:t xml:space="preserve">prosecutor </w:t>
      </w:r>
      <w:r w:rsidR="00051F40">
        <w:rPr>
          <w:rFonts w:ascii="Arial" w:hAnsi="Arial" w:cs="Arial"/>
        </w:rPr>
        <w:t xml:space="preserve">to </w:t>
      </w:r>
      <w:r w:rsidRPr="00641284">
        <w:rPr>
          <w:rFonts w:ascii="Arial" w:hAnsi="Arial" w:cs="Arial"/>
        </w:rPr>
        <w:t xml:space="preserve">repeatedly engage in abusive name-calling of the defendant). Specific names are discussed in the subsections below. However, when certain appellations accurately reflect the evidence, use of them has been held not to be error. </w:t>
      </w:r>
      <w:r w:rsidRPr="00641284">
        <w:rPr>
          <w:rFonts w:ascii="Arial" w:hAnsi="Arial" w:cs="Arial"/>
          <w:i/>
          <w:iCs/>
        </w:rPr>
        <w:t xml:space="preserve">See, e.g., </w:t>
      </w:r>
      <w:r w:rsidRPr="00641284">
        <w:rPr>
          <w:rFonts w:ascii="Arial" w:hAnsi="Arial" w:cs="Arial"/>
        </w:rPr>
        <w:t>State v. Thomas, 350 N.C. 315, 361-62 (1999) (in a first-degree murder case, it was not improper for the prosecution to refer to the defendant as “a cold-blooded . . . killer”); State v. Harris, 338 N.C. 211, 229-30 (1994) (</w:t>
      </w:r>
      <w:r w:rsidR="004E09F9">
        <w:rPr>
          <w:rFonts w:ascii="Arial" w:hAnsi="Arial" w:cs="Arial"/>
        </w:rPr>
        <w:t>not improper to refer</w:t>
      </w:r>
      <w:r w:rsidR="004E09F9" w:rsidRPr="00641284">
        <w:rPr>
          <w:rFonts w:ascii="Arial" w:hAnsi="Arial" w:cs="Arial"/>
        </w:rPr>
        <w:t xml:space="preserve"> to the defendant as a “cold-blooded murderer” and a “doper”</w:t>
      </w:r>
      <w:r w:rsidR="004E09F9">
        <w:rPr>
          <w:rFonts w:ascii="Arial" w:hAnsi="Arial" w:cs="Arial"/>
        </w:rPr>
        <w:t xml:space="preserve"> where he was on trial for first-degree murder and evidence of his past drug use was introduced</w:t>
      </w:r>
      <w:r w:rsidR="00796186">
        <w:rPr>
          <w:rFonts w:ascii="Arial" w:hAnsi="Arial" w:cs="Arial"/>
        </w:rPr>
        <w:t>’’</w:t>
      </w:r>
      <w:r w:rsidRPr="00641284">
        <w:rPr>
          <w:rFonts w:ascii="Arial" w:hAnsi="Arial" w:cs="Arial"/>
        </w:rPr>
        <w:t>)</w:t>
      </w:r>
      <w:r w:rsidR="004E09F9">
        <w:rPr>
          <w:rFonts w:ascii="Arial" w:hAnsi="Arial" w:cs="Arial"/>
        </w:rPr>
        <w:t xml:space="preserve">; </w:t>
      </w:r>
      <w:r w:rsidR="006E40B7">
        <w:rPr>
          <w:rFonts w:ascii="Arial" w:hAnsi="Arial" w:cs="Arial"/>
        </w:rPr>
        <w:t>State v. Strickland, 283 N.C. App. 295, 307 (2022) (not improper to refer to the defendant as “unpredictable,” “impulsive,” “angry,” “obsessed,” “frustrated,” and “dangerous” because, while derogatory, all characterizations were supported by the evidence);</w:t>
      </w:r>
      <w:r w:rsidR="009876C2">
        <w:rPr>
          <w:rFonts w:ascii="Arial" w:hAnsi="Arial" w:cs="Arial"/>
        </w:rPr>
        <w:t xml:space="preserve"> </w:t>
      </w:r>
      <w:r w:rsidR="004E09F9">
        <w:rPr>
          <w:rFonts w:ascii="Arial" w:hAnsi="Arial" w:cs="Arial"/>
        </w:rPr>
        <w:t xml:space="preserve">State v. </w:t>
      </w:r>
      <w:proofErr w:type="spellStart"/>
      <w:r w:rsidR="004E09F9">
        <w:rPr>
          <w:rFonts w:ascii="Arial" w:hAnsi="Arial" w:cs="Arial"/>
        </w:rPr>
        <w:t>Wardrett</w:t>
      </w:r>
      <w:proofErr w:type="spellEnd"/>
      <w:r w:rsidR="004E09F9">
        <w:rPr>
          <w:rFonts w:ascii="Arial" w:hAnsi="Arial" w:cs="Arial"/>
        </w:rPr>
        <w:t>, 261 N.C. App. 735, 741 (2018) (not improper to refer to the defendant as a “fool” where evidence showed he, while being a convicted felon, intervened in an argument between two other people, pointed a loaded firearm at a person, and enlisted the help of others to hide the firearm)</w:t>
      </w:r>
      <w:r w:rsidRPr="00641284">
        <w:rPr>
          <w:rFonts w:ascii="Arial" w:hAnsi="Arial" w:cs="Arial"/>
        </w:rPr>
        <w:t>.</w:t>
      </w:r>
    </w:p>
    <w:p w14:paraId="6FE07F6B" w14:textId="2436F88A" w:rsidR="007B6333" w:rsidRPr="00641284" w:rsidRDefault="007B6333" w:rsidP="00DB30BF">
      <w:pPr>
        <w:pStyle w:val="ListParagraph"/>
        <w:numPr>
          <w:ilvl w:val="0"/>
          <w:numId w:val="10"/>
        </w:numPr>
        <w:spacing w:after="0" w:line="240" w:lineRule="auto"/>
        <w:ind w:left="2520"/>
        <w:rPr>
          <w:rFonts w:ascii="Arial" w:hAnsi="Arial" w:cs="Arial"/>
          <w:b/>
          <w:bCs/>
        </w:rPr>
      </w:pPr>
      <w:r w:rsidRPr="00641284">
        <w:rPr>
          <w:rFonts w:ascii="Arial" w:hAnsi="Arial" w:cs="Arial"/>
          <w:b/>
          <w:bCs/>
        </w:rPr>
        <w:t xml:space="preserve">Liar. </w:t>
      </w:r>
      <w:r w:rsidRPr="00641284">
        <w:rPr>
          <w:rFonts w:ascii="Arial" w:hAnsi="Arial" w:cs="Arial"/>
        </w:rPr>
        <w:t>It is improper for a lawyer to call a defendant, a witness, or opposing counsel a liar. State v. Gell, 351 N.C. 192, 211 (2000) (prosecutor’s argument was improper); State v. Sexton, 336 N.C. 321, 363 (1994) (same). Likewise</w:t>
      </w:r>
      <w:r w:rsidR="00051F40">
        <w:rPr>
          <w:rFonts w:ascii="Arial" w:hAnsi="Arial" w:cs="Arial"/>
        </w:rPr>
        <w:t xml:space="preserve">, as discussed below in Section </w:t>
      </w:r>
      <w:r w:rsidR="00A20A6B">
        <w:rPr>
          <w:rFonts w:ascii="Arial" w:hAnsi="Arial" w:cs="Arial"/>
        </w:rPr>
        <w:t>V</w:t>
      </w:r>
      <w:r w:rsidR="00051F40">
        <w:rPr>
          <w:rFonts w:ascii="Arial" w:hAnsi="Arial" w:cs="Arial"/>
        </w:rPr>
        <w:t>.B.18,</w:t>
      </w:r>
      <w:r w:rsidRPr="00641284">
        <w:rPr>
          <w:rFonts w:ascii="Arial" w:hAnsi="Arial" w:cs="Arial"/>
        </w:rPr>
        <w:t xml:space="preserve"> it </w:t>
      </w:r>
      <w:r w:rsidRPr="00641284">
        <w:rPr>
          <w:rFonts w:ascii="Arial" w:hAnsi="Arial" w:cs="Arial"/>
        </w:rPr>
        <w:lastRenderedPageBreak/>
        <w:t xml:space="preserve">is improper for a lawyer to express the opinion that either the defendant or a witness is a liar or is lying. State v. Miller, 271 N.C. 646, 659 (1967) (witness); </w:t>
      </w:r>
      <w:proofErr w:type="spellStart"/>
      <w:r w:rsidRPr="00641284">
        <w:rPr>
          <w:rFonts w:ascii="Arial" w:hAnsi="Arial" w:cs="Arial"/>
          <w:i/>
          <w:iCs/>
        </w:rPr>
        <w:t>Gillikin</w:t>
      </w:r>
      <w:proofErr w:type="spellEnd"/>
      <w:r w:rsidRPr="00641284">
        <w:rPr>
          <w:rFonts w:ascii="Arial" w:hAnsi="Arial" w:cs="Arial"/>
        </w:rPr>
        <w:t xml:space="preserve">, </w:t>
      </w:r>
      <w:r w:rsidR="00051F40">
        <w:rPr>
          <w:rFonts w:ascii="Arial" w:hAnsi="Arial" w:cs="Arial"/>
        </w:rPr>
        <w:t>217</w:t>
      </w:r>
      <w:r w:rsidRPr="00641284">
        <w:rPr>
          <w:rFonts w:ascii="Arial" w:hAnsi="Arial" w:cs="Arial"/>
        </w:rPr>
        <w:t xml:space="preserve"> N.C. App. </w:t>
      </w:r>
      <w:r w:rsidR="00051F40">
        <w:rPr>
          <w:rFonts w:ascii="Arial" w:hAnsi="Arial" w:cs="Arial"/>
        </w:rPr>
        <w:t>at 267</w:t>
      </w:r>
      <w:r w:rsidRPr="00641284">
        <w:rPr>
          <w:rFonts w:ascii="Arial" w:hAnsi="Arial" w:cs="Arial"/>
        </w:rPr>
        <w:t xml:space="preserve"> (defendant</w:t>
      </w:r>
      <w:r w:rsidR="00051F40">
        <w:rPr>
          <w:rFonts w:ascii="Arial" w:hAnsi="Arial" w:cs="Arial"/>
        </w:rPr>
        <w:t xml:space="preserve"> who testified</w:t>
      </w:r>
      <w:r w:rsidRPr="00641284">
        <w:rPr>
          <w:rFonts w:ascii="Arial" w:hAnsi="Arial" w:cs="Arial"/>
        </w:rPr>
        <w:t xml:space="preserve">). </w:t>
      </w:r>
    </w:p>
    <w:p w14:paraId="12851DD7" w14:textId="21F4A1D9" w:rsidR="007B6333" w:rsidRPr="00641284" w:rsidRDefault="007B6333" w:rsidP="00DB30BF">
      <w:pPr>
        <w:spacing w:after="0" w:line="240" w:lineRule="auto"/>
        <w:ind w:left="2520" w:firstLine="720"/>
        <w:rPr>
          <w:rFonts w:ascii="Arial" w:hAnsi="Arial" w:cs="Arial"/>
        </w:rPr>
      </w:pPr>
      <w:r w:rsidRPr="00641284">
        <w:rPr>
          <w:rFonts w:ascii="Arial" w:hAnsi="Arial" w:cs="Arial"/>
        </w:rPr>
        <w:t xml:space="preserve">One exception to this rule is when the defendant is charged with a crime involving falsehoods and the evidence supports the appellation. In </w:t>
      </w:r>
      <w:r w:rsidRPr="00641284">
        <w:rPr>
          <w:rFonts w:ascii="Arial" w:hAnsi="Arial" w:cs="Arial"/>
          <w:i/>
          <w:iCs/>
        </w:rPr>
        <w:t xml:space="preserve">State v. </w:t>
      </w:r>
      <w:proofErr w:type="spellStart"/>
      <w:r w:rsidRPr="00641284">
        <w:rPr>
          <w:rFonts w:ascii="Arial" w:hAnsi="Arial" w:cs="Arial"/>
          <w:i/>
          <w:iCs/>
        </w:rPr>
        <w:t>Twitty</w:t>
      </w:r>
      <w:proofErr w:type="spellEnd"/>
      <w:r w:rsidRPr="00641284">
        <w:rPr>
          <w:rFonts w:ascii="Arial" w:hAnsi="Arial" w:cs="Arial"/>
        </w:rPr>
        <w:t xml:space="preserve">, </w:t>
      </w:r>
      <w:r w:rsidR="00123A37">
        <w:rPr>
          <w:rFonts w:ascii="Arial" w:hAnsi="Arial" w:cs="Arial"/>
        </w:rPr>
        <w:t>212</w:t>
      </w:r>
      <w:r w:rsidRPr="00641284">
        <w:rPr>
          <w:rFonts w:ascii="Arial" w:hAnsi="Arial" w:cs="Arial"/>
        </w:rPr>
        <w:t xml:space="preserve"> N.C. App. </w:t>
      </w:r>
      <w:r w:rsidR="00123A37">
        <w:rPr>
          <w:rFonts w:ascii="Arial" w:hAnsi="Arial" w:cs="Arial"/>
        </w:rPr>
        <w:t>100</w:t>
      </w:r>
      <w:r w:rsidRPr="00641284">
        <w:rPr>
          <w:rFonts w:ascii="Arial" w:hAnsi="Arial" w:cs="Arial"/>
        </w:rPr>
        <w:t>,</w:t>
      </w:r>
      <w:r w:rsidR="00123A37">
        <w:rPr>
          <w:rFonts w:ascii="Arial" w:hAnsi="Arial" w:cs="Arial"/>
        </w:rPr>
        <w:t xml:space="preserve"> 104</w:t>
      </w:r>
      <w:r w:rsidRPr="00641284">
        <w:rPr>
          <w:rFonts w:ascii="Arial" w:hAnsi="Arial" w:cs="Arial"/>
        </w:rPr>
        <w:t xml:space="preserve"> (2011), for example, the defendant was charged with obtaining property by false pretenses, an offense committed by deceiving or lying to win the confidence of victims. In jury argument the prosecutor referred to the defendant as a con man and a liar. The court concluded that because the defendant lied to a church congregation </w:t>
      </w:r>
      <w:proofErr w:type="gramStart"/>
      <w:r w:rsidRPr="00641284">
        <w:rPr>
          <w:rFonts w:ascii="Arial" w:hAnsi="Arial" w:cs="Arial"/>
        </w:rPr>
        <w:t>in order to</w:t>
      </w:r>
      <w:proofErr w:type="gramEnd"/>
      <w:r w:rsidRPr="00641284">
        <w:rPr>
          <w:rFonts w:ascii="Arial" w:hAnsi="Arial" w:cs="Arial"/>
        </w:rPr>
        <w:t xml:space="preserve"> convince them to give him money, there was no impropriety, reasoning that the terms accurately characterized the charged offense and the evidence presented at trial. </w:t>
      </w:r>
    </w:p>
    <w:p w14:paraId="17D67F39" w14:textId="5D1F7A96" w:rsidR="007B6333" w:rsidRPr="00641284" w:rsidRDefault="007B6333" w:rsidP="00DB30BF">
      <w:pPr>
        <w:spacing w:after="0" w:line="240" w:lineRule="auto"/>
        <w:ind w:left="2520" w:firstLine="720"/>
        <w:rPr>
          <w:rFonts w:ascii="Arial" w:hAnsi="Arial" w:cs="Arial"/>
        </w:rPr>
      </w:pPr>
      <w:r w:rsidRPr="00641284">
        <w:rPr>
          <w:rFonts w:ascii="Arial" w:hAnsi="Arial" w:cs="Arial"/>
        </w:rPr>
        <w:t xml:space="preserve">Also, it is not improper for a lawyer to submit to the jury that the defendant or a witness has lied </w:t>
      </w:r>
      <w:proofErr w:type="gramStart"/>
      <w:r w:rsidRPr="00641284">
        <w:rPr>
          <w:rFonts w:ascii="Arial" w:hAnsi="Arial" w:cs="Arial"/>
        </w:rPr>
        <w:t>on the basis of</w:t>
      </w:r>
      <w:proofErr w:type="gramEnd"/>
      <w:r w:rsidRPr="00641284">
        <w:rPr>
          <w:rFonts w:ascii="Arial" w:hAnsi="Arial" w:cs="Arial"/>
        </w:rPr>
        <w:t xml:space="preserve"> the evidence presented. State v. Bunning, 338 N.C. 483, 489 (1994) (“[The prosecutor] asked the jury to conclude the defendant was lying because he had lied about his name and other things. There was evidence that the defendant had used several aliases and had used his dead brother's social security card to obtain f</w:t>
      </w:r>
      <w:r w:rsidR="00796186" w:rsidRPr="00641284">
        <w:rPr>
          <w:rFonts w:ascii="Arial" w:hAnsi="Arial" w:cs="Arial"/>
        </w:rPr>
        <w:t>o</w:t>
      </w:r>
      <w:r w:rsidRPr="00641284">
        <w:rPr>
          <w:rFonts w:ascii="Arial" w:hAnsi="Arial" w:cs="Arial"/>
        </w:rPr>
        <w:t>od stamps. This was evidence from which the prosecuting attorney could argue that the defendant had not told the truth on several occasions and the jury could find from this that he had not told the truth at his trial.”); State v. Davis, 291 N.C. 1, 12 (1976) (the prosecutor’s argument was not improper; the prosecutor argued: “The State would argue and contend to you that [the defendant's] testimony was nothing but the testimony of a pathological liar”; the prosecutor merely submitted the defendant's credibility to the jury)</w:t>
      </w:r>
      <w:r w:rsidR="00E52D67">
        <w:rPr>
          <w:rFonts w:ascii="Arial" w:hAnsi="Arial" w:cs="Arial"/>
        </w:rPr>
        <w:t>; State v. Mumma, 257 N.C. App. 829, 840 (2018) (not improper for prosecutor to state “[a]re you kidding me?” and “give me a break” when recounting defendant’s inconsistent statements and testimony during closing argument)</w:t>
      </w:r>
      <w:r w:rsidR="00B7711A">
        <w:rPr>
          <w:rFonts w:ascii="Arial" w:hAnsi="Arial" w:cs="Arial"/>
        </w:rPr>
        <w:t>,</w:t>
      </w:r>
      <w:r w:rsidR="00B7711A" w:rsidRPr="00B7711A">
        <w:rPr>
          <w:rFonts w:ascii="Arial" w:hAnsi="Arial" w:cs="Arial"/>
          <w:i/>
          <w:iCs/>
        </w:rPr>
        <w:t xml:space="preserve"> </w:t>
      </w:r>
      <w:r w:rsidR="00B7711A">
        <w:rPr>
          <w:rFonts w:ascii="Arial" w:hAnsi="Arial" w:cs="Arial"/>
          <w:i/>
          <w:iCs/>
        </w:rPr>
        <w:t>aff’d as modified on other grounds</w:t>
      </w:r>
      <w:r w:rsidR="00B7711A">
        <w:rPr>
          <w:rFonts w:ascii="Arial" w:hAnsi="Arial" w:cs="Arial"/>
        </w:rPr>
        <w:t>, 372 N.C. 226 (2019)</w:t>
      </w:r>
      <w:r w:rsidRPr="00641284">
        <w:rPr>
          <w:rFonts w:ascii="Arial" w:hAnsi="Arial" w:cs="Arial"/>
        </w:rPr>
        <w:t>.</w:t>
      </w:r>
    </w:p>
    <w:p w14:paraId="1ADB7770" w14:textId="45AFC699" w:rsidR="007B6333" w:rsidRPr="00641284" w:rsidRDefault="007B6333" w:rsidP="00DB30BF">
      <w:pPr>
        <w:pStyle w:val="ListParagraph"/>
        <w:numPr>
          <w:ilvl w:val="0"/>
          <w:numId w:val="10"/>
        </w:numPr>
        <w:spacing w:after="0" w:line="240" w:lineRule="auto"/>
        <w:ind w:left="2520"/>
        <w:rPr>
          <w:rFonts w:ascii="Arial" w:hAnsi="Arial" w:cs="Arial"/>
        </w:rPr>
      </w:pPr>
      <w:r w:rsidRPr="00641284">
        <w:rPr>
          <w:rFonts w:ascii="Arial" w:hAnsi="Arial" w:cs="Arial"/>
          <w:b/>
          <w:bCs/>
        </w:rPr>
        <w:t xml:space="preserve">Parasite. </w:t>
      </w:r>
      <w:r w:rsidRPr="00641284">
        <w:rPr>
          <w:rFonts w:ascii="Arial" w:hAnsi="Arial" w:cs="Arial"/>
        </w:rPr>
        <w:t xml:space="preserve">Counsel should not refer to the defendant as a parasite. </w:t>
      </w:r>
      <w:proofErr w:type="spellStart"/>
      <w:r w:rsidRPr="00641284">
        <w:rPr>
          <w:rFonts w:ascii="Arial" w:hAnsi="Arial" w:cs="Arial"/>
          <w:i/>
          <w:iCs/>
        </w:rPr>
        <w:t>Twitty</w:t>
      </w:r>
      <w:proofErr w:type="spellEnd"/>
      <w:r w:rsidRPr="00641284">
        <w:rPr>
          <w:rFonts w:ascii="Arial" w:hAnsi="Arial" w:cs="Arial"/>
        </w:rPr>
        <w:t xml:space="preserve">, </w:t>
      </w:r>
      <w:r w:rsidR="00123A37">
        <w:rPr>
          <w:rFonts w:ascii="Arial" w:hAnsi="Arial" w:cs="Arial"/>
        </w:rPr>
        <w:t>212</w:t>
      </w:r>
      <w:r w:rsidRPr="00641284">
        <w:rPr>
          <w:rFonts w:ascii="Arial" w:hAnsi="Arial" w:cs="Arial"/>
        </w:rPr>
        <w:t xml:space="preserve"> N.C. App. at </w:t>
      </w:r>
      <w:r w:rsidR="00123A37">
        <w:rPr>
          <w:rFonts w:ascii="Arial" w:hAnsi="Arial" w:cs="Arial"/>
        </w:rPr>
        <w:t>104</w:t>
      </w:r>
      <w:r w:rsidRPr="00641284">
        <w:rPr>
          <w:rFonts w:ascii="Arial" w:hAnsi="Arial" w:cs="Arial"/>
        </w:rPr>
        <w:t xml:space="preserve"> (prosecutor’s use of the term “parasite” constituted unnecessary and unprofessional name-calling).</w:t>
      </w:r>
    </w:p>
    <w:p w14:paraId="7081D355" w14:textId="56D2406B" w:rsidR="007B6333" w:rsidRPr="00641284" w:rsidRDefault="007B6333" w:rsidP="00DB30BF">
      <w:pPr>
        <w:pStyle w:val="ListParagraph"/>
        <w:numPr>
          <w:ilvl w:val="0"/>
          <w:numId w:val="10"/>
        </w:numPr>
        <w:spacing w:after="0" w:line="240" w:lineRule="auto"/>
        <w:ind w:left="2520"/>
        <w:rPr>
          <w:rFonts w:ascii="Arial" w:hAnsi="Arial" w:cs="Arial"/>
        </w:rPr>
      </w:pPr>
      <w:r w:rsidRPr="00641284">
        <w:rPr>
          <w:rFonts w:ascii="Arial" w:hAnsi="Arial" w:cs="Arial"/>
          <w:b/>
          <w:bCs/>
        </w:rPr>
        <w:t>The Devil and Related Terms.</w:t>
      </w:r>
      <w:r w:rsidRPr="00641284">
        <w:rPr>
          <w:rFonts w:ascii="Arial" w:hAnsi="Arial" w:cs="Arial"/>
        </w:rPr>
        <w:t xml:space="preserve"> Counsel should avoid referring to the defendant as the devil, </w:t>
      </w:r>
      <w:proofErr w:type="spellStart"/>
      <w:r w:rsidRPr="00641284">
        <w:rPr>
          <w:rFonts w:ascii="Arial" w:hAnsi="Arial" w:cs="Arial"/>
        </w:rPr>
        <w:t>satan</w:t>
      </w:r>
      <w:proofErr w:type="spellEnd"/>
      <w:r w:rsidRPr="00641284">
        <w:rPr>
          <w:rFonts w:ascii="Arial" w:hAnsi="Arial" w:cs="Arial"/>
        </w:rPr>
        <w:t xml:space="preserve">, or a demon. </w:t>
      </w:r>
      <w:r w:rsidRPr="00641284">
        <w:rPr>
          <w:rFonts w:ascii="Arial" w:hAnsi="Arial" w:cs="Arial"/>
          <w:i/>
          <w:iCs/>
        </w:rPr>
        <w:t xml:space="preserve">See, e.g., </w:t>
      </w:r>
      <w:r w:rsidRPr="00641284">
        <w:rPr>
          <w:rFonts w:ascii="Arial" w:hAnsi="Arial" w:cs="Arial"/>
        </w:rPr>
        <w:t xml:space="preserve">State v. Matthews, 358 N.C. 102, 111 (2004) (“During closing argument the prosecutor characterized defendant as a ‘monster,’ ‘demon,’ ‘devil,’ ‘a man without morals’ and as having a ‘monster mind.’ Such improper characterizations of defendant amounted to no more than name-calling and did not serve the State because the prosecutor was not arguing the evidence and the conclusions that can be inferred therefrom.”). However, not all arguments using these terms are improper. Thus, the courts have held it not improper to argue that “when you try the devil, you have to go to hell to find your witnesses.” State v. Willis, 332 N.C. 151, 171 (1992) (“At one point the district attorney argued, ‘when you try the devil, you have to go to hell to find your witnesses.’ Defendant . . . says it was prejudicial error to </w:t>
      </w:r>
      <w:r w:rsidRPr="00641284">
        <w:rPr>
          <w:rFonts w:ascii="Arial" w:hAnsi="Arial" w:cs="Arial"/>
        </w:rPr>
        <w:lastRenderedPageBreak/>
        <w:t xml:space="preserve">characterize him as the devil. We do not believe the district attorney was characterizing [the defendant] as the devil. He used this phrase to illustrate the type of witnesses which were available in a case such as this one.”); State v. Bell, 359 N.C. 1, 21-22 (2004) (same; citing </w:t>
      </w:r>
      <w:r w:rsidRPr="00641284">
        <w:rPr>
          <w:rFonts w:ascii="Arial" w:hAnsi="Arial" w:cs="Arial"/>
          <w:i/>
          <w:iCs/>
        </w:rPr>
        <w:t>Willis</w:t>
      </w:r>
      <w:r w:rsidRPr="00641284">
        <w:rPr>
          <w:rFonts w:ascii="Arial" w:hAnsi="Arial" w:cs="Arial"/>
        </w:rPr>
        <w:t xml:space="preserve">); State v. Johnson, </w:t>
      </w:r>
      <w:r w:rsidR="00141CBA">
        <w:rPr>
          <w:rFonts w:ascii="Arial" w:hAnsi="Arial" w:cs="Arial"/>
        </w:rPr>
        <w:t>217</w:t>
      </w:r>
      <w:r w:rsidRPr="00641284">
        <w:rPr>
          <w:rFonts w:ascii="Arial" w:hAnsi="Arial" w:cs="Arial"/>
        </w:rPr>
        <w:t xml:space="preserve"> N.C. App. </w:t>
      </w:r>
      <w:r w:rsidR="00141CBA">
        <w:rPr>
          <w:rFonts w:ascii="Arial" w:hAnsi="Arial" w:cs="Arial"/>
        </w:rPr>
        <w:t>605</w:t>
      </w:r>
      <w:r w:rsidRPr="00641284">
        <w:rPr>
          <w:rFonts w:ascii="Arial" w:hAnsi="Arial" w:cs="Arial"/>
        </w:rPr>
        <w:t xml:space="preserve">, </w:t>
      </w:r>
      <w:r w:rsidR="00141CBA">
        <w:rPr>
          <w:rFonts w:ascii="Arial" w:hAnsi="Arial" w:cs="Arial"/>
        </w:rPr>
        <w:t>611</w:t>
      </w:r>
      <w:r w:rsidRPr="00641284">
        <w:rPr>
          <w:rFonts w:ascii="Arial" w:hAnsi="Arial" w:cs="Arial"/>
        </w:rPr>
        <w:t xml:space="preserve"> (2011) (same; citing </w:t>
      </w:r>
      <w:r w:rsidRPr="00641284">
        <w:rPr>
          <w:rFonts w:ascii="Arial" w:hAnsi="Arial" w:cs="Arial"/>
          <w:i/>
          <w:iCs/>
        </w:rPr>
        <w:t>Willis</w:t>
      </w:r>
      <w:r w:rsidRPr="00641284">
        <w:rPr>
          <w:rFonts w:ascii="Arial" w:hAnsi="Arial" w:cs="Arial"/>
        </w:rPr>
        <w:t>).</w:t>
      </w:r>
    </w:p>
    <w:p w14:paraId="3F95674E" w14:textId="77777777" w:rsidR="007B6333" w:rsidRPr="00641284" w:rsidRDefault="007B6333" w:rsidP="00DB30BF">
      <w:pPr>
        <w:pStyle w:val="ListParagraph"/>
        <w:numPr>
          <w:ilvl w:val="0"/>
          <w:numId w:val="10"/>
        </w:numPr>
        <w:spacing w:after="0" w:line="240" w:lineRule="auto"/>
        <w:ind w:left="2520"/>
        <w:rPr>
          <w:rFonts w:ascii="Arial" w:hAnsi="Arial" w:cs="Arial"/>
        </w:rPr>
      </w:pPr>
      <w:r w:rsidRPr="00641284">
        <w:rPr>
          <w:rFonts w:ascii="Arial" w:hAnsi="Arial" w:cs="Arial"/>
          <w:b/>
          <w:bCs/>
        </w:rPr>
        <w:t xml:space="preserve">Monster. </w:t>
      </w:r>
      <w:r w:rsidRPr="00641284">
        <w:rPr>
          <w:rFonts w:ascii="Arial" w:hAnsi="Arial" w:cs="Arial"/>
        </w:rPr>
        <w:t>The prosecutor should not refer to the defendant as a monster. State v. Matthews, 358 N.C. 102, 111 (2004) (“During closing argument the prosecutor characterized defendant as a ‘monster,’ ‘demon,’ ‘devil,’ ‘a man without morals’ and as having a ‘monster mind.’ Such improper characterizations of defendant amounted to no more than name-calling and did not serve the State because the prosecutor was not arguing the evidence and the conclusions that can be inferred therefrom.”).</w:t>
      </w:r>
    </w:p>
    <w:p w14:paraId="61A8E5BD" w14:textId="211944F2" w:rsidR="007B6333" w:rsidRPr="00641284" w:rsidRDefault="007B6333" w:rsidP="00DB30BF">
      <w:pPr>
        <w:pStyle w:val="ListParagraph"/>
        <w:numPr>
          <w:ilvl w:val="0"/>
          <w:numId w:val="10"/>
        </w:numPr>
        <w:spacing w:after="0" w:line="240" w:lineRule="auto"/>
        <w:ind w:left="2520"/>
        <w:rPr>
          <w:rFonts w:ascii="Arial" w:hAnsi="Arial" w:cs="Arial"/>
        </w:rPr>
      </w:pPr>
      <w:r w:rsidRPr="00641284">
        <w:rPr>
          <w:rFonts w:ascii="Arial" w:hAnsi="Arial" w:cs="Arial"/>
          <w:b/>
          <w:bCs/>
        </w:rPr>
        <w:t xml:space="preserve">S.O.B. </w:t>
      </w:r>
      <w:r w:rsidRPr="00641284">
        <w:rPr>
          <w:rFonts w:ascii="Arial" w:hAnsi="Arial" w:cs="Arial"/>
        </w:rPr>
        <w:t>Referring to the defendant as a S.O.B. is improper. State v. Davis, 45 N.C. App. 113</w:t>
      </w:r>
      <w:r w:rsidR="00B119E0">
        <w:rPr>
          <w:rFonts w:ascii="Arial" w:hAnsi="Arial" w:cs="Arial"/>
        </w:rPr>
        <w:t>, 115</w:t>
      </w:r>
      <w:r w:rsidRPr="00641284">
        <w:rPr>
          <w:rFonts w:ascii="Arial" w:hAnsi="Arial" w:cs="Arial"/>
        </w:rPr>
        <w:t xml:space="preserve"> (1980) (ordering a new trial where the prosecutor referred to the defendant as a “mean S.O.B.”). </w:t>
      </w:r>
    </w:p>
    <w:p w14:paraId="27826BAA" w14:textId="77777777" w:rsidR="007B6333" w:rsidRPr="00641284" w:rsidRDefault="007B6333" w:rsidP="00DB30BF">
      <w:pPr>
        <w:pStyle w:val="ListParagraph"/>
        <w:numPr>
          <w:ilvl w:val="0"/>
          <w:numId w:val="10"/>
        </w:numPr>
        <w:spacing w:after="0" w:line="240" w:lineRule="auto"/>
        <w:ind w:left="2520"/>
        <w:rPr>
          <w:rFonts w:ascii="Arial" w:hAnsi="Arial" w:cs="Arial"/>
        </w:rPr>
      </w:pPr>
      <w:r w:rsidRPr="00641284">
        <w:rPr>
          <w:rFonts w:ascii="Arial" w:hAnsi="Arial" w:cs="Arial"/>
          <w:b/>
          <w:bCs/>
        </w:rPr>
        <w:t>Hitler and other Nazis.</w:t>
      </w:r>
      <w:r w:rsidRPr="00641284">
        <w:rPr>
          <w:rFonts w:ascii="Arial" w:hAnsi="Arial" w:cs="Arial"/>
        </w:rPr>
        <w:t xml:space="preserve"> It is improper to compare the defendant to Hitler or to a Nazi. State v. Walters, 357 N.C. 68, 102-05 (2003) (prosecutor’s argument comparing the defendant to Hitler was improper); State v. Frink, 158 N.C. App. 581, 593-94 (2003) (prosecutor’s references to the Nazis and Heinrich Himmler were improper). </w:t>
      </w:r>
    </w:p>
    <w:p w14:paraId="516910BA" w14:textId="4CCD764C" w:rsidR="007B6333" w:rsidRPr="00641284" w:rsidRDefault="007B6333" w:rsidP="00DB30BF">
      <w:pPr>
        <w:pStyle w:val="ListParagraph"/>
        <w:numPr>
          <w:ilvl w:val="2"/>
          <w:numId w:val="8"/>
        </w:numPr>
        <w:spacing w:after="0" w:line="240" w:lineRule="auto"/>
        <w:rPr>
          <w:rFonts w:ascii="Arial" w:hAnsi="Arial" w:cs="Arial"/>
        </w:rPr>
      </w:pPr>
      <w:bookmarkStart w:id="76" w:name="_Toc402880739"/>
      <w:bookmarkStart w:id="77" w:name="_Toc163125228"/>
      <w:r w:rsidRPr="00CF4FBE">
        <w:rPr>
          <w:rStyle w:val="Heading3Char"/>
        </w:rPr>
        <w:t>Referring to the Defendant as a Criminal</w:t>
      </w:r>
      <w:bookmarkEnd w:id="76"/>
      <w:bookmarkEnd w:id="77"/>
      <w:r w:rsidRPr="00641284">
        <w:rPr>
          <w:rFonts w:ascii="Arial" w:hAnsi="Arial" w:cs="Arial"/>
          <w:b/>
          <w:bCs/>
        </w:rPr>
        <w:t>.</w:t>
      </w:r>
      <w:r w:rsidRPr="00641284">
        <w:rPr>
          <w:rFonts w:ascii="Arial" w:hAnsi="Arial" w:cs="Arial"/>
        </w:rPr>
        <w:t xml:space="preserve"> </w:t>
      </w:r>
      <w:proofErr w:type="gramStart"/>
      <w:r w:rsidRPr="00641284">
        <w:rPr>
          <w:rFonts w:ascii="Arial" w:hAnsi="Arial" w:cs="Arial"/>
        </w:rPr>
        <w:t>As a general rule</w:t>
      </w:r>
      <w:proofErr w:type="gramEnd"/>
      <w:r w:rsidRPr="00641284">
        <w:rPr>
          <w:rFonts w:ascii="Arial" w:hAnsi="Arial" w:cs="Arial"/>
        </w:rPr>
        <w:t xml:space="preserve">, </w:t>
      </w:r>
      <w:r w:rsidR="00292894">
        <w:rPr>
          <w:rFonts w:ascii="Arial" w:hAnsi="Arial" w:cs="Arial"/>
        </w:rPr>
        <w:t xml:space="preserve">it </w:t>
      </w:r>
      <w:r w:rsidRPr="00641284">
        <w:rPr>
          <w:rFonts w:ascii="Arial" w:hAnsi="Arial" w:cs="Arial"/>
        </w:rPr>
        <w:t>is improper to refer to the defendant as a criminal</w:t>
      </w:r>
      <w:r w:rsidR="00292894">
        <w:rPr>
          <w:rFonts w:ascii="Arial" w:hAnsi="Arial" w:cs="Arial"/>
        </w:rPr>
        <w:t xml:space="preserve"> on the basis of conduct which is not the subject of the trial absent evidence in the record establishing that fact</w:t>
      </w:r>
      <w:r w:rsidRPr="00641284">
        <w:rPr>
          <w:rFonts w:ascii="Arial" w:hAnsi="Arial" w:cs="Arial"/>
        </w:rPr>
        <w:t>. State v. Miller, 271 N.C. 646, 660-61 (1967) (</w:t>
      </w:r>
      <w:r w:rsidR="00DE563A">
        <w:rPr>
          <w:rFonts w:ascii="Arial" w:hAnsi="Arial" w:cs="Arial"/>
        </w:rPr>
        <w:t xml:space="preserve">improper to refer to defendants as “habitual </w:t>
      </w:r>
      <w:proofErr w:type="spellStart"/>
      <w:r w:rsidR="00DE563A">
        <w:rPr>
          <w:rFonts w:ascii="Arial" w:hAnsi="Arial" w:cs="Arial"/>
        </w:rPr>
        <w:t>storebreakers</w:t>
      </w:r>
      <w:proofErr w:type="spellEnd"/>
      <w:r w:rsidR="00DE563A">
        <w:rPr>
          <w:rFonts w:ascii="Arial" w:hAnsi="Arial" w:cs="Arial"/>
        </w:rPr>
        <w:t>” where</w:t>
      </w:r>
      <w:r w:rsidR="00292894">
        <w:rPr>
          <w:rFonts w:ascii="Arial" w:hAnsi="Arial" w:cs="Arial"/>
        </w:rPr>
        <w:t xml:space="preserve"> there was no evidence in the record </w:t>
      </w:r>
      <w:r w:rsidR="00DE563A">
        <w:rPr>
          <w:rFonts w:ascii="Arial" w:hAnsi="Arial" w:cs="Arial"/>
        </w:rPr>
        <w:t>of any previous break-ins by the</w:t>
      </w:r>
      <w:r w:rsidR="00292894">
        <w:rPr>
          <w:rFonts w:ascii="Arial" w:hAnsi="Arial" w:cs="Arial"/>
        </w:rPr>
        <w:t xml:space="preserve"> defendants</w:t>
      </w:r>
      <w:r w:rsidRPr="00641284">
        <w:rPr>
          <w:rFonts w:ascii="Arial" w:hAnsi="Arial" w:cs="Arial"/>
        </w:rPr>
        <w:t xml:space="preserve">); State v. Wyatt, 254 N.C. 220, 222 (1961) (prosecutor’s reference to the defendants as “two of the slickest confidence men we have had in this court for a long time” </w:t>
      </w:r>
      <w:r w:rsidR="00DE563A">
        <w:rPr>
          <w:rFonts w:ascii="Arial" w:hAnsi="Arial" w:cs="Arial"/>
        </w:rPr>
        <w:t xml:space="preserve">and speculating that they had stolen more money than charged in the indictment </w:t>
      </w:r>
      <w:r w:rsidRPr="00641284">
        <w:rPr>
          <w:rFonts w:ascii="Arial" w:hAnsi="Arial" w:cs="Arial"/>
        </w:rPr>
        <w:t xml:space="preserve">was “highly improper and objectionable”); State v. Correll, 229 N.C. 640, 643 (1948) (improper to refer to the defendant as “a small-time racketeering gangster”); </w:t>
      </w:r>
      <w:r w:rsidRPr="00641284">
        <w:rPr>
          <w:rFonts w:ascii="Arial" w:hAnsi="Arial" w:cs="Arial"/>
          <w:i/>
          <w:iCs/>
        </w:rPr>
        <w:t xml:space="preserve">see also </w:t>
      </w:r>
      <w:r w:rsidRPr="00641284">
        <w:rPr>
          <w:rFonts w:ascii="Arial" w:hAnsi="Arial" w:cs="Arial"/>
        </w:rPr>
        <w:t xml:space="preserve">State v. Bowen, 230 N.C. 710, 711 (1949) (disapproving of the prosecutor’s argument referring to the defendants as “these two thieves”). However, such argument may be proper when </w:t>
      </w:r>
      <w:r w:rsidR="00292894">
        <w:rPr>
          <w:rFonts w:ascii="Arial" w:hAnsi="Arial" w:cs="Arial"/>
        </w:rPr>
        <w:t xml:space="preserve">referring to the conduct at issue at trial or when </w:t>
      </w:r>
      <w:r w:rsidR="00A60800">
        <w:rPr>
          <w:rFonts w:ascii="Arial" w:hAnsi="Arial" w:cs="Arial"/>
        </w:rPr>
        <w:t xml:space="preserve">criminal </w:t>
      </w:r>
      <w:r w:rsidR="00292894">
        <w:rPr>
          <w:rFonts w:ascii="Arial" w:hAnsi="Arial" w:cs="Arial"/>
        </w:rPr>
        <w:t xml:space="preserve">conduct not at issue is </w:t>
      </w:r>
      <w:r w:rsidRPr="00641284">
        <w:rPr>
          <w:rFonts w:ascii="Arial" w:hAnsi="Arial" w:cs="Arial"/>
        </w:rPr>
        <w:t>supported by facts</w:t>
      </w:r>
      <w:r w:rsidR="00292894">
        <w:rPr>
          <w:rFonts w:ascii="Arial" w:hAnsi="Arial" w:cs="Arial"/>
        </w:rPr>
        <w:t xml:space="preserve"> in the record</w:t>
      </w:r>
      <w:r w:rsidRPr="00641284">
        <w:rPr>
          <w:rFonts w:ascii="Arial" w:hAnsi="Arial" w:cs="Arial"/>
        </w:rPr>
        <w:t>. State v. Harris, 338 N.C. 211, 229-30 (1994) (</w:t>
      </w:r>
      <w:r w:rsidR="00292894">
        <w:rPr>
          <w:rFonts w:ascii="Arial" w:hAnsi="Arial" w:cs="Arial"/>
        </w:rPr>
        <w:t>not improper to refer</w:t>
      </w:r>
      <w:r w:rsidRPr="00641284">
        <w:rPr>
          <w:rFonts w:ascii="Arial" w:hAnsi="Arial" w:cs="Arial"/>
        </w:rPr>
        <w:t xml:space="preserve"> to the defendant as a “cold-blooded murderer” and a “doper”</w:t>
      </w:r>
      <w:r w:rsidR="00292894">
        <w:rPr>
          <w:rFonts w:ascii="Arial" w:hAnsi="Arial" w:cs="Arial"/>
        </w:rPr>
        <w:t xml:space="preserve"> where he was on trial for first-degree murder and evidence of his past drug use was introduced</w:t>
      </w:r>
      <w:r w:rsidRPr="00641284">
        <w:rPr>
          <w:rFonts w:ascii="Arial" w:hAnsi="Arial" w:cs="Arial"/>
        </w:rPr>
        <w:t>)</w:t>
      </w:r>
      <w:r w:rsidR="00292894">
        <w:rPr>
          <w:rFonts w:ascii="Arial" w:hAnsi="Arial" w:cs="Arial"/>
        </w:rPr>
        <w:t>; State v. Guy, 262 N.C. App. 313, 325 (2018) (not improper to refer to defendant and codefendants as “gang members” where defendant called codefendants as witnesses and they testified to their collective gang involvement)</w:t>
      </w:r>
      <w:r w:rsidRPr="00641284">
        <w:rPr>
          <w:rFonts w:ascii="Arial" w:hAnsi="Arial" w:cs="Arial"/>
        </w:rPr>
        <w:t>.</w:t>
      </w:r>
    </w:p>
    <w:p w14:paraId="65B2D3D8" w14:textId="77777777" w:rsidR="00201C05" w:rsidRDefault="007B6333" w:rsidP="00DB30BF">
      <w:pPr>
        <w:pStyle w:val="ListParagraph"/>
        <w:numPr>
          <w:ilvl w:val="2"/>
          <w:numId w:val="8"/>
        </w:numPr>
        <w:spacing w:after="0" w:line="240" w:lineRule="auto"/>
        <w:rPr>
          <w:rFonts w:ascii="Arial" w:hAnsi="Arial" w:cs="Arial"/>
        </w:rPr>
      </w:pPr>
      <w:bookmarkStart w:id="78" w:name="_Toc402880740"/>
      <w:bookmarkStart w:id="79" w:name="_Toc163125229"/>
      <w:r w:rsidRPr="00CF4FBE">
        <w:rPr>
          <w:rStyle w:val="Heading3Char"/>
        </w:rPr>
        <w:t>Comparing the Defendant to an Animal</w:t>
      </w:r>
      <w:bookmarkEnd w:id="78"/>
      <w:bookmarkEnd w:id="79"/>
      <w:r w:rsidRPr="00641284">
        <w:rPr>
          <w:rFonts w:ascii="Arial" w:hAnsi="Arial" w:cs="Arial"/>
          <w:b/>
          <w:bCs/>
        </w:rPr>
        <w:t xml:space="preserve">. </w:t>
      </w:r>
      <w:r w:rsidR="004B6F5F">
        <w:rPr>
          <w:rFonts w:ascii="Arial" w:hAnsi="Arial" w:cs="Arial"/>
        </w:rPr>
        <w:t xml:space="preserve">The appellate courts have repeatedly stated that comparisons between the defendant and an animal are disfavored and have held such comparisons to be improper argument in many cases. </w:t>
      </w:r>
      <w:r w:rsidR="004B6F5F">
        <w:rPr>
          <w:rFonts w:ascii="Arial" w:hAnsi="Arial" w:cs="Arial"/>
          <w:i/>
          <w:iCs/>
        </w:rPr>
        <w:t>See, e.g.</w:t>
      </w:r>
      <w:r w:rsidR="004B6F5F">
        <w:rPr>
          <w:rFonts w:ascii="Arial" w:hAnsi="Arial" w:cs="Arial"/>
        </w:rPr>
        <w:t xml:space="preserve">, </w:t>
      </w:r>
      <w:r w:rsidR="004B6F5F" w:rsidRPr="00641284">
        <w:rPr>
          <w:rFonts w:ascii="Arial" w:hAnsi="Arial" w:cs="Arial"/>
        </w:rPr>
        <w:t xml:space="preserve">State v. Roache, 358 N.C. 243, 297-98 (2004) (prosecutor’s argument characterizing the defendant and his accomplice </w:t>
      </w:r>
      <w:r w:rsidR="004B6F5F" w:rsidRPr="00641284">
        <w:rPr>
          <w:rFonts w:ascii="Arial" w:hAnsi="Arial" w:cs="Arial"/>
        </w:rPr>
        <w:lastRenderedPageBreak/>
        <w:t>as wild dogs “high on the taste of blood and power over their victims” and stating that “just like wild dogs, if you run with the pack you are responsible for the kill” was improper</w:t>
      </w:r>
      <w:r w:rsidR="004B6F5F">
        <w:rPr>
          <w:rFonts w:ascii="Arial" w:hAnsi="Arial" w:cs="Arial"/>
        </w:rPr>
        <w:t>; stating generally that “this Court does not condone comparisons of defendants and animals”</w:t>
      </w:r>
      <w:r w:rsidR="004B6F5F" w:rsidRPr="00641284">
        <w:rPr>
          <w:rFonts w:ascii="Arial" w:hAnsi="Arial" w:cs="Arial"/>
        </w:rPr>
        <w:t>)</w:t>
      </w:r>
      <w:r w:rsidR="004B6F5F">
        <w:rPr>
          <w:rFonts w:ascii="Arial" w:hAnsi="Arial" w:cs="Arial"/>
        </w:rPr>
        <w:t>;</w:t>
      </w:r>
      <w:r w:rsidR="004B6F5F">
        <w:rPr>
          <w:rFonts w:ascii="Arial" w:hAnsi="Arial" w:cs="Arial"/>
          <w:i/>
          <w:iCs/>
        </w:rPr>
        <w:t xml:space="preserve"> </w:t>
      </w:r>
      <w:r w:rsidR="004B6F5F" w:rsidRPr="00641284">
        <w:rPr>
          <w:rFonts w:ascii="Arial" w:hAnsi="Arial" w:cs="Arial"/>
        </w:rPr>
        <w:t>State v. Jones, 355 N.C. 117, 134 (2002) (improper to refer to the defendant as “lower than the dirt on a snake’s belly”); State v. Smith, 279 N.C. 163, 165-67 (1971) (improper to argue that the defendant was “lower than the bone belly of a cur dog”); State v. Ballard, 191 N.C. 122, 124-25 (1926) (improper to call the defendant a “human hyena”)</w:t>
      </w:r>
      <w:r w:rsidR="004B6F5F">
        <w:rPr>
          <w:rFonts w:ascii="Arial" w:hAnsi="Arial" w:cs="Arial"/>
        </w:rPr>
        <w:t>.</w:t>
      </w:r>
    </w:p>
    <w:p w14:paraId="46B3A3B6" w14:textId="6A1E3A4E" w:rsidR="007B6333" w:rsidRPr="00641284" w:rsidRDefault="004B6F5F" w:rsidP="00DB30BF">
      <w:pPr>
        <w:pStyle w:val="ListParagraph"/>
        <w:spacing w:after="0" w:line="240" w:lineRule="auto"/>
        <w:ind w:left="2160" w:firstLine="720"/>
        <w:rPr>
          <w:rFonts w:ascii="Arial" w:hAnsi="Arial" w:cs="Arial"/>
        </w:rPr>
      </w:pPr>
      <w:r>
        <w:rPr>
          <w:rFonts w:ascii="Arial" w:hAnsi="Arial" w:cs="Arial"/>
        </w:rPr>
        <w:t>In a few cases, t</w:t>
      </w:r>
      <w:r w:rsidR="007B6333" w:rsidRPr="00641284">
        <w:rPr>
          <w:rFonts w:ascii="Arial" w:hAnsi="Arial" w:cs="Arial"/>
        </w:rPr>
        <w:t xml:space="preserve">he courts have held that it </w:t>
      </w:r>
      <w:r>
        <w:rPr>
          <w:rFonts w:ascii="Arial" w:hAnsi="Arial" w:cs="Arial"/>
        </w:rPr>
        <w:t>was</w:t>
      </w:r>
      <w:r w:rsidR="007B6333" w:rsidRPr="00641284">
        <w:rPr>
          <w:rFonts w:ascii="Arial" w:hAnsi="Arial" w:cs="Arial"/>
        </w:rPr>
        <w:t xml:space="preserve"> not improper for </w:t>
      </w:r>
      <w:r>
        <w:rPr>
          <w:rFonts w:ascii="Arial" w:hAnsi="Arial" w:cs="Arial"/>
        </w:rPr>
        <w:t>a</w:t>
      </w:r>
      <w:r w:rsidR="007B6333" w:rsidRPr="00641284">
        <w:rPr>
          <w:rFonts w:ascii="Arial" w:hAnsi="Arial" w:cs="Arial"/>
        </w:rPr>
        <w:t xml:space="preserve"> prosecutor to</w:t>
      </w:r>
      <w:r>
        <w:rPr>
          <w:rFonts w:ascii="Arial" w:hAnsi="Arial" w:cs="Arial"/>
        </w:rPr>
        <w:t xml:space="preserve"> analogize a</w:t>
      </w:r>
      <w:r w:rsidR="00160F2D">
        <w:rPr>
          <w:rFonts w:ascii="Arial" w:hAnsi="Arial" w:cs="Arial"/>
        </w:rPr>
        <w:t xml:space="preserve"> </w:t>
      </w:r>
      <w:r>
        <w:rPr>
          <w:rFonts w:ascii="Arial" w:hAnsi="Arial" w:cs="Arial"/>
        </w:rPr>
        <w:t xml:space="preserve">legal </w:t>
      </w:r>
      <w:r w:rsidR="00160F2D">
        <w:rPr>
          <w:rFonts w:ascii="Arial" w:hAnsi="Arial" w:cs="Arial"/>
        </w:rPr>
        <w:t xml:space="preserve">or factual </w:t>
      </w:r>
      <w:r>
        <w:rPr>
          <w:rFonts w:ascii="Arial" w:hAnsi="Arial" w:cs="Arial"/>
        </w:rPr>
        <w:t xml:space="preserve">theory of the case to situations involving animals where the analogy was presented in a non-inflammatory manner. </w:t>
      </w:r>
      <w:r>
        <w:rPr>
          <w:rFonts w:ascii="Arial" w:hAnsi="Arial" w:cs="Arial"/>
          <w:i/>
          <w:iCs/>
        </w:rPr>
        <w:t>See, e.g.</w:t>
      </w:r>
      <w:r>
        <w:rPr>
          <w:rFonts w:ascii="Arial" w:hAnsi="Arial" w:cs="Arial"/>
        </w:rPr>
        <w:t xml:space="preserve">, </w:t>
      </w:r>
      <w:r w:rsidRPr="00641284">
        <w:rPr>
          <w:rFonts w:ascii="Arial" w:hAnsi="Arial" w:cs="Arial"/>
        </w:rPr>
        <w:t>State v. Bell, 359 N.C. 1, 20-21 (2004)</w:t>
      </w:r>
      <w:r w:rsidR="007B6333" w:rsidRPr="00641284">
        <w:rPr>
          <w:rFonts w:ascii="Arial" w:hAnsi="Arial" w:cs="Arial"/>
        </w:rPr>
        <w:t xml:space="preserve"> </w:t>
      </w:r>
      <w:r>
        <w:rPr>
          <w:rFonts w:ascii="Arial" w:hAnsi="Arial" w:cs="Arial"/>
        </w:rPr>
        <w:t xml:space="preserve">(not improper to </w:t>
      </w:r>
      <w:r w:rsidR="007B6333" w:rsidRPr="00641284">
        <w:rPr>
          <w:rFonts w:ascii="Arial" w:hAnsi="Arial" w:cs="Arial"/>
        </w:rPr>
        <w:t>use the phrase “he who hunts with the pack is responsible for the kill” to illustrate the legal theory of acting in concert</w:t>
      </w:r>
      <w:r>
        <w:rPr>
          <w:rFonts w:ascii="Arial" w:hAnsi="Arial" w:cs="Arial"/>
        </w:rPr>
        <w:t>)</w:t>
      </w:r>
      <w:r w:rsidR="007B6333" w:rsidRPr="00641284">
        <w:rPr>
          <w:rFonts w:ascii="Arial" w:hAnsi="Arial" w:cs="Arial"/>
        </w:rPr>
        <w:t xml:space="preserve">; </w:t>
      </w:r>
      <w:r w:rsidR="007B6333" w:rsidRPr="00641284">
        <w:rPr>
          <w:rFonts w:ascii="Arial" w:hAnsi="Arial" w:cs="Arial"/>
          <w:i/>
          <w:iCs/>
        </w:rPr>
        <w:t>see also</w:t>
      </w:r>
      <w:r w:rsidR="007B6333" w:rsidRPr="00641284">
        <w:rPr>
          <w:rFonts w:ascii="Arial" w:hAnsi="Arial" w:cs="Arial"/>
        </w:rPr>
        <w:t xml:space="preserve"> State v. Craig, 308 N.C. 446, 457-58 (1983) (not </w:t>
      </w:r>
      <w:r w:rsidR="00F01BC4">
        <w:rPr>
          <w:rFonts w:ascii="Arial" w:hAnsi="Arial" w:cs="Arial"/>
        </w:rPr>
        <w:t xml:space="preserve">grossly </w:t>
      </w:r>
      <w:r w:rsidR="007B6333" w:rsidRPr="00641284">
        <w:rPr>
          <w:rFonts w:ascii="Arial" w:hAnsi="Arial" w:cs="Arial"/>
        </w:rPr>
        <w:t>improper to refer to the defendants as a pack of wolves when stated in a non-inflammatory manner to illustrate concert of action)</w:t>
      </w:r>
      <w:r w:rsidR="00E74A6E">
        <w:rPr>
          <w:rFonts w:ascii="Arial" w:hAnsi="Arial" w:cs="Arial"/>
        </w:rPr>
        <w:t>; State v. Foust, 220 N.C. App. 63, 72-73 (2012) (not grossly improper in a rape case to analogize defendant to a “beast in the field . . . stalking the prey” in a non-inflammatory manner to illustrate theory of the crime)</w:t>
      </w:r>
      <w:r w:rsidR="00160F2D">
        <w:rPr>
          <w:rFonts w:ascii="Arial" w:hAnsi="Arial" w:cs="Arial"/>
        </w:rPr>
        <w:t>; State v. Oakes, 209 N.C. App. 18, 25 (2011) (noting that animal comparisons are “</w:t>
      </w:r>
      <w:r w:rsidR="00160F2D">
        <w:rPr>
          <w:rFonts w:ascii="Arial" w:hAnsi="Arial" w:cs="Arial"/>
          <w:i/>
          <w:iCs/>
        </w:rPr>
        <w:t>strongly</w:t>
      </w:r>
      <w:r w:rsidR="00160F2D">
        <w:rPr>
          <w:rFonts w:ascii="Arial" w:hAnsi="Arial" w:cs="Arial"/>
        </w:rPr>
        <w:t xml:space="preserve"> disfavored” but finding analogy of defendant to tiger hunting a gazelle not grossly improper as to require intervention </w:t>
      </w:r>
      <w:r w:rsidR="00160F2D">
        <w:rPr>
          <w:rFonts w:ascii="Arial" w:hAnsi="Arial" w:cs="Arial"/>
          <w:i/>
          <w:iCs/>
        </w:rPr>
        <w:t xml:space="preserve">ex </w:t>
      </w:r>
      <w:proofErr w:type="spellStart"/>
      <w:r w:rsidR="00160F2D">
        <w:rPr>
          <w:rFonts w:ascii="Arial" w:hAnsi="Arial" w:cs="Arial"/>
          <w:i/>
          <w:iCs/>
        </w:rPr>
        <w:t>mero</w:t>
      </w:r>
      <w:proofErr w:type="spellEnd"/>
      <w:r w:rsidR="00160F2D">
        <w:rPr>
          <w:rFonts w:ascii="Arial" w:hAnsi="Arial" w:cs="Arial"/>
          <w:i/>
          <w:iCs/>
        </w:rPr>
        <w:t xml:space="preserve"> motu</w:t>
      </w:r>
      <w:r w:rsidR="00160F2D">
        <w:rPr>
          <w:rFonts w:ascii="Arial" w:hAnsi="Arial" w:cs="Arial"/>
        </w:rPr>
        <w:t xml:space="preserve"> where used to explain legal theory of premeditation and deliberation in first-degree murder case)</w:t>
      </w:r>
      <w:r w:rsidR="007B6333" w:rsidRPr="00641284">
        <w:rPr>
          <w:rFonts w:ascii="Arial" w:hAnsi="Arial" w:cs="Arial"/>
        </w:rPr>
        <w:t xml:space="preserve">. However, </w:t>
      </w:r>
      <w:r>
        <w:rPr>
          <w:rFonts w:ascii="Arial" w:hAnsi="Arial" w:cs="Arial"/>
        </w:rPr>
        <w:t xml:space="preserve">because of the general rule disfavoring such comparisons, </w:t>
      </w:r>
      <w:r w:rsidR="007B6333" w:rsidRPr="00641284">
        <w:rPr>
          <w:rFonts w:ascii="Arial" w:hAnsi="Arial" w:cs="Arial"/>
        </w:rPr>
        <w:t xml:space="preserve">caution should be exercised </w:t>
      </w:r>
      <w:proofErr w:type="gramStart"/>
      <w:r w:rsidR="007B6333" w:rsidRPr="00641284">
        <w:rPr>
          <w:rFonts w:ascii="Arial" w:hAnsi="Arial" w:cs="Arial"/>
        </w:rPr>
        <w:t>with regard to</w:t>
      </w:r>
      <w:proofErr w:type="gramEnd"/>
      <w:r w:rsidR="007B6333" w:rsidRPr="00641284">
        <w:rPr>
          <w:rFonts w:ascii="Arial" w:hAnsi="Arial" w:cs="Arial"/>
        </w:rPr>
        <w:t xml:space="preserve"> all comparisons between the defendant and an animal</w:t>
      </w:r>
      <w:r>
        <w:rPr>
          <w:rFonts w:ascii="Arial" w:hAnsi="Arial" w:cs="Arial"/>
        </w:rPr>
        <w:t>.</w:t>
      </w:r>
      <w:r w:rsidR="007B6333" w:rsidRPr="00641284">
        <w:rPr>
          <w:rFonts w:ascii="Arial" w:hAnsi="Arial" w:cs="Arial"/>
        </w:rPr>
        <w:t xml:space="preserve"> </w:t>
      </w:r>
      <w:r>
        <w:rPr>
          <w:rFonts w:ascii="Arial" w:hAnsi="Arial" w:cs="Arial"/>
        </w:rPr>
        <w:t xml:space="preserve">For example, </w:t>
      </w:r>
      <w:r w:rsidR="007B6333" w:rsidRPr="00641284">
        <w:rPr>
          <w:rFonts w:ascii="Arial" w:hAnsi="Arial" w:cs="Arial"/>
        </w:rPr>
        <w:t xml:space="preserve">the “hunts with the pack” argument has been held improper when used in a way that goes beyond “noninflammatory remarks.” </w:t>
      </w:r>
      <w:r w:rsidR="007B6333" w:rsidRPr="001D3148">
        <w:rPr>
          <w:rFonts w:ascii="Arial" w:hAnsi="Arial" w:cs="Arial"/>
          <w:i/>
          <w:iCs/>
        </w:rPr>
        <w:t>Roache</w:t>
      </w:r>
      <w:r w:rsidR="007B6333" w:rsidRPr="00641284">
        <w:rPr>
          <w:rFonts w:ascii="Arial" w:hAnsi="Arial" w:cs="Arial"/>
        </w:rPr>
        <w:t xml:space="preserve">, 358 N.C. </w:t>
      </w:r>
      <w:r>
        <w:rPr>
          <w:rFonts w:ascii="Arial" w:hAnsi="Arial" w:cs="Arial"/>
        </w:rPr>
        <w:t>at</w:t>
      </w:r>
      <w:r w:rsidR="007B6333" w:rsidRPr="00641284">
        <w:rPr>
          <w:rFonts w:ascii="Arial" w:hAnsi="Arial" w:cs="Arial"/>
        </w:rPr>
        <w:t xml:space="preserve"> 297-98; State v. Sims, 161 N.C. App. 183, 194-95 (2003) (prosecutor improperly went beyond the “he who hunts with the pack is responsible for the kill” a</w:t>
      </w:r>
      <w:r w:rsidR="00F74D0F">
        <w:rPr>
          <w:rFonts w:ascii="Arial" w:hAnsi="Arial" w:cs="Arial"/>
        </w:rPr>
        <w:t xml:space="preserve">nalogy where the defendant was </w:t>
      </w:r>
      <w:proofErr w:type="gramStart"/>
      <w:r w:rsidR="007B6333" w:rsidRPr="00641284">
        <w:rPr>
          <w:rFonts w:ascii="Arial" w:hAnsi="Arial" w:cs="Arial"/>
        </w:rPr>
        <w:t>African-American</w:t>
      </w:r>
      <w:proofErr w:type="gramEnd"/>
      <w:r w:rsidR="007B6333" w:rsidRPr="00641284">
        <w:rPr>
          <w:rFonts w:ascii="Arial" w:hAnsi="Arial" w:cs="Arial"/>
        </w:rPr>
        <w:t xml:space="preserve"> and the prosecutor also referred to “wild dogs or hyenas hunting on the African plain” and used the term “alpha male”). </w:t>
      </w:r>
    </w:p>
    <w:p w14:paraId="749C456C" w14:textId="77777777" w:rsidR="007B6333" w:rsidRPr="00641284" w:rsidRDefault="007B6333" w:rsidP="00DB30BF">
      <w:pPr>
        <w:pStyle w:val="ListParagraph"/>
        <w:numPr>
          <w:ilvl w:val="2"/>
          <w:numId w:val="8"/>
        </w:numPr>
        <w:spacing w:after="0" w:line="240" w:lineRule="auto"/>
        <w:rPr>
          <w:rFonts w:ascii="Arial" w:hAnsi="Arial" w:cs="Arial"/>
          <w:b/>
          <w:bCs/>
        </w:rPr>
      </w:pPr>
      <w:bookmarkStart w:id="80" w:name="_Toc402880741"/>
      <w:bookmarkStart w:id="81" w:name="_Toc163125230"/>
      <w:r w:rsidRPr="00CF4FBE">
        <w:rPr>
          <w:rStyle w:val="Heading3Char"/>
        </w:rPr>
        <w:t>Argument Regarding the Defendant’s Appearance</w:t>
      </w:r>
      <w:bookmarkEnd w:id="80"/>
      <w:bookmarkEnd w:id="81"/>
      <w:r w:rsidRPr="00641284">
        <w:rPr>
          <w:rFonts w:ascii="Arial" w:hAnsi="Arial" w:cs="Arial"/>
          <w:b/>
          <w:bCs/>
        </w:rPr>
        <w:t xml:space="preserve">. </w:t>
      </w:r>
      <w:r w:rsidRPr="00641284">
        <w:rPr>
          <w:rFonts w:ascii="Arial" w:hAnsi="Arial" w:cs="Arial"/>
        </w:rPr>
        <w:t xml:space="preserve">It is improper to argue that a defendant should be convicted because of how he or she looks. State v. Murdock, 183 N.C. 779, 780-82 (1922) (prosecutor improperly argued: “I do not know when I have seen a more typical blockader. Look at him, his red nose, his red face, his red </w:t>
      </w:r>
      <w:proofErr w:type="gramStart"/>
      <w:r w:rsidRPr="00641284">
        <w:rPr>
          <w:rFonts w:ascii="Arial" w:hAnsi="Arial" w:cs="Arial"/>
        </w:rPr>
        <w:t>hair</w:t>
      </w:r>
      <w:proofErr w:type="gramEnd"/>
      <w:r w:rsidRPr="00641284">
        <w:rPr>
          <w:rFonts w:ascii="Arial" w:hAnsi="Arial" w:cs="Arial"/>
        </w:rPr>
        <w:t xml:space="preserve"> and moustache. They are the sure signs. He has the earmarks of a blockader.”); State v. Tucker, 190 N.C. 708 (1925) (improper to argue: “Gentlemen of the jury, look at the defendants, they look like professed (professional) bootleggers; their looks alone are enough to convict them”). However, certain arguments as to the defendant’s demeanor may be proper. </w:t>
      </w:r>
      <w:r w:rsidRPr="00641284">
        <w:rPr>
          <w:rFonts w:ascii="Arial" w:hAnsi="Arial" w:cs="Arial"/>
          <w:i/>
          <w:iCs/>
        </w:rPr>
        <w:t>See, e.g.</w:t>
      </w:r>
      <w:r w:rsidRPr="00641284">
        <w:rPr>
          <w:rFonts w:ascii="Arial" w:hAnsi="Arial" w:cs="Arial"/>
        </w:rPr>
        <w:t xml:space="preserve">, State v. Augustine, 359 N.C. 709, 734-35 (2005) (not improper for prosecutor to urge jurors to consider the defendant’s courtroom demeanor as showing a lack of remorse); State v. Nicholson, 355 N.C. 1, 42-43 (2002) (not improper for prosecutor to argue that the defendant looked bored during even emotional points of the trial as this pertained to his demeanor at trial); State v. Brown, 320 N.C. 179, 198-99 </w:t>
      </w:r>
      <w:r w:rsidRPr="00641284">
        <w:rPr>
          <w:rFonts w:ascii="Arial" w:hAnsi="Arial" w:cs="Arial"/>
        </w:rPr>
        <w:lastRenderedPageBreak/>
        <w:t>(1987) (not improper for prosecutor to assert that the defendant’s demeanor in court showed a lack of remorse).</w:t>
      </w:r>
      <w:r w:rsidRPr="00641284">
        <w:rPr>
          <w:rFonts w:ascii="Arial" w:hAnsi="Arial" w:cs="Arial"/>
          <w:b/>
          <w:bCs/>
        </w:rPr>
        <w:t xml:space="preserve"> </w:t>
      </w:r>
    </w:p>
    <w:p w14:paraId="2A2024F1" w14:textId="3E07B998" w:rsidR="007B6333" w:rsidRPr="00641284" w:rsidRDefault="007B6333" w:rsidP="00DB30BF">
      <w:pPr>
        <w:pStyle w:val="ListParagraph"/>
        <w:numPr>
          <w:ilvl w:val="2"/>
          <w:numId w:val="8"/>
        </w:numPr>
        <w:spacing w:after="0" w:line="240" w:lineRule="auto"/>
        <w:rPr>
          <w:rFonts w:ascii="Arial" w:hAnsi="Arial" w:cs="Arial"/>
        </w:rPr>
      </w:pPr>
      <w:bookmarkStart w:id="82" w:name="_Toc402880742"/>
      <w:bookmarkStart w:id="83" w:name="_Toc163125231"/>
      <w:r w:rsidRPr="00CF4FBE">
        <w:rPr>
          <w:rStyle w:val="Heading3Char"/>
        </w:rPr>
        <w:t>Racial References</w:t>
      </w:r>
      <w:bookmarkEnd w:id="82"/>
      <w:bookmarkEnd w:id="83"/>
      <w:r w:rsidRPr="00641284">
        <w:rPr>
          <w:rFonts w:ascii="Arial" w:hAnsi="Arial" w:cs="Arial"/>
          <w:b/>
          <w:bCs/>
        </w:rPr>
        <w:t xml:space="preserve">. </w:t>
      </w:r>
      <w:r w:rsidRPr="00641284">
        <w:rPr>
          <w:rFonts w:ascii="Arial" w:hAnsi="Arial" w:cs="Arial"/>
        </w:rPr>
        <w:t>Racial references should be avoided unless relevant to the facts of the case. State v. Diehl, 353 N.C. 433, 436 (2001) (“Although it is improper gratuitously to interject race into a jury argument where race is otherwise irrelevant to the case being tried, argument acknowledging race as a motive or factor in a crime may be entirely appropriate.”)</w:t>
      </w:r>
      <w:r w:rsidR="00E330D2">
        <w:rPr>
          <w:rFonts w:ascii="Arial" w:hAnsi="Arial" w:cs="Arial"/>
        </w:rPr>
        <w:t xml:space="preserve">; </w:t>
      </w:r>
      <w:r w:rsidR="00E330D2">
        <w:rPr>
          <w:rFonts w:ascii="Arial" w:hAnsi="Arial" w:cs="Arial"/>
          <w:i/>
          <w:iCs/>
        </w:rPr>
        <w:t xml:space="preserve">see also </w:t>
      </w:r>
      <w:r w:rsidR="00E330D2">
        <w:rPr>
          <w:rFonts w:ascii="Arial" w:hAnsi="Arial" w:cs="Arial"/>
        </w:rPr>
        <w:t>State v. Copley, 374 N.C. 224, 228-29 (2020) (assuming without deciding that prosecutor’s</w:t>
      </w:r>
      <w:r w:rsidR="002D6989">
        <w:rPr>
          <w:rFonts w:ascii="Arial" w:hAnsi="Arial" w:cs="Arial"/>
        </w:rPr>
        <w:t xml:space="preserve"> closing argument comments</w:t>
      </w:r>
      <w:r w:rsidR="00E330D2">
        <w:rPr>
          <w:rFonts w:ascii="Arial" w:hAnsi="Arial" w:cs="Arial"/>
        </w:rPr>
        <w:t xml:space="preserve"> concerning race were improper in a murder case involving a Black victim and a white defendant)</w:t>
      </w:r>
      <w:r w:rsidR="001D2460">
        <w:rPr>
          <w:rFonts w:ascii="Arial" w:hAnsi="Arial" w:cs="Arial"/>
        </w:rPr>
        <w:t>;</w:t>
      </w:r>
      <w:r w:rsidR="00E330D2">
        <w:rPr>
          <w:rFonts w:ascii="Arial" w:hAnsi="Arial" w:cs="Arial"/>
        </w:rPr>
        <w:t xml:space="preserve"> </w:t>
      </w:r>
      <w:r w:rsidR="00E330D2">
        <w:rPr>
          <w:rFonts w:ascii="Arial" w:hAnsi="Arial" w:cs="Arial"/>
          <w:i/>
          <w:iCs/>
        </w:rPr>
        <w:t>Copley</w:t>
      </w:r>
      <w:r w:rsidR="00E330D2">
        <w:rPr>
          <w:rFonts w:ascii="Arial" w:hAnsi="Arial" w:cs="Arial"/>
        </w:rPr>
        <w:t xml:space="preserve">, 374 N.C. 224, 232-238 (Earls, J., concurring) (setting out case law relevant to </w:t>
      </w:r>
      <w:r w:rsidR="002D6989">
        <w:rPr>
          <w:rFonts w:ascii="Arial" w:hAnsi="Arial" w:cs="Arial"/>
        </w:rPr>
        <w:t>analysis of propriety of jury arguments concerning race</w:t>
      </w:r>
      <w:r w:rsidR="00E330D2">
        <w:rPr>
          <w:rFonts w:ascii="Arial" w:hAnsi="Arial" w:cs="Arial"/>
        </w:rPr>
        <w:t>)</w:t>
      </w:r>
      <w:r w:rsidRPr="00641284">
        <w:rPr>
          <w:rFonts w:ascii="Arial" w:hAnsi="Arial" w:cs="Arial"/>
        </w:rPr>
        <w:t xml:space="preserve">. </w:t>
      </w:r>
    </w:p>
    <w:p w14:paraId="2E35E9D3" w14:textId="6A4EED48" w:rsidR="007B6333" w:rsidRPr="00641284" w:rsidRDefault="007B6333" w:rsidP="00DB30BF">
      <w:pPr>
        <w:pStyle w:val="ListParagraph"/>
        <w:numPr>
          <w:ilvl w:val="2"/>
          <w:numId w:val="8"/>
        </w:numPr>
        <w:spacing w:after="0" w:line="240" w:lineRule="auto"/>
        <w:rPr>
          <w:rFonts w:ascii="Arial" w:hAnsi="Arial" w:cs="Arial"/>
          <w:b/>
          <w:bCs/>
        </w:rPr>
      </w:pPr>
      <w:bookmarkStart w:id="84" w:name="_Toc402880743"/>
      <w:bookmarkStart w:id="85" w:name="_Toc163125232"/>
      <w:r w:rsidRPr="00CF4FBE">
        <w:rPr>
          <w:rStyle w:val="Heading3Char"/>
        </w:rPr>
        <w:t>Referring to Tragic National Events</w:t>
      </w:r>
      <w:bookmarkEnd w:id="84"/>
      <w:bookmarkEnd w:id="85"/>
      <w:r w:rsidRPr="00641284">
        <w:rPr>
          <w:rFonts w:ascii="Arial" w:hAnsi="Arial" w:cs="Arial"/>
          <w:b/>
          <w:bCs/>
        </w:rPr>
        <w:t xml:space="preserve">. </w:t>
      </w:r>
      <w:r w:rsidRPr="00641284">
        <w:rPr>
          <w:rFonts w:ascii="Arial" w:hAnsi="Arial" w:cs="Arial"/>
        </w:rPr>
        <w:t xml:space="preserve">It is improper for the prosecutor to make a reference to national tragedies such as the Columbine school killings, State v. Jones, 355 N.C. 117, 132-33 (2002), the 9/11 terrorist attacks, State v. Millsaps, 169 N.C. App. 340, 348-49 (2005), or the Oklahoma City federal building bombing, </w:t>
      </w:r>
      <w:r w:rsidRPr="00641284">
        <w:rPr>
          <w:rFonts w:ascii="Arial" w:hAnsi="Arial" w:cs="Arial"/>
          <w:i/>
          <w:iCs/>
        </w:rPr>
        <w:t xml:space="preserve">Jones, </w:t>
      </w:r>
      <w:r w:rsidRPr="00641284">
        <w:rPr>
          <w:rFonts w:ascii="Arial" w:hAnsi="Arial" w:cs="Arial"/>
        </w:rPr>
        <w:t xml:space="preserve">355 N.C. at 132-33. The North Carolina Supreme Court has explained that such remarks are improper because they refer to matters outside the record, urge the jurors to compare the defendant’s acts to the infamous acts of others, and attempt to lead the jurors away from the evidence by appealing to their sense of passion and prejudice. </w:t>
      </w:r>
      <w:r w:rsidRPr="00641284">
        <w:rPr>
          <w:rFonts w:ascii="Arial" w:hAnsi="Arial" w:cs="Arial"/>
          <w:i/>
          <w:iCs/>
        </w:rPr>
        <w:t>Jones</w:t>
      </w:r>
      <w:r w:rsidRPr="00641284">
        <w:rPr>
          <w:rFonts w:ascii="Arial" w:hAnsi="Arial" w:cs="Arial"/>
        </w:rPr>
        <w:t>, 355 N.C. at 132</w:t>
      </w:r>
      <w:r w:rsidR="000D7E68">
        <w:rPr>
          <w:rFonts w:ascii="Arial" w:hAnsi="Arial" w:cs="Arial"/>
        </w:rPr>
        <w:t xml:space="preserve">; </w:t>
      </w:r>
      <w:r w:rsidR="000D7E68">
        <w:rPr>
          <w:rFonts w:ascii="Arial" w:hAnsi="Arial" w:cs="Arial"/>
          <w:i/>
          <w:iCs/>
        </w:rPr>
        <w:t xml:space="preserve">see also </w:t>
      </w:r>
      <w:r w:rsidR="000D7E68">
        <w:rPr>
          <w:rFonts w:ascii="Arial" w:hAnsi="Arial" w:cs="Arial"/>
        </w:rPr>
        <w:t xml:space="preserve">State v. Norris, 287 N.C. App. 302, 319-20 (2022) (citing </w:t>
      </w:r>
      <w:r w:rsidR="000D7E68">
        <w:rPr>
          <w:rFonts w:ascii="Arial" w:hAnsi="Arial" w:cs="Arial"/>
          <w:i/>
          <w:iCs/>
        </w:rPr>
        <w:t xml:space="preserve">Jones </w:t>
      </w:r>
      <w:r w:rsidR="000D7E68">
        <w:rPr>
          <w:rFonts w:ascii="Arial" w:hAnsi="Arial" w:cs="Arial"/>
        </w:rPr>
        <w:t>and finding prosecutor’s argument improper where it referenced nationally salient acts of mass violence in a murder solicitation prosecution involving a defendant who was a high school student)</w:t>
      </w:r>
      <w:r w:rsidRPr="00641284">
        <w:rPr>
          <w:rFonts w:ascii="Arial" w:hAnsi="Arial" w:cs="Arial"/>
        </w:rPr>
        <w:t>.</w:t>
      </w:r>
    </w:p>
    <w:p w14:paraId="655806F0" w14:textId="77777777" w:rsidR="007B6333" w:rsidRPr="00641284" w:rsidRDefault="007B6333" w:rsidP="00DB30BF">
      <w:pPr>
        <w:pStyle w:val="ListParagraph"/>
        <w:numPr>
          <w:ilvl w:val="2"/>
          <w:numId w:val="8"/>
        </w:numPr>
        <w:spacing w:after="0" w:line="240" w:lineRule="auto"/>
        <w:rPr>
          <w:rFonts w:ascii="Arial" w:hAnsi="Arial" w:cs="Arial"/>
          <w:b/>
          <w:bCs/>
        </w:rPr>
      </w:pPr>
      <w:bookmarkStart w:id="86" w:name="_Toc402880744"/>
      <w:bookmarkStart w:id="87" w:name="_Toc163125233"/>
      <w:r w:rsidRPr="00CF4FBE">
        <w:rPr>
          <w:rStyle w:val="Heading3Char"/>
        </w:rPr>
        <w:t>Personal Experiences</w:t>
      </w:r>
      <w:bookmarkEnd w:id="86"/>
      <w:bookmarkEnd w:id="87"/>
      <w:r w:rsidRPr="00641284">
        <w:rPr>
          <w:rFonts w:ascii="Arial" w:hAnsi="Arial" w:cs="Arial"/>
          <w:b/>
          <w:bCs/>
        </w:rPr>
        <w:t xml:space="preserve">. </w:t>
      </w:r>
      <w:r w:rsidRPr="00641284">
        <w:rPr>
          <w:rFonts w:ascii="Arial" w:hAnsi="Arial" w:cs="Arial"/>
        </w:rPr>
        <w:t xml:space="preserve">During a closing argument a lawyer may not inject his or her personal experiences. G.S. 15A-1230(a); </w:t>
      </w:r>
      <w:r w:rsidRPr="00641284">
        <w:rPr>
          <w:rFonts w:ascii="Arial" w:hAnsi="Arial" w:cs="Arial"/>
          <w:i/>
          <w:iCs/>
        </w:rPr>
        <w:t>Jones</w:t>
      </w:r>
      <w:r w:rsidRPr="00641284">
        <w:rPr>
          <w:rFonts w:ascii="Arial" w:hAnsi="Arial" w:cs="Arial"/>
        </w:rPr>
        <w:t>, 355 N.C. at 127 (citing the statute).</w:t>
      </w:r>
    </w:p>
    <w:p w14:paraId="38779006" w14:textId="1DB8E1EB" w:rsidR="004E09F9" w:rsidRPr="004E09F9" w:rsidRDefault="007B6333" w:rsidP="00DB30BF">
      <w:pPr>
        <w:pStyle w:val="ListParagraph"/>
        <w:numPr>
          <w:ilvl w:val="2"/>
          <w:numId w:val="8"/>
        </w:numPr>
        <w:spacing w:after="0" w:line="240" w:lineRule="auto"/>
        <w:rPr>
          <w:rFonts w:ascii="Arial" w:hAnsi="Arial" w:cs="Arial"/>
          <w:b/>
          <w:bCs/>
        </w:rPr>
      </w:pPr>
      <w:bookmarkStart w:id="88" w:name="_Toc402880745"/>
      <w:bookmarkStart w:id="89" w:name="_Toc163125234"/>
      <w:r w:rsidRPr="00CF4FBE">
        <w:rPr>
          <w:rStyle w:val="Heading3Char"/>
        </w:rPr>
        <w:t>Personal Beliefs</w:t>
      </w:r>
      <w:bookmarkEnd w:id="88"/>
      <w:bookmarkEnd w:id="89"/>
      <w:r w:rsidRPr="00641284">
        <w:rPr>
          <w:rFonts w:ascii="Arial" w:hAnsi="Arial" w:cs="Arial"/>
          <w:b/>
          <w:bCs/>
        </w:rPr>
        <w:t>.</w:t>
      </w:r>
      <w:r w:rsidRPr="00641284">
        <w:rPr>
          <w:rFonts w:ascii="Arial" w:hAnsi="Arial" w:cs="Arial"/>
        </w:rPr>
        <w:t xml:space="preserve"> During a closing argument a lawyer may not express his or her personal belief as to the truth or falsity of the evidence or as to the guilt or innocence of the defendant. G.S. 15A-1230(a)</w:t>
      </w:r>
      <w:r w:rsidR="004E09F9">
        <w:rPr>
          <w:rFonts w:ascii="Arial" w:hAnsi="Arial" w:cs="Arial"/>
        </w:rPr>
        <w:t xml:space="preserve">. </w:t>
      </w:r>
      <w:r w:rsidR="004E09F9">
        <w:rPr>
          <w:rFonts w:ascii="Arial" w:hAnsi="Arial" w:cs="Arial"/>
          <w:i/>
          <w:iCs/>
        </w:rPr>
        <w:t xml:space="preserve">Compare </w:t>
      </w:r>
      <w:r w:rsidRPr="00641284">
        <w:rPr>
          <w:rFonts w:ascii="Arial" w:hAnsi="Arial" w:cs="Arial"/>
        </w:rPr>
        <w:t>State v. Waring, 364 N.C. 443, 500-01, 515 (2010) (the prosecutor improperly injected his personal beliefs by stating, “I think</w:t>
      </w:r>
      <w:r w:rsidR="004E09F9">
        <w:rPr>
          <w:rFonts w:ascii="Arial" w:hAnsi="Arial" w:cs="Arial"/>
        </w:rPr>
        <w:t xml:space="preserve"> the evidence is overwhelming [and] the defendant is guilty</w:t>
      </w:r>
      <w:r w:rsidRPr="00641284">
        <w:rPr>
          <w:rFonts w:ascii="Arial" w:hAnsi="Arial" w:cs="Arial"/>
        </w:rPr>
        <w:t>” and “I believe</w:t>
      </w:r>
      <w:r w:rsidR="004E09F9">
        <w:rPr>
          <w:rFonts w:ascii="Arial" w:hAnsi="Arial" w:cs="Arial"/>
        </w:rPr>
        <w:t xml:space="preserve"> the evidence is overwhelming that the defendant is guilty</w:t>
      </w:r>
      <w:r w:rsidRPr="00641284">
        <w:rPr>
          <w:rFonts w:ascii="Arial" w:hAnsi="Arial" w:cs="Arial"/>
        </w:rPr>
        <w:t>”)</w:t>
      </w:r>
      <w:r w:rsidR="004E09F9">
        <w:rPr>
          <w:rFonts w:ascii="Arial" w:hAnsi="Arial" w:cs="Arial"/>
        </w:rPr>
        <w:t xml:space="preserve">, </w:t>
      </w:r>
      <w:r w:rsidR="004E09F9">
        <w:rPr>
          <w:rFonts w:ascii="Arial" w:hAnsi="Arial" w:cs="Arial"/>
          <w:i/>
          <w:iCs/>
        </w:rPr>
        <w:t xml:space="preserve">and </w:t>
      </w:r>
      <w:r w:rsidR="004E09F9">
        <w:rPr>
          <w:rFonts w:ascii="Arial" w:hAnsi="Arial" w:cs="Arial"/>
        </w:rPr>
        <w:t xml:space="preserve">State v. </w:t>
      </w:r>
      <w:proofErr w:type="spellStart"/>
      <w:r w:rsidR="004E09F9">
        <w:rPr>
          <w:rFonts w:ascii="Arial" w:hAnsi="Arial" w:cs="Arial"/>
        </w:rPr>
        <w:t>Wardrett</w:t>
      </w:r>
      <w:proofErr w:type="spellEnd"/>
      <w:r w:rsidR="004E09F9">
        <w:rPr>
          <w:rFonts w:ascii="Arial" w:hAnsi="Arial" w:cs="Arial"/>
        </w:rPr>
        <w:t>, 261 N.C. App. 735, 744 (2018</w:t>
      </w:r>
      <w:r w:rsidR="0037143E">
        <w:rPr>
          <w:rFonts w:ascii="Arial" w:hAnsi="Arial" w:cs="Arial"/>
        </w:rPr>
        <w:t>)</w:t>
      </w:r>
      <w:r w:rsidR="004E09F9">
        <w:rPr>
          <w:rFonts w:ascii="Arial" w:hAnsi="Arial" w:cs="Arial"/>
        </w:rPr>
        <w:t xml:space="preserve"> ("obviously improper” for prosecutor to argue that the defendant was “absolutely guilty of the crime he’s charged with” and there was “just no question about it”), </w:t>
      </w:r>
      <w:r w:rsidR="004E09F9">
        <w:rPr>
          <w:rFonts w:ascii="Arial" w:hAnsi="Arial" w:cs="Arial"/>
          <w:i/>
          <w:iCs/>
        </w:rPr>
        <w:t>with</w:t>
      </w:r>
      <w:r w:rsidR="004E09F9">
        <w:rPr>
          <w:rFonts w:ascii="Arial" w:hAnsi="Arial" w:cs="Arial"/>
        </w:rPr>
        <w:t xml:space="preserve"> State v. Peace, 256 N.C. App. 590, 593-95 (2017) (prosecutor’s argument in DWI case that “[t]he State has proven beyond a reasonable doubt that this man was under the influence of some impairing substance” was not improper</w:t>
      </w:r>
      <w:r w:rsidR="009D6840">
        <w:rPr>
          <w:rFonts w:ascii="Arial" w:hAnsi="Arial" w:cs="Arial"/>
        </w:rPr>
        <w:t xml:space="preserve"> personal belief</w:t>
      </w:r>
      <w:r w:rsidR="004E09F9">
        <w:rPr>
          <w:rFonts w:ascii="Arial" w:hAnsi="Arial" w:cs="Arial"/>
        </w:rPr>
        <w:t xml:space="preserve"> as it merely summarized the evidence, argued that the State had proven what is required by law, and attempted to persuade the jury to a particular verdict)</w:t>
      </w:r>
      <w:r w:rsidRPr="00641284">
        <w:rPr>
          <w:rFonts w:ascii="Arial" w:hAnsi="Arial" w:cs="Arial"/>
        </w:rPr>
        <w:t xml:space="preserve">. </w:t>
      </w:r>
    </w:p>
    <w:p w14:paraId="7D0F035E" w14:textId="243F1C52" w:rsidR="007B6333" w:rsidRPr="00641284" w:rsidRDefault="007B6333" w:rsidP="00DB30BF">
      <w:pPr>
        <w:pStyle w:val="ListParagraph"/>
        <w:spacing w:after="0" w:line="240" w:lineRule="auto"/>
        <w:ind w:left="2160" w:firstLine="720"/>
        <w:rPr>
          <w:rFonts w:ascii="Arial" w:hAnsi="Arial" w:cs="Arial"/>
          <w:b/>
          <w:bCs/>
        </w:rPr>
      </w:pPr>
      <w:proofErr w:type="gramStart"/>
      <w:r w:rsidRPr="00641284">
        <w:rPr>
          <w:rFonts w:ascii="Arial" w:hAnsi="Arial" w:cs="Arial"/>
        </w:rPr>
        <w:t xml:space="preserve">A number </w:t>
      </w:r>
      <w:r w:rsidR="00D231DE">
        <w:rPr>
          <w:rFonts w:ascii="Arial" w:hAnsi="Arial" w:cs="Arial"/>
        </w:rPr>
        <w:t>o</w:t>
      </w:r>
      <w:r w:rsidRPr="00641284">
        <w:rPr>
          <w:rFonts w:ascii="Arial" w:hAnsi="Arial" w:cs="Arial"/>
        </w:rPr>
        <w:t>f</w:t>
      </w:r>
      <w:proofErr w:type="gramEnd"/>
      <w:r w:rsidRPr="00641284">
        <w:rPr>
          <w:rFonts w:ascii="Arial" w:hAnsi="Arial" w:cs="Arial"/>
        </w:rPr>
        <w:t xml:space="preserve"> cases have held that it is improper for a lawyer to state a personal belief that a witness is lying or telling the truth. </w:t>
      </w:r>
      <w:r w:rsidR="008C79DA">
        <w:rPr>
          <w:rFonts w:ascii="Arial" w:hAnsi="Arial" w:cs="Arial"/>
        </w:rPr>
        <w:t xml:space="preserve">State v. Huey, 370 N.C. 174, 182 (2017) (improper for prosecutor to </w:t>
      </w:r>
      <w:r w:rsidR="00E67F90">
        <w:rPr>
          <w:rFonts w:ascii="Arial" w:hAnsi="Arial" w:cs="Arial"/>
        </w:rPr>
        <w:t>assert opinion</w:t>
      </w:r>
      <w:r w:rsidR="008C79DA">
        <w:rPr>
          <w:rFonts w:ascii="Arial" w:hAnsi="Arial" w:cs="Arial"/>
        </w:rPr>
        <w:t xml:space="preserve"> that defendant lied while testifying); State v. Hembree, 368 N.C. 2 (2015) (</w:t>
      </w:r>
      <w:r w:rsidR="00E130A7">
        <w:rPr>
          <w:rFonts w:ascii="Arial" w:hAnsi="Arial" w:cs="Arial"/>
        </w:rPr>
        <w:t>same</w:t>
      </w:r>
      <w:r w:rsidR="008C79DA">
        <w:rPr>
          <w:rFonts w:ascii="Arial" w:hAnsi="Arial" w:cs="Arial"/>
        </w:rPr>
        <w:t>)</w:t>
      </w:r>
      <w:r w:rsidR="00E52D67">
        <w:rPr>
          <w:rFonts w:ascii="Arial" w:hAnsi="Arial" w:cs="Arial"/>
        </w:rPr>
        <w:t>;</w:t>
      </w:r>
      <w:r w:rsidR="008C79DA">
        <w:rPr>
          <w:rFonts w:ascii="Arial" w:hAnsi="Arial" w:cs="Arial"/>
        </w:rPr>
        <w:t xml:space="preserve"> </w:t>
      </w:r>
      <w:r w:rsidRPr="00641284">
        <w:rPr>
          <w:rFonts w:ascii="Arial" w:hAnsi="Arial" w:cs="Arial"/>
        </w:rPr>
        <w:t xml:space="preserve">State v. Phillips, 365 N.C. 103, 139 (2011) (improper for </w:t>
      </w:r>
      <w:r w:rsidRPr="00641284">
        <w:rPr>
          <w:rFonts w:ascii="Arial" w:hAnsi="Arial" w:cs="Arial"/>
        </w:rPr>
        <w:lastRenderedPageBreak/>
        <w:t>prosecutor to assert that a defense expert’s testimony was “wholly unbelievable”); State v. Wilkerson, 363 N.C. 382, 424-25 (2009) (prosecutor's statement that he believed that a State’s witness was telling the truth was improper vouching); State v. Miller, 271 N.C. 646, 659 (1967) (improper to argue: “I knew he was lying”);</w:t>
      </w:r>
      <w:r w:rsidR="00905286">
        <w:rPr>
          <w:rFonts w:ascii="Arial" w:hAnsi="Arial" w:cs="Arial"/>
        </w:rPr>
        <w:t xml:space="preserve"> State v. Hensley, 277 N.C. App. 308, 312-13 (2021) (</w:t>
      </w:r>
      <w:r w:rsidR="00085792">
        <w:rPr>
          <w:rFonts w:ascii="Arial" w:hAnsi="Arial" w:cs="Arial"/>
        </w:rPr>
        <w:t>improper for prosecutor to describe defendant’s testimony as “a ridiculous excuse” as this expressed personal belief that the testimony was false</w:t>
      </w:r>
      <w:r w:rsidR="00905286">
        <w:rPr>
          <w:rFonts w:ascii="Arial" w:hAnsi="Arial" w:cs="Arial"/>
        </w:rPr>
        <w:t>);</w:t>
      </w:r>
      <w:r w:rsidRPr="00641284">
        <w:rPr>
          <w:rFonts w:ascii="Arial" w:hAnsi="Arial" w:cs="Arial"/>
        </w:rPr>
        <w:t xml:space="preserve"> State v. </w:t>
      </w:r>
      <w:proofErr w:type="spellStart"/>
      <w:r w:rsidRPr="00641284">
        <w:rPr>
          <w:rFonts w:ascii="Arial" w:hAnsi="Arial" w:cs="Arial"/>
        </w:rPr>
        <w:t>Gillikin</w:t>
      </w:r>
      <w:proofErr w:type="spellEnd"/>
      <w:r w:rsidRPr="00641284">
        <w:rPr>
          <w:rFonts w:ascii="Arial" w:hAnsi="Arial" w:cs="Arial"/>
        </w:rPr>
        <w:t xml:space="preserve">, </w:t>
      </w:r>
      <w:r w:rsidR="0056336C">
        <w:rPr>
          <w:rFonts w:ascii="Arial" w:hAnsi="Arial" w:cs="Arial"/>
        </w:rPr>
        <w:t>217</w:t>
      </w:r>
      <w:r w:rsidRPr="00641284">
        <w:rPr>
          <w:rFonts w:ascii="Arial" w:hAnsi="Arial" w:cs="Arial"/>
        </w:rPr>
        <w:t xml:space="preserve"> N.C. App. </w:t>
      </w:r>
      <w:r w:rsidR="0056336C">
        <w:rPr>
          <w:rFonts w:ascii="Arial" w:hAnsi="Arial" w:cs="Arial"/>
        </w:rPr>
        <w:t>256, 266-67</w:t>
      </w:r>
      <w:r w:rsidRPr="00641284">
        <w:rPr>
          <w:rFonts w:ascii="Arial" w:hAnsi="Arial" w:cs="Arial"/>
        </w:rPr>
        <w:t xml:space="preserve"> (2011) (the prosecutor improperly expressed his opinion that the defendant was a liar and was guilty); </w:t>
      </w:r>
      <w:r w:rsidRPr="00641284">
        <w:rPr>
          <w:rFonts w:ascii="Arial" w:hAnsi="Arial" w:cs="Arial"/>
          <w:i/>
          <w:iCs/>
        </w:rPr>
        <w:t>see also</w:t>
      </w:r>
      <w:r w:rsidRPr="00641284">
        <w:rPr>
          <w:rFonts w:ascii="Arial" w:hAnsi="Arial" w:cs="Arial"/>
        </w:rPr>
        <w:t xml:space="preserve"> N.C. </w:t>
      </w:r>
      <w:r w:rsidRPr="00641284">
        <w:rPr>
          <w:rFonts w:ascii="Arial" w:hAnsi="Arial" w:cs="Arial"/>
          <w:smallCaps/>
        </w:rPr>
        <w:t xml:space="preserve">R. </w:t>
      </w:r>
      <w:proofErr w:type="spellStart"/>
      <w:r w:rsidRPr="00641284">
        <w:rPr>
          <w:rFonts w:ascii="Arial" w:hAnsi="Arial" w:cs="Arial"/>
          <w:smallCaps/>
        </w:rPr>
        <w:t>Prof’l</w:t>
      </w:r>
      <w:proofErr w:type="spellEnd"/>
      <w:r w:rsidRPr="00641284">
        <w:rPr>
          <w:rFonts w:ascii="Arial" w:hAnsi="Arial" w:cs="Arial"/>
          <w:smallCaps/>
        </w:rPr>
        <w:t xml:space="preserve"> Conduct</w:t>
      </w:r>
      <w:r w:rsidRPr="00641284">
        <w:rPr>
          <w:rFonts w:ascii="Arial" w:hAnsi="Arial" w:cs="Arial"/>
        </w:rPr>
        <w:t xml:space="preserve"> Rule 3.4(e) (a lawyer may not “state a personal opinion as to the justness of a cause, the credibility of a witness . . . or the guilt or innocence of an accused”).</w:t>
      </w:r>
      <w:r w:rsidR="006F2A87">
        <w:rPr>
          <w:rFonts w:ascii="Arial" w:hAnsi="Arial" w:cs="Arial"/>
        </w:rPr>
        <w:t xml:space="preserve"> A</w:t>
      </w:r>
      <w:r w:rsidR="00E52D67">
        <w:rPr>
          <w:rFonts w:ascii="Arial" w:hAnsi="Arial" w:cs="Arial"/>
        </w:rPr>
        <w:t xml:space="preserve">s discussed above, </w:t>
      </w:r>
      <w:r w:rsidR="00022A7B">
        <w:rPr>
          <w:rFonts w:ascii="Arial" w:hAnsi="Arial" w:cs="Arial"/>
        </w:rPr>
        <w:t xml:space="preserve">it is not improper for </w:t>
      </w:r>
      <w:r w:rsidR="00E52D67">
        <w:rPr>
          <w:rFonts w:ascii="Arial" w:hAnsi="Arial" w:cs="Arial"/>
        </w:rPr>
        <w:t>a</w:t>
      </w:r>
      <w:r w:rsidR="006F2A87">
        <w:rPr>
          <w:rFonts w:ascii="Arial" w:hAnsi="Arial" w:cs="Arial"/>
        </w:rPr>
        <w:t xml:space="preserve"> lawyer </w:t>
      </w:r>
      <w:r w:rsidR="00022A7B">
        <w:rPr>
          <w:rFonts w:ascii="Arial" w:hAnsi="Arial" w:cs="Arial"/>
        </w:rPr>
        <w:t>to</w:t>
      </w:r>
      <w:r w:rsidR="00E52D67">
        <w:rPr>
          <w:rFonts w:ascii="Arial" w:hAnsi="Arial" w:cs="Arial"/>
        </w:rPr>
        <w:t xml:space="preserve"> make arguments </w:t>
      </w:r>
      <w:r w:rsidR="006F2A87">
        <w:rPr>
          <w:rFonts w:ascii="Arial" w:hAnsi="Arial" w:cs="Arial"/>
        </w:rPr>
        <w:t>undermin</w:t>
      </w:r>
      <w:r w:rsidR="00E52D67">
        <w:rPr>
          <w:rFonts w:ascii="Arial" w:hAnsi="Arial" w:cs="Arial"/>
        </w:rPr>
        <w:t>ing</w:t>
      </w:r>
      <w:r w:rsidR="006F2A87">
        <w:rPr>
          <w:rFonts w:ascii="Arial" w:hAnsi="Arial" w:cs="Arial"/>
        </w:rPr>
        <w:t xml:space="preserve"> a witness’s credibility </w:t>
      </w:r>
      <w:r w:rsidR="00022A7B">
        <w:rPr>
          <w:rFonts w:ascii="Arial" w:hAnsi="Arial" w:cs="Arial"/>
        </w:rPr>
        <w:t>when there is an evidentiary basis to do so</w:t>
      </w:r>
      <w:r w:rsidR="006F2A87">
        <w:rPr>
          <w:rFonts w:ascii="Arial" w:hAnsi="Arial" w:cs="Arial"/>
        </w:rPr>
        <w:t xml:space="preserve">. State v. Mumma, 257 N.C. App. 829, 840 (2018) (prosecutor’s </w:t>
      </w:r>
      <w:r w:rsidR="00E52D67">
        <w:rPr>
          <w:rFonts w:ascii="Arial" w:hAnsi="Arial" w:cs="Arial"/>
        </w:rPr>
        <w:t>statements</w:t>
      </w:r>
      <w:r w:rsidR="006F2A87">
        <w:rPr>
          <w:rFonts w:ascii="Arial" w:hAnsi="Arial" w:cs="Arial"/>
        </w:rPr>
        <w:t xml:space="preserve"> during closing argument</w:t>
      </w:r>
      <w:r w:rsidR="00E52D67">
        <w:rPr>
          <w:rFonts w:ascii="Arial" w:hAnsi="Arial" w:cs="Arial"/>
        </w:rPr>
        <w:t xml:space="preserve"> including</w:t>
      </w:r>
      <w:r w:rsidR="006F2A87">
        <w:rPr>
          <w:rFonts w:ascii="Arial" w:hAnsi="Arial" w:cs="Arial"/>
        </w:rPr>
        <w:t xml:space="preserve"> “[a]re you kidding me?” and “give me a break” when recounting defendant’s inconsistent statements and testimony were not impermissible personal opinions)</w:t>
      </w:r>
      <w:r w:rsidR="00B7711A">
        <w:rPr>
          <w:rFonts w:ascii="Arial" w:hAnsi="Arial" w:cs="Arial"/>
        </w:rPr>
        <w:t xml:space="preserve">, </w:t>
      </w:r>
      <w:r w:rsidR="00B7711A">
        <w:rPr>
          <w:rFonts w:ascii="Arial" w:hAnsi="Arial" w:cs="Arial"/>
          <w:i/>
          <w:iCs/>
        </w:rPr>
        <w:t>aff’d as modified on other grounds</w:t>
      </w:r>
      <w:r w:rsidR="00B7711A">
        <w:rPr>
          <w:rFonts w:ascii="Arial" w:hAnsi="Arial" w:cs="Arial"/>
        </w:rPr>
        <w:t>, 372 N.C. 226 (2019)</w:t>
      </w:r>
      <w:r w:rsidR="006F2A87">
        <w:rPr>
          <w:rFonts w:ascii="Arial" w:hAnsi="Arial" w:cs="Arial"/>
        </w:rPr>
        <w:t>.</w:t>
      </w:r>
      <w:r w:rsidRPr="00641284">
        <w:rPr>
          <w:rFonts w:ascii="Arial" w:hAnsi="Arial" w:cs="Arial"/>
        </w:rPr>
        <w:t xml:space="preserve"> </w:t>
      </w:r>
      <w:r w:rsidR="006F2A87">
        <w:rPr>
          <w:rFonts w:ascii="Arial" w:hAnsi="Arial" w:cs="Arial"/>
        </w:rPr>
        <w:t>It is</w:t>
      </w:r>
      <w:r w:rsidRPr="00641284">
        <w:rPr>
          <w:rFonts w:ascii="Arial" w:hAnsi="Arial" w:cs="Arial"/>
        </w:rPr>
        <w:t xml:space="preserve"> improper </w:t>
      </w:r>
      <w:r w:rsidR="006F2A87">
        <w:rPr>
          <w:rFonts w:ascii="Arial" w:hAnsi="Arial" w:cs="Arial"/>
        </w:rPr>
        <w:t>to</w:t>
      </w:r>
      <w:r w:rsidRPr="00641284">
        <w:rPr>
          <w:rFonts w:ascii="Arial" w:hAnsi="Arial" w:cs="Arial"/>
        </w:rPr>
        <w:t xml:space="preserve"> express </w:t>
      </w:r>
      <w:r w:rsidR="006F2A87">
        <w:rPr>
          <w:rFonts w:ascii="Arial" w:hAnsi="Arial" w:cs="Arial"/>
        </w:rPr>
        <w:t>a</w:t>
      </w:r>
      <w:r w:rsidRPr="00641284">
        <w:rPr>
          <w:rFonts w:ascii="Arial" w:hAnsi="Arial" w:cs="Arial"/>
        </w:rPr>
        <w:t xml:space="preserve"> personal belief as to the strength of the State’s case or of a defense. </w:t>
      </w:r>
      <w:r w:rsidRPr="00641284">
        <w:rPr>
          <w:rFonts w:ascii="Arial" w:hAnsi="Arial" w:cs="Arial"/>
          <w:i/>
          <w:iCs/>
        </w:rPr>
        <w:t xml:space="preserve">See, e.g., </w:t>
      </w:r>
      <w:r w:rsidRPr="00641284">
        <w:rPr>
          <w:rFonts w:ascii="Arial" w:hAnsi="Arial" w:cs="Arial"/>
        </w:rPr>
        <w:t xml:space="preserve">State v. Matthews, 358 N.C. 102, 110-12 (2004) (prosecutor's comment during closing argument that the defendant's theory of case was “bull crap” constituted an impermissible </w:t>
      </w:r>
      <w:proofErr w:type="gramStart"/>
      <w:r w:rsidRPr="00641284">
        <w:rPr>
          <w:rFonts w:ascii="Arial" w:hAnsi="Arial" w:cs="Arial"/>
        </w:rPr>
        <w:t>personal opinion</w:t>
      </w:r>
      <w:proofErr w:type="gramEnd"/>
      <w:r w:rsidRPr="00641284">
        <w:rPr>
          <w:rFonts w:ascii="Arial" w:hAnsi="Arial" w:cs="Arial"/>
        </w:rPr>
        <w:t xml:space="preserve"> and exceeded bounds of civility).</w:t>
      </w:r>
    </w:p>
    <w:p w14:paraId="440139B7" w14:textId="3CB86874" w:rsidR="007B6333" w:rsidRPr="00641284" w:rsidRDefault="007B6333" w:rsidP="00DB30BF">
      <w:pPr>
        <w:pStyle w:val="ListParagraph"/>
        <w:numPr>
          <w:ilvl w:val="2"/>
          <w:numId w:val="8"/>
        </w:numPr>
        <w:spacing w:after="0" w:line="240" w:lineRule="auto"/>
        <w:rPr>
          <w:rFonts w:ascii="Arial" w:hAnsi="Arial" w:cs="Arial"/>
        </w:rPr>
      </w:pPr>
      <w:bookmarkStart w:id="90" w:name="_Toc402880746"/>
      <w:bookmarkStart w:id="91" w:name="_Toc163125235"/>
      <w:r w:rsidRPr="00CF4FBE">
        <w:rPr>
          <w:rStyle w:val="Heading3Char"/>
        </w:rPr>
        <w:t>Personal Attacks on Opposing Counsel</w:t>
      </w:r>
      <w:bookmarkEnd w:id="90"/>
      <w:bookmarkEnd w:id="91"/>
      <w:r w:rsidRPr="00641284">
        <w:rPr>
          <w:rFonts w:ascii="Arial" w:hAnsi="Arial" w:cs="Arial"/>
          <w:b/>
          <w:bCs/>
        </w:rPr>
        <w:t xml:space="preserve">. </w:t>
      </w:r>
      <w:r w:rsidRPr="00641284">
        <w:rPr>
          <w:rFonts w:ascii="Arial" w:hAnsi="Arial" w:cs="Arial"/>
        </w:rPr>
        <w:t xml:space="preserve">In argument to the jury, lawyers should not engage in personal attacks on opposing counsel. N.C. </w:t>
      </w:r>
      <w:r w:rsidRPr="00641284">
        <w:rPr>
          <w:rFonts w:ascii="Arial" w:hAnsi="Arial" w:cs="Arial"/>
          <w:smallCaps/>
        </w:rPr>
        <w:t xml:space="preserve">R. Super and Dist. </w:t>
      </w:r>
      <w:proofErr w:type="spellStart"/>
      <w:r w:rsidRPr="00641284">
        <w:rPr>
          <w:rFonts w:ascii="Arial" w:hAnsi="Arial" w:cs="Arial"/>
          <w:smallCaps/>
        </w:rPr>
        <w:t>Cts</w:t>
      </w:r>
      <w:proofErr w:type="spellEnd"/>
      <w:r w:rsidRPr="00641284">
        <w:rPr>
          <w:rFonts w:ascii="Arial" w:hAnsi="Arial" w:cs="Arial"/>
          <w:smallCaps/>
        </w:rPr>
        <w:t>.</w:t>
      </w:r>
      <w:r w:rsidRPr="00641284">
        <w:rPr>
          <w:rFonts w:ascii="Arial" w:hAnsi="Arial" w:cs="Arial"/>
        </w:rPr>
        <w:t xml:space="preserve"> Rule 12 (“All personalities between counsel should be avoided. The personal history or peculiarities of counsel on the opposing side should not be alluded to.”); </w:t>
      </w:r>
      <w:r w:rsidR="008C79DA" w:rsidRPr="00BF4ED7">
        <w:rPr>
          <w:rFonts w:ascii="Arial" w:hAnsi="Arial" w:cs="Arial"/>
          <w:i/>
          <w:iCs/>
        </w:rPr>
        <w:t>Huey</w:t>
      </w:r>
      <w:r w:rsidR="008C79DA">
        <w:rPr>
          <w:rFonts w:ascii="Arial" w:hAnsi="Arial" w:cs="Arial"/>
        </w:rPr>
        <w:t xml:space="preserve">, 370 N.C. at 182 (improper for prosecutor to accuse defense counsel of suborning perjury without evidence); </w:t>
      </w:r>
      <w:r w:rsidR="008C79DA" w:rsidRPr="00BF4ED7">
        <w:rPr>
          <w:rFonts w:ascii="Arial" w:hAnsi="Arial" w:cs="Arial"/>
          <w:i/>
          <w:iCs/>
        </w:rPr>
        <w:t>Hembree</w:t>
      </w:r>
      <w:r w:rsidR="008C79DA">
        <w:rPr>
          <w:rFonts w:ascii="Arial" w:hAnsi="Arial" w:cs="Arial"/>
        </w:rPr>
        <w:t xml:space="preserve">, 368 N.C. 2 (same); </w:t>
      </w:r>
      <w:r w:rsidRPr="00641284">
        <w:rPr>
          <w:rFonts w:ascii="Arial" w:hAnsi="Arial" w:cs="Arial"/>
        </w:rPr>
        <w:t>State v. Grooms, 353 N.C. 50</w:t>
      </w:r>
      <w:r w:rsidR="00040C1D">
        <w:rPr>
          <w:rFonts w:ascii="Arial" w:hAnsi="Arial" w:cs="Arial"/>
        </w:rPr>
        <w:t>, 83</w:t>
      </w:r>
      <w:r w:rsidRPr="00641284">
        <w:rPr>
          <w:rFonts w:ascii="Arial" w:hAnsi="Arial" w:cs="Arial"/>
        </w:rPr>
        <w:t xml:space="preserve"> (2000) (“[A] trial attorney may not make uncomplimentary comments about opposing counsel.” (citation omitted)); State v. Rivera, 350 N.C. 285, 290-91 (1999) (disapproving of a remark that defense counsel displayed “one of the best poker faces” when a State’s witness contradicted the defendant’s alibi defense); State v. Miller, 271 N.C. 646, 659 (1967) (disapproving of the following comment by the prosecutor about defense counsel: “There is something in this case that is not very pretty. Mr. Walker, himself a former solicitor of this court until other things tempted him to the place where he now is”); State v. Riley, 202 N.C. App. 299, 304-06 (2010) (the prosecutor’s jury argument was improper where it attacked the integrity of defense counsel and was based on speculation that the defendant changed his story after speaking with his lawyer); State v. Jordan, 149 N.C. App. 838, 843-44 (2002) (comparing defense counsel to Joseph McCarthy “thoroughly undermined [the] defense by casting unsupported doubt on counsel's credibility and erroneously painting defendant's defense as purely obstructionist.”).</w:t>
      </w:r>
    </w:p>
    <w:p w14:paraId="7E0FF206" w14:textId="77777777" w:rsidR="007B6333" w:rsidRPr="00641284" w:rsidRDefault="007B6333" w:rsidP="00DB30BF">
      <w:pPr>
        <w:pStyle w:val="ListParagraph"/>
        <w:numPr>
          <w:ilvl w:val="2"/>
          <w:numId w:val="8"/>
        </w:numPr>
        <w:spacing w:after="0" w:line="240" w:lineRule="auto"/>
        <w:rPr>
          <w:rFonts w:ascii="Arial" w:hAnsi="Arial" w:cs="Arial"/>
          <w:b/>
          <w:bCs/>
        </w:rPr>
      </w:pPr>
      <w:bookmarkStart w:id="92" w:name="_Toc402880747"/>
      <w:bookmarkStart w:id="93" w:name="_Toc163125236"/>
      <w:r w:rsidRPr="00CF4FBE">
        <w:rPr>
          <w:rStyle w:val="Heading3Char"/>
        </w:rPr>
        <w:t>Personal Attacks on Witnesses</w:t>
      </w:r>
      <w:bookmarkEnd w:id="92"/>
      <w:bookmarkEnd w:id="93"/>
      <w:r w:rsidRPr="00641284">
        <w:rPr>
          <w:rFonts w:ascii="Arial" w:hAnsi="Arial" w:cs="Arial"/>
          <w:b/>
          <w:bCs/>
        </w:rPr>
        <w:t>.</w:t>
      </w:r>
      <w:r w:rsidRPr="00641284">
        <w:rPr>
          <w:rFonts w:ascii="Arial" w:hAnsi="Arial" w:cs="Arial"/>
        </w:rPr>
        <w:t xml:space="preserve"> </w:t>
      </w:r>
    </w:p>
    <w:p w14:paraId="44C4DA7F" w14:textId="7D946283" w:rsidR="007B6333" w:rsidRPr="00641284" w:rsidRDefault="007B6333" w:rsidP="00DB30BF">
      <w:pPr>
        <w:pStyle w:val="ListParagraph"/>
        <w:spacing w:after="0" w:line="240" w:lineRule="auto"/>
        <w:ind w:left="2520" w:hanging="360"/>
        <w:rPr>
          <w:rFonts w:ascii="Arial" w:hAnsi="Arial" w:cs="Arial"/>
          <w:b/>
          <w:bCs/>
        </w:rPr>
      </w:pPr>
      <w:r w:rsidRPr="00641284">
        <w:rPr>
          <w:rFonts w:ascii="Arial" w:hAnsi="Arial" w:cs="Arial"/>
          <w:b/>
          <w:bCs/>
        </w:rPr>
        <w:t>a.</w:t>
      </w:r>
      <w:r w:rsidRPr="00641284">
        <w:rPr>
          <w:rFonts w:ascii="Arial" w:hAnsi="Arial" w:cs="Arial"/>
          <w:b/>
          <w:bCs/>
        </w:rPr>
        <w:tab/>
        <w:t>Generally.</w:t>
      </w:r>
      <w:r w:rsidRPr="00641284">
        <w:rPr>
          <w:rFonts w:ascii="Arial" w:hAnsi="Arial" w:cs="Arial"/>
        </w:rPr>
        <w:t xml:space="preserve"> “Adverse witnesses and suitors should be treated with fairness and due consideration. Abusive language or offensive personal references are prohibited.” N.C. R. </w:t>
      </w:r>
      <w:r w:rsidRPr="00641284">
        <w:rPr>
          <w:rFonts w:ascii="Arial" w:hAnsi="Arial" w:cs="Arial"/>
          <w:smallCaps/>
        </w:rPr>
        <w:t xml:space="preserve">Super. and Dist. </w:t>
      </w:r>
      <w:proofErr w:type="spellStart"/>
      <w:r w:rsidRPr="00641284">
        <w:rPr>
          <w:rFonts w:ascii="Arial" w:hAnsi="Arial" w:cs="Arial"/>
          <w:smallCaps/>
        </w:rPr>
        <w:t>Cts</w:t>
      </w:r>
      <w:proofErr w:type="spellEnd"/>
      <w:r w:rsidRPr="00641284">
        <w:rPr>
          <w:rFonts w:ascii="Arial" w:hAnsi="Arial" w:cs="Arial"/>
          <w:smallCaps/>
        </w:rPr>
        <w:t xml:space="preserve">. </w:t>
      </w:r>
      <w:r w:rsidRPr="00641284">
        <w:rPr>
          <w:rFonts w:ascii="Arial" w:hAnsi="Arial" w:cs="Arial"/>
        </w:rPr>
        <w:lastRenderedPageBreak/>
        <w:t>Rule 12. Thus, for example, scatological references to a witness'</w:t>
      </w:r>
      <w:r w:rsidR="001D2460">
        <w:rPr>
          <w:rFonts w:ascii="Arial" w:hAnsi="Arial" w:cs="Arial"/>
        </w:rPr>
        <w:t>s</w:t>
      </w:r>
      <w:r w:rsidRPr="00641284">
        <w:rPr>
          <w:rFonts w:ascii="Arial" w:hAnsi="Arial" w:cs="Arial"/>
        </w:rPr>
        <w:t xml:space="preserve"> testimony are improper. State v. Smith, 352 N.C. 531, 560-61 (2000)</w:t>
      </w:r>
      <w:r w:rsidR="00ED614B" w:rsidRPr="00641284">
        <w:rPr>
          <w:rFonts w:ascii="Arial" w:hAnsi="Arial" w:cs="Arial"/>
        </w:rPr>
        <w:t xml:space="preserve"> </w:t>
      </w:r>
      <w:r w:rsidRPr="00641284">
        <w:rPr>
          <w:rFonts w:ascii="Arial" w:hAnsi="Arial" w:cs="Arial"/>
        </w:rPr>
        <w:t>(</w:t>
      </w:r>
      <w:r w:rsidR="00D3374A">
        <w:rPr>
          <w:rFonts w:ascii="Arial" w:hAnsi="Arial" w:cs="Arial"/>
        </w:rPr>
        <w:t xml:space="preserve">improper to characterize expert witness’s testimony as </w:t>
      </w:r>
      <w:r w:rsidRPr="00641284">
        <w:rPr>
          <w:rFonts w:ascii="Arial" w:hAnsi="Arial" w:cs="Arial"/>
        </w:rPr>
        <w:t>“manure”).</w:t>
      </w:r>
    </w:p>
    <w:p w14:paraId="4EFF1FD0" w14:textId="4EEABF14" w:rsidR="007B6333" w:rsidRPr="00641284" w:rsidRDefault="007B6333" w:rsidP="00DB30BF">
      <w:pPr>
        <w:pStyle w:val="ListParagraph"/>
        <w:spacing w:after="0" w:line="240" w:lineRule="auto"/>
        <w:ind w:left="2520" w:hanging="360"/>
        <w:rPr>
          <w:rFonts w:ascii="Arial" w:hAnsi="Arial" w:cs="Arial"/>
          <w:b/>
          <w:bCs/>
        </w:rPr>
      </w:pPr>
      <w:r w:rsidRPr="00641284">
        <w:rPr>
          <w:rFonts w:ascii="Arial" w:hAnsi="Arial" w:cs="Arial"/>
          <w:b/>
          <w:bCs/>
        </w:rPr>
        <w:t>b.</w:t>
      </w:r>
      <w:r w:rsidRPr="00641284">
        <w:rPr>
          <w:rFonts w:ascii="Arial" w:hAnsi="Arial" w:cs="Arial"/>
        </w:rPr>
        <w:tab/>
      </w:r>
      <w:r w:rsidRPr="00641284">
        <w:rPr>
          <w:rFonts w:ascii="Arial" w:hAnsi="Arial" w:cs="Arial"/>
          <w:b/>
          <w:bCs/>
        </w:rPr>
        <w:t>Experts.</w:t>
      </w:r>
      <w:r w:rsidRPr="00641284">
        <w:rPr>
          <w:rFonts w:ascii="Arial" w:hAnsi="Arial" w:cs="Arial"/>
        </w:rPr>
        <w:t xml:space="preserve"> It is not improper for the prosecutor to impeach the credibility of an expert during closing argument. </w:t>
      </w:r>
      <w:r w:rsidRPr="00641284">
        <w:rPr>
          <w:rFonts w:ascii="Arial" w:hAnsi="Arial" w:cs="Arial"/>
          <w:i/>
          <w:iCs/>
        </w:rPr>
        <w:t xml:space="preserve">See, e.g., </w:t>
      </w:r>
      <w:r w:rsidRPr="00641284">
        <w:rPr>
          <w:rFonts w:ascii="Arial" w:hAnsi="Arial" w:cs="Arial"/>
        </w:rPr>
        <w:t>State v. Phillips, 365 N.C. 103, 139 (2011); State v. Campbell, 359 N.C. 644, 677 (2005). Thus, it is proper for a lawyer to point out that the witness'</w:t>
      </w:r>
      <w:r w:rsidR="001D2460">
        <w:rPr>
          <w:rFonts w:ascii="Arial" w:hAnsi="Arial" w:cs="Arial"/>
        </w:rPr>
        <w:t>s</w:t>
      </w:r>
      <w:r w:rsidRPr="00641284">
        <w:rPr>
          <w:rFonts w:ascii="Arial" w:hAnsi="Arial" w:cs="Arial"/>
        </w:rPr>
        <w:t xml:space="preserve"> compensation may be a source of bias. State v. Taylor, 362 N.C. 514, 555 (2008); State v. Nicholson, 355 N.C. 1, 44 (2002); State v. Walls, 342 N.C. 1, 63 (1995) (prosecutor’s statement referring to a defense expert as a “paid psychiatrist” was not improper). However, a prosecutor should not insinuate that a witness would perjure himself or herself for pay. </w:t>
      </w:r>
      <w:r w:rsidR="008C79DA">
        <w:rPr>
          <w:rFonts w:ascii="Arial" w:hAnsi="Arial" w:cs="Arial"/>
          <w:i/>
          <w:iCs/>
        </w:rPr>
        <w:t>Huey</w:t>
      </w:r>
      <w:r w:rsidR="008C79DA">
        <w:rPr>
          <w:rFonts w:ascii="Arial" w:hAnsi="Arial" w:cs="Arial"/>
        </w:rPr>
        <w:t xml:space="preserve">, 370 N.C. at 183 (improper to refer to defendant’s expert witness as an “excuse man”); </w:t>
      </w:r>
      <w:r w:rsidR="004E09F9">
        <w:rPr>
          <w:rFonts w:ascii="Arial" w:hAnsi="Arial" w:cs="Arial"/>
        </w:rPr>
        <w:t xml:space="preserve">State v. Bowman, 274 N.C. App. 214, 222 (2020) (“clearly improper” for prosecutor to argue that forensic psychology expert was paid to fabricate an excuse for defendant’s conduct); </w:t>
      </w:r>
      <w:r w:rsidRPr="00641284">
        <w:rPr>
          <w:rFonts w:ascii="Arial" w:hAnsi="Arial" w:cs="Arial"/>
        </w:rPr>
        <w:t>State v. Vines, 105 N.C. App. 147, 156 (1992) (the prosecutor improperly stated the following regarding the defendant’s expert witness, Dr. Leshner: “And here comes Dr. Leshner. . . . You can get a doctor to say just about anything these days” and went on to imply or suggest that Dr. Leshner's testimony was motivated by “pay.”).</w:t>
      </w:r>
    </w:p>
    <w:p w14:paraId="2C745B0F" w14:textId="3C8B3473" w:rsidR="007B6333" w:rsidRPr="00641284" w:rsidRDefault="007B6333" w:rsidP="005E3FB6">
      <w:pPr>
        <w:pStyle w:val="ListParagraph"/>
        <w:spacing w:after="0" w:line="240" w:lineRule="auto"/>
        <w:ind w:left="2520" w:firstLine="720"/>
        <w:rPr>
          <w:rFonts w:ascii="Arial" w:hAnsi="Arial" w:cs="Arial"/>
        </w:rPr>
      </w:pPr>
      <w:r w:rsidRPr="00641284">
        <w:rPr>
          <w:rFonts w:ascii="Arial" w:hAnsi="Arial" w:cs="Arial"/>
        </w:rPr>
        <w:t xml:space="preserve">It is also improper to malign the expert's profession. </w:t>
      </w:r>
      <w:r w:rsidRPr="00641284">
        <w:rPr>
          <w:rFonts w:ascii="Arial" w:hAnsi="Arial" w:cs="Arial"/>
          <w:i/>
          <w:iCs/>
        </w:rPr>
        <w:t xml:space="preserve">Compare </w:t>
      </w:r>
      <w:r w:rsidRPr="00641284">
        <w:rPr>
          <w:rFonts w:ascii="Arial" w:hAnsi="Arial" w:cs="Arial"/>
        </w:rPr>
        <w:t>State v. Smith, 352 N.C. 531, 561 (2000) (so stating the law</w:t>
      </w:r>
      <w:r w:rsidR="004C7650">
        <w:rPr>
          <w:rFonts w:ascii="Arial" w:hAnsi="Arial" w:cs="Arial"/>
        </w:rPr>
        <w:t>; improper to analogize psychologists that testify as experts to animals “flocking to what they perceive to be the public trough of the criminal justice system”</w:t>
      </w:r>
      <w:r w:rsidRPr="00641284">
        <w:rPr>
          <w:rFonts w:ascii="Arial" w:hAnsi="Arial" w:cs="Arial"/>
        </w:rPr>
        <w:t xml:space="preserve">), </w:t>
      </w:r>
      <w:r w:rsidRPr="00641284">
        <w:rPr>
          <w:rFonts w:ascii="Arial" w:hAnsi="Arial" w:cs="Arial"/>
          <w:i/>
          <w:iCs/>
        </w:rPr>
        <w:t xml:space="preserve">with </w:t>
      </w:r>
      <w:r w:rsidRPr="00641284">
        <w:rPr>
          <w:rFonts w:ascii="Arial" w:hAnsi="Arial" w:cs="Arial"/>
        </w:rPr>
        <w:t>State v. Womble, 343 N.C. 667, 692-93 (1996) (prosecutor’s argument that one of the defendant’s experts, a psychiatrist, was a medical doctor who dealt with facts but the other, a psychologist, dealt with theory and was not a medical doctor was not improper; the prosecutor did not ridicule the psychologist but merely pointed out differences between psychiatrists and psychologists).</w:t>
      </w:r>
    </w:p>
    <w:p w14:paraId="06D628E4" w14:textId="77777777" w:rsidR="007B6333" w:rsidRPr="00641284" w:rsidRDefault="007B6333" w:rsidP="00DB30BF">
      <w:pPr>
        <w:pStyle w:val="ListParagraph"/>
        <w:numPr>
          <w:ilvl w:val="2"/>
          <w:numId w:val="8"/>
        </w:numPr>
        <w:spacing w:after="0" w:line="240" w:lineRule="auto"/>
        <w:rPr>
          <w:rFonts w:ascii="Arial" w:hAnsi="Arial" w:cs="Arial"/>
        </w:rPr>
      </w:pPr>
      <w:bookmarkStart w:id="94" w:name="_Toc402880748"/>
      <w:bookmarkStart w:id="95" w:name="_Toc163125237"/>
      <w:r w:rsidRPr="00CF4FBE">
        <w:rPr>
          <w:rStyle w:val="Heading3Char"/>
        </w:rPr>
        <w:t>Asking Jurors to Put Themselves in the Victim’s Position</w:t>
      </w:r>
      <w:bookmarkEnd w:id="94"/>
      <w:bookmarkEnd w:id="95"/>
      <w:r w:rsidRPr="00641284">
        <w:rPr>
          <w:rFonts w:ascii="Arial" w:hAnsi="Arial" w:cs="Arial"/>
          <w:b/>
          <w:bCs/>
        </w:rPr>
        <w:t xml:space="preserve">. </w:t>
      </w:r>
      <w:r w:rsidRPr="00641284">
        <w:rPr>
          <w:rFonts w:ascii="Arial" w:hAnsi="Arial" w:cs="Arial"/>
        </w:rPr>
        <w:t>It is improper for the prosecutor to ask the jurors to put themselves in the victim’s place. State v. Roache, 358 N.C. 243, 298 (2004); State v. Prevatte, 356 N.C. 178, 244 (2002). Thus, in a case in which the defendant was charged with the murder and rape of a seven-year-old child, it was improper for the prosecutor to argue:</w:t>
      </w:r>
    </w:p>
    <w:p w14:paraId="60EB6F85" w14:textId="77777777" w:rsidR="007B6333" w:rsidRPr="00641284" w:rsidRDefault="007B6333" w:rsidP="00DB30BF">
      <w:pPr>
        <w:spacing w:after="0" w:line="240" w:lineRule="auto"/>
        <w:ind w:left="1440" w:right="720"/>
        <w:rPr>
          <w:rFonts w:ascii="Arial" w:hAnsi="Arial" w:cs="Arial"/>
        </w:rPr>
      </w:pPr>
    </w:p>
    <w:p w14:paraId="4322201A" w14:textId="62EE546C" w:rsidR="007B6333" w:rsidRPr="00641284" w:rsidRDefault="007B6333" w:rsidP="00DB30BF">
      <w:pPr>
        <w:spacing w:after="0" w:line="240" w:lineRule="auto"/>
        <w:ind w:left="2880" w:right="720"/>
        <w:rPr>
          <w:rFonts w:ascii="Arial" w:hAnsi="Arial" w:cs="Arial"/>
        </w:rPr>
      </w:pPr>
      <w:r w:rsidRPr="00641284">
        <w:rPr>
          <w:rFonts w:ascii="Arial" w:hAnsi="Arial" w:cs="Arial"/>
        </w:rPr>
        <w:t xml:space="preserve">Put yourselves . . . in that back bedroom, a little old red night light on, and Jo-Jo in a little daybed with her </w:t>
      </w:r>
      <w:proofErr w:type="gramStart"/>
      <w:r w:rsidRPr="00641284">
        <w:rPr>
          <w:rFonts w:ascii="Arial" w:hAnsi="Arial" w:cs="Arial"/>
        </w:rPr>
        <w:t>three year old</w:t>
      </w:r>
      <w:proofErr w:type="gramEnd"/>
      <w:r w:rsidRPr="00641284">
        <w:rPr>
          <w:rFonts w:ascii="Arial" w:hAnsi="Arial" w:cs="Arial"/>
        </w:rPr>
        <w:t xml:space="preserve"> brother, in the middle of the night. Just put yourself in her shoes</w:t>
      </w:r>
      <w:proofErr w:type="gramStart"/>
      <w:r w:rsidRPr="00641284">
        <w:rPr>
          <w:rFonts w:ascii="Arial" w:hAnsi="Arial" w:cs="Arial"/>
        </w:rPr>
        <w:t>. . . .</w:t>
      </w:r>
      <w:proofErr w:type="gramEnd"/>
      <w:r w:rsidRPr="00641284">
        <w:rPr>
          <w:rFonts w:ascii="Arial" w:hAnsi="Arial" w:cs="Arial"/>
        </w:rPr>
        <w:t xml:space="preserve"> . Put yourselves, for just a minute, put yourselves where she was. And you're in that little daybed in the middle of the night and for some reason you wake up and you sit up in bed. Something had startled you or something and you had sat up and there </w:t>
      </w:r>
      <w:proofErr w:type="gramStart"/>
      <w:r w:rsidRPr="00641284">
        <w:rPr>
          <w:rFonts w:ascii="Arial" w:hAnsi="Arial" w:cs="Arial"/>
        </w:rPr>
        <w:t>is</w:t>
      </w:r>
      <w:proofErr w:type="gramEnd"/>
      <w:r w:rsidRPr="00641284">
        <w:rPr>
          <w:rFonts w:ascii="Arial" w:hAnsi="Arial" w:cs="Arial"/>
        </w:rPr>
        <w:t xml:space="preserve"> [defendant] and he pushes you down on the bed, covers your little face with a pillow, starts to suffocate you, smother you, and rape you. And you're twisting and turning and gasping for breath, and he </w:t>
      </w:r>
      <w:proofErr w:type="gramStart"/>
      <w:r w:rsidRPr="00641284">
        <w:rPr>
          <w:rFonts w:ascii="Arial" w:hAnsi="Arial" w:cs="Arial"/>
        </w:rPr>
        <w:t>continues</w:t>
      </w:r>
      <w:proofErr w:type="gramEnd"/>
      <w:r w:rsidRPr="00641284">
        <w:rPr>
          <w:rFonts w:ascii="Arial" w:hAnsi="Arial" w:cs="Arial"/>
        </w:rPr>
        <w:t xml:space="preserve"> and he continues </w:t>
      </w:r>
      <w:r w:rsidRPr="00641284">
        <w:rPr>
          <w:rFonts w:ascii="Arial" w:hAnsi="Arial" w:cs="Arial"/>
        </w:rPr>
        <w:lastRenderedPageBreak/>
        <w:t xml:space="preserve">and he continues. And not only are you gasping for breath, </w:t>
      </w:r>
      <w:proofErr w:type="gramStart"/>
      <w:r w:rsidRPr="00641284">
        <w:rPr>
          <w:rFonts w:ascii="Arial" w:hAnsi="Arial" w:cs="Arial"/>
        </w:rPr>
        <w:t>your legs are</w:t>
      </w:r>
      <w:proofErr w:type="gramEnd"/>
      <w:r w:rsidRPr="00641284">
        <w:rPr>
          <w:rFonts w:ascii="Arial" w:hAnsi="Arial" w:cs="Arial"/>
        </w:rPr>
        <w:t xml:space="preserve"> spread apart and he's pushing his penis into you. A </w:t>
      </w:r>
      <w:proofErr w:type="gramStart"/>
      <w:r w:rsidRPr="00641284">
        <w:rPr>
          <w:rFonts w:ascii="Arial" w:hAnsi="Arial" w:cs="Arial"/>
        </w:rPr>
        <w:t>seven year old</w:t>
      </w:r>
      <w:proofErr w:type="gramEnd"/>
      <w:r w:rsidRPr="00641284">
        <w:rPr>
          <w:rFonts w:ascii="Arial" w:hAnsi="Arial" w:cs="Arial"/>
        </w:rPr>
        <w:t xml:space="preserve"> child. And it goes on and it goes on and it goes on until you're unconscious. </w:t>
      </w:r>
    </w:p>
    <w:p w14:paraId="0F3656AC" w14:textId="77777777" w:rsidR="00641284" w:rsidRDefault="00641284" w:rsidP="00DB30BF">
      <w:pPr>
        <w:spacing w:after="0" w:line="240" w:lineRule="auto"/>
        <w:ind w:left="1800" w:firstLine="720"/>
        <w:rPr>
          <w:rFonts w:ascii="Arial" w:hAnsi="Arial" w:cs="Arial"/>
        </w:rPr>
      </w:pPr>
    </w:p>
    <w:p w14:paraId="32A7B411" w14:textId="77777777" w:rsidR="007B6333" w:rsidRPr="00641284" w:rsidRDefault="007B6333" w:rsidP="00DB30BF">
      <w:pPr>
        <w:spacing w:after="0" w:line="240" w:lineRule="auto"/>
        <w:ind w:left="1800" w:firstLine="720"/>
        <w:rPr>
          <w:rFonts w:ascii="Arial" w:hAnsi="Arial" w:cs="Arial"/>
        </w:rPr>
      </w:pPr>
      <w:r w:rsidRPr="00641284">
        <w:rPr>
          <w:rFonts w:ascii="Arial" w:hAnsi="Arial" w:cs="Arial"/>
        </w:rPr>
        <w:t>State v. Perkins, 345 N.C. 254, 285-86 (1997).</w:t>
      </w:r>
    </w:p>
    <w:p w14:paraId="66B3B0C3" w14:textId="7E791472" w:rsidR="007B6333" w:rsidRPr="00641284" w:rsidRDefault="007B6333" w:rsidP="00A17265">
      <w:pPr>
        <w:pStyle w:val="ListParagraph"/>
        <w:spacing w:after="0" w:line="240" w:lineRule="auto"/>
        <w:ind w:left="2160" w:firstLine="720"/>
        <w:rPr>
          <w:rFonts w:ascii="Arial" w:hAnsi="Arial" w:cs="Arial"/>
        </w:rPr>
      </w:pPr>
      <w:r w:rsidRPr="00641284">
        <w:rPr>
          <w:rFonts w:ascii="Arial" w:hAnsi="Arial" w:cs="Arial"/>
        </w:rPr>
        <w:t>However, asking the jury to imagine how the victim felt or what he or she was thinking is not improper. State v. Jones, 358 N.C. 330, 357 (2004) (no impropriety when the prosecutor repeatedly asked the jury to imagine what the victims were thinking); State v. Fletcher, 354 N.C. 455, 485 (2001) (not improper for prosecutor to ask the jurors to “imagine” the victim's fear and the pain of the stabbings).</w:t>
      </w:r>
    </w:p>
    <w:p w14:paraId="169118B6" w14:textId="77777777" w:rsidR="007B6333" w:rsidRPr="00641284" w:rsidRDefault="007B6333" w:rsidP="00DB30BF">
      <w:pPr>
        <w:pStyle w:val="Heading3"/>
        <w:spacing w:line="240" w:lineRule="auto"/>
      </w:pPr>
      <w:bookmarkStart w:id="96" w:name="_Toc402880749"/>
      <w:bookmarkStart w:id="97" w:name="_Toc163125238"/>
      <w:r w:rsidRPr="00641284">
        <w:t>Role of the Jury</w:t>
      </w:r>
      <w:bookmarkEnd w:id="96"/>
      <w:bookmarkEnd w:id="97"/>
    </w:p>
    <w:p w14:paraId="6CA7B8DB" w14:textId="5FB9D5FA" w:rsidR="00085D0A" w:rsidRDefault="007B6333" w:rsidP="00DB30BF">
      <w:pPr>
        <w:pStyle w:val="ListParagraph"/>
        <w:numPr>
          <w:ilvl w:val="3"/>
          <w:numId w:val="8"/>
        </w:numPr>
        <w:spacing w:after="0" w:line="240" w:lineRule="auto"/>
        <w:rPr>
          <w:rFonts w:ascii="Arial" w:hAnsi="Arial" w:cs="Arial"/>
        </w:rPr>
      </w:pPr>
      <w:r w:rsidRPr="00641284">
        <w:rPr>
          <w:rFonts w:ascii="Arial" w:hAnsi="Arial" w:cs="Arial"/>
          <w:b/>
          <w:bCs/>
        </w:rPr>
        <w:t xml:space="preserve">Lending an Ear to the Community/Public Sentiment. </w:t>
      </w:r>
      <w:r w:rsidRPr="00641284">
        <w:rPr>
          <w:rFonts w:ascii="Arial" w:hAnsi="Arial" w:cs="Arial"/>
        </w:rPr>
        <w:t>It is improper for the prosecution to argue that the jury should lend an ear to the community, State v. Golphin, 352 N.C.</w:t>
      </w:r>
      <w:r w:rsidR="00015857">
        <w:rPr>
          <w:rFonts w:ascii="Arial" w:hAnsi="Arial" w:cs="Arial"/>
        </w:rPr>
        <w:t xml:space="preserve"> </w:t>
      </w:r>
      <w:r w:rsidRPr="00641284">
        <w:rPr>
          <w:rFonts w:ascii="Arial" w:hAnsi="Arial" w:cs="Arial"/>
        </w:rPr>
        <w:t xml:space="preserve">364, 471 (2000); State v. McNeil, 350 N.C. 657, 687-88 (1999); </w:t>
      </w:r>
      <w:r w:rsidRPr="00641284">
        <w:rPr>
          <w:rFonts w:ascii="Arial" w:hAnsi="Arial" w:cs="Arial"/>
          <w:i/>
          <w:iCs/>
        </w:rPr>
        <w:t xml:space="preserve">see also </w:t>
      </w:r>
      <w:r w:rsidRPr="00641284">
        <w:rPr>
          <w:rFonts w:ascii="Arial" w:hAnsi="Arial" w:cs="Arial"/>
        </w:rPr>
        <w:t xml:space="preserve">State v. </w:t>
      </w:r>
      <w:proofErr w:type="spellStart"/>
      <w:r w:rsidRPr="00641284">
        <w:rPr>
          <w:rFonts w:ascii="Arial" w:hAnsi="Arial" w:cs="Arial"/>
        </w:rPr>
        <w:t>Privette</w:t>
      </w:r>
      <w:proofErr w:type="spellEnd"/>
      <w:r w:rsidRPr="00641284">
        <w:rPr>
          <w:rFonts w:ascii="Arial" w:hAnsi="Arial" w:cs="Arial"/>
        </w:rPr>
        <w:t xml:space="preserve">, </w:t>
      </w:r>
      <w:r w:rsidR="00015857">
        <w:rPr>
          <w:rFonts w:ascii="Arial" w:hAnsi="Arial" w:cs="Arial"/>
        </w:rPr>
        <w:t>218</w:t>
      </w:r>
      <w:r w:rsidRPr="00641284">
        <w:rPr>
          <w:rFonts w:ascii="Arial" w:hAnsi="Arial" w:cs="Arial"/>
        </w:rPr>
        <w:t xml:space="preserve"> N.C. App. </w:t>
      </w:r>
      <w:r w:rsidR="00015857">
        <w:rPr>
          <w:rFonts w:ascii="Arial" w:hAnsi="Arial" w:cs="Arial"/>
        </w:rPr>
        <w:t>459</w:t>
      </w:r>
      <w:r w:rsidRPr="00641284">
        <w:rPr>
          <w:rFonts w:ascii="Arial" w:hAnsi="Arial" w:cs="Arial"/>
        </w:rPr>
        <w:t>,</w:t>
      </w:r>
      <w:r w:rsidR="00015857">
        <w:rPr>
          <w:rFonts w:ascii="Arial" w:hAnsi="Arial" w:cs="Arial"/>
        </w:rPr>
        <w:t xml:space="preserve"> 469-70</w:t>
      </w:r>
      <w:r w:rsidRPr="00641284">
        <w:rPr>
          <w:rFonts w:ascii="Arial" w:hAnsi="Arial" w:cs="Arial"/>
        </w:rPr>
        <w:t xml:space="preserve"> (2012) (the prosecutor would have been better advised to have refrained from making comments that might have encouraged the jury to lend an ear to the community), or decide a case based on public sentiment, State v. Conaway, 339 N.C. 487, 529 (1995) (“Arguments that emphasize the public sentiment about a particular crime and demand that the jury convict and punish the defendant in compliance with this public sentiment are impermissible.”). Thus, in a homicide case involving impaired driving and a vehicle accident, it was improper for the prosecutor to argue that “there's a lot of public sentiment at this point against driving and drinking, causing accidents on the highway.” State v. Scott, 314 N.C. 309, 311-14 (1985). The court determined that this argument was improper in part because the statement “could only be construed as telling the jury that the citizens of the community sought and demanded conviction and punishment of the defendant.” </w:t>
      </w:r>
      <w:r w:rsidRPr="00641284">
        <w:rPr>
          <w:rFonts w:ascii="Arial" w:hAnsi="Arial" w:cs="Arial"/>
          <w:i/>
          <w:iCs/>
        </w:rPr>
        <w:t xml:space="preserve">Id. </w:t>
      </w:r>
      <w:r w:rsidRPr="00641284">
        <w:rPr>
          <w:rFonts w:ascii="Arial" w:hAnsi="Arial" w:cs="Arial"/>
        </w:rPr>
        <w:t xml:space="preserve">at 312 (new trial). </w:t>
      </w:r>
    </w:p>
    <w:p w14:paraId="174D0C4F" w14:textId="608C5183" w:rsidR="00085D0A" w:rsidRDefault="00085D0A" w:rsidP="00DB30BF">
      <w:pPr>
        <w:pStyle w:val="ListParagraph"/>
        <w:spacing w:after="0" w:line="240" w:lineRule="auto"/>
        <w:ind w:left="2880" w:firstLine="720"/>
        <w:rPr>
          <w:rFonts w:ascii="Arial" w:hAnsi="Arial" w:cs="Arial"/>
        </w:rPr>
      </w:pPr>
      <w:r w:rsidRPr="00641284">
        <w:rPr>
          <w:rFonts w:ascii="Arial" w:hAnsi="Arial" w:cs="Arial"/>
        </w:rPr>
        <w:t>However, as discussed in Section I</w:t>
      </w:r>
      <w:r w:rsidR="00015857">
        <w:rPr>
          <w:rFonts w:ascii="Arial" w:hAnsi="Arial" w:cs="Arial"/>
        </w:rPr>
        <w:t>V</w:t>
      </w:r>
      <w:r w:rsidRPr="00641284">
        <w:rPr>
          <w:rFonts w:ascii="Arial" w:hAnsi="Arial" w:cs="Arial"/>
        </w:rPr>
        <w:t>.G above, it is not improper to argue that the jury is the voice and conscience of the community and that its verdict will send a message to the defendant or to the community.</w:t>
      </w:r>
    </w:p>
    <w:p w14:paraId="576DB8DC" w14:textId="0B6D1B29" w:rsidR="007B6333" w:rsidRPr="00641284" w:rsidRDefault="00085D0A" w:rsidP="00DB30BF">
      <w:pPr>
        <w:pStyle w:val="ListParagraph"/>
        <w:numPr>
          <w:ilvl w:val="3"/>
          <w:numId w:val="8"/>
        </w:numPr>
        <w:spacing w:after="0" w:line="240" w:lineRule="auto"/>
        <w:rPr>
          <w:rFonts w:ascii="Arial" w:hAnsi="Arial" w:cs="Arial"/>
        </w:rPr>
      </w:pPr>
      <w:r>
        <w:rPr>
          <w:rFonts w:ascii="Arial" w:hAnsi="Arial" w:cs="Arial"/>
          <w:b/>
          <w:bCs/>
        </w:rPr>
        <w:t>Arm of the State or Last Link of Law Enforcement.</w:t>
      </w:r>
      <w:r>
        <w:rPr>
          <w:rFonts w:ascii="Arial" w:hAnsi="Arial" w:cs="Arial"/>
        </w:rPr>
        <w:t xml:space="preserve"> It is improper for the prosecution to suggest to the jury that it is “effectively an arm of the State in the prosecution of the defendant</w:t>
      </w:r>
      <w:r w:rsidR="00C8579D">
        <w:rPr>
          <w:rFonts w:ascii="Arial" w:hAnsi="Arial" w:cs="Arial"/>
        </w:rPr>
        <w:t xml:space="preserve"> or that the jury is the last link in the State’s chain of law enforcement.” State v. Prevatte, 356 N.C. 178, 242 (2002) (quotation omitted).</w:t>
      </w:r>
      <w:r w:rsidR="001F47CB">
        <w:rPr>
          <w:rFonts w:ascii="Arial" w:hAnsi="Arial" w:cs="Arial"/>
        </w:rPr>
        <w:t xml:space="preserve"> As discussed in Section IV.G above, however, it is not improper to make an argument to the jury that the “buck stops here” or </w:t>
      </w:r>
      <w:r w:rsidR="00756EBB">
        <w:rPr>
          <w:rFonts w:ascii="Arial" w:hAnsi="Arial" w:cs="Arial"/>
        </w:rPr>
        <w:t xml:space="preserve">expressing </w:t>
      </w:r>
      <w:r w:rsidR="001F47CB">
        <w:rPr>
          <w:rFonts w:ascii="Arial" w:hAnsi="Arial" w:cs="Arial"/>
        </w:rPr>
        <w:t>a similar sentiment.</w:t>
      </w:r>
      <w:r w:rsidR="008569CE">
        <w:rPr>
          <w:rFonts w:ascii="Arial" w:hAnsi="Arial" w:cs="Arial"/>
          <w:i/>
          <w:iCs/>
        </w:rPr>
        <w:t xml:space="preserve"> Id.</w:t>
      </w:r>
      <w:r w:rsidR="008569CE">
        <w:rPr>
          <w:rFonts w:ascii="Arial" w:hAnsi="Arial" w:cs="Arial"/>
        </w:rPr>
        <w:t xml:space="preserve"> at 243 (so stating);</w:t>
      </w:r>
      <w:r w:rsidR="001F47CB">
        <w:rPr>
          <w:rFonts w:ascii="Arial" w:hAnsi="Arial" w:cs="Arial"/>
        </w:rPr>
        <w:t xml:space="preserve"> </w:t>
      </w:r>
      <w:r w:rsidR="001F47CB">
        <w:rPr>
          <w:rFonts w:ascii="Arial" w:hAnsi="Arial" w:cs="Arial"/>
          <w:i/>
          <w:iCs/>
        </w:rPr>
        <w:t>McNeil</w:t>
      </w:r>
      <w:r w:rsidR="001F47CB">
        <w:rPr>
          <w:rFonts w:ascii="Arial" w:hAnsi="Arial" w:cs="Arial"/>
        </w:rPr>
        <w:t xml:space="preserve">, 350 N.C. at 688 (“We have held </w:t>
      </w:r>
      <w:proofErr w:type="gramStart"/>
      <w:r w:rsidR="001F47CB">
        <w:rPr>
          <w:rFonts w:ascii="Arial" w:hAnsi="Arial" w:cs="Arial"/>
        </w:rPr>
        <w:t>on</w:t>
      </w:r>
      <w:proofErr w:type="gramEnd"/>
      <w:r w:rsidR="001F47CB">
        <w:rPr>
          <w:rFonts w:ascii="Arial" w:hAnsi="Arial" w:cs="Arial"/>
        </w:rPr>
        <w:t xml:space="preserve"> several prior occasions that . . . arguments advising jurors that law enforcement and the State can do no more are not prejudicial.”).</w:t>
      </w:r>
    </w:p>
    <w:p w14:paraId="33409FB1" w14:textId="77777777" w:rsidR="00085D0A" w:rsidRPr="00641284" w:rsidRDefault="00085D0A" w:rsidP="00DB30BF">
      <w:pPr>
        <w:pStyle w:val="ListParagraph"/>
        <w:spacing w:after="0" w:line="240" w:lineRule="auto"/>
        <w:ind w:left="2520" w:firstLine="720"/>
        <w:rPr>
          <w:rFonts w:ascii="Arial" w:hAnsi="Arial" w:cs="Arial"/>
        </w:rPr>
      </w:pPr>
    </w:p>
    <w:p w14:paraId="5DEA3C9E" w14:textId="44CF4259" w:rsidR="007D584D" w:rsidRDefault="002B0092" w:rsidP="00DB30BF">
      <w:pPr>
        <w:pStyle w:val="ListParagraph"/>
        <w:numPr>
          <w:ilvl w:val="2"/>
          <w:numId w:val="8"/>
        </w:numPr>
        <w:spacing w:after="0" w:line="240" w:lineRule="auto"/>
        <w:rPr>
          <w:rFonts w:ascii="Arial" w:hAnsi="Arial" w:cs="Arial"/>
        </w:rPr>
      </w:pPr>
      <w:bookmarkStart w:id="98" w:name="_Toc402880750"/>
      <w:bookmarkStart w:id="99" w:name="_Toc163125239"/>
      <w:r>
        <w:rPr>
          <w:rStyle w:val="Heading3Char"/>
        </w:rPr>
        <w:lastRenderedPageBreak/>
        <w:t xml:space="preserve">Arguments Concerning </w:t>
      </w:r>
      <w:r w:rsidR="00450FAF">
        <w:rPr>
          <w:rStyle w:val="Heading3Char"/>
        </w:rPr>
        <w:t>Punishment</w:t>
      </w:r>
      <w:r>
        <w:rPr>
          <w:rStyle w:val="Heading3Char"/>
        </w:rPr>
        <w:t xml:space="preserve"> or Penalty</w:t>
      </w:r>
      <w:bookmarkEnd w:id="98"/>
      <w:bookmarkEnd w:id="99"/>
      <w:r w:rsidR="007B6333" w:rsidRPr="00641284">
        <w:rPr>
          <w:rFonts w:ascii="Arial" w:hAnsi="Arial" w:cs="Arial"/>
          <w:b/>
          <w:bCs/>
        </w:rPr>
        <w:t xml:space="preserve">. </w:t>
      </w:r>
      <w:r w:rsidR="00D96C61">
        <w:rPr>
          <w:rFonts w:ascii="Arial" w:hAnsi="Arial" w:cs="Arial"/>
        </w:rPr>
        <w:t>As discussed above, it</w:t>
      </w:r>
      <w:r w:rsidR="00450FAF">
        <w:rPr>
          <w:rFonts w:ascii="Arial" w:hAnsi="Arial" w:cs="Arial"/>
        </w:rPr>
        <w:t xml:space="preserve"> </w:t>
      </w:r>
      <w:r w:rsidR="00D96C61">
        <w:rPr>
          <w:rFonts w:ascii="Arial" w:hAnsi="Arial" w:cs="Arial"/>
        </w:rPr>
        <w:t>is permissible</w:t>
      </w:r>
      <w:r w:rsidR="00450FAF">
        <w:rPr>
          <w:rFonts w:ascii="Arial" w:hAnsi="Arial" w:cs="Arial"/>
        </w:rPr>
        <w:t xml:space="preserve"> to</w:t>
      </w:r>
      <w:r w:rsidR="00D96C61">
        <w:rPr>
          <w:rFonts w:ascii="Arial" w:hAnsi="Arial" w:cs="Arial"/>
        </w:rPr>
        <w:t xml:space="preserve"> </w:t>
      </w:r>
      <w:r w:rsidR="00450FAF">
        <w:rPr>
          <w:rFonts w:ascii="Arial" w:hAnsi="Arial" w:cs="Arial"/>
        </w:rPr>
        <w:t>inform the jury of the punishment prescribed for the offense for which a defendant is being tried</w:t>
      </w:r>
      <w:r w:rsidR="00A768D2">
        <w:rPr>
          <w:rFonts w:ascii="Arial" w:hAnsi="Arial" w:cs="Arial"/>
        </w:rPr>
        <w:t>,</w:t>
      </w:r>
      <w:r w:rsidR="00450FAF">
        <w:rPr>
          <w:rFonts w:ascii="Arial" w:hAnsi="Arial" w:cs="Arial"/>
        </w:rPr>
        <w:t xml:space="preserve"> </w:t>
      </w:r>
      <w:r w:rsidR="00233804">
        <w:rPr>
          <w:rFonts w:ascii="Arial" w:hAnsi="Arial" w:cs="Arial"/>
        </w:rPr>
        <w:t xml:space="preserve">State v. Cox, ___ N.C. App. ___, </w:t>
      </w:r>
      <w:r w:rsidR="00BF4ED7">
        <w:rPr>
          <w:rFonts w:ascii="Arial" w:hAnsi="Arial" w:cs="Arial"/>
        </w:rPr>
        <w:t>898 S.E.2d 94</w:t>
      </w:r>
      <w:r w:rsidR="00233804">
        <w:rPr>
          <w:rFonts w:ascii="Arial" w:hAnsi="Arial" w:cs="Arial"/>
        </w:rPr>
        <w:t xml:space="preserve">, </w:t>
      </w:r>
      <w:r w:rsidR="00BF4ED7">
        <w:rPr>
          <w:rFonts w:ascii="Arial" w:hAnsi="Arial" w:cs="Arial"/>
        </w:rPr>
        <w:t>100-01</w:t>
      </w:r>
      <w:r w:rsidR="00233804">
        <w:rPr>
          <w:rFonts w:ascii="Arial" w:hAnsi="Arial" w:cs="Arial"/>
        </w:rPr>
        <w:t xml:space="preserve"> (2024)</w:t>
      </w:r>
      <w:r w:rsidR="00A768D2">
        <w:rPr>
          <w:rFonts w:ascii="Arial" w:hAnsi="Arial" w:cs="Arial"/>
        </w:rPr>
        <w:t xml:space="preserve"> (summarizing North Carolina law on this issue) and to </w:t>
      </w:r>
      <w:r w:rsidR="00947A0E">
        <w:rPr>
          <w:rFonts w:ascii="Arial" w:hAnsi="Arial" w:cs="Arial"/>
        </w:rPr>
        <w:t>impress upon</w:t>
      </w:r>
      <w:r w:rsidR="00A768D2">
        <w:rPr>
          <w:rFonts w:ascii="Arial" w:hAnsi="Arial" w:cs="Arial"/>
        </w:rPr>
        <w:t xml:space="preserve"> the jury </w:t>
      </w:r>
      <w:r w:rsidR="00947A0E">
        <w:rPr>
          <w:rFonts w:ascii="Arial" w:hAnsi="Arial" w:cs="Arial"/>
        </w:rPr>
        <w:t>its duty to</w:t>
      </w:r>
      <w:r w:rsidR="00A768D2">
        <w:rPr>
          <w:rFonts w:ascii="Arial" w:hAnsi="Arial" w:cs="Arial"/>
        </w:rPr>
        <w:t xml:space="preserve"> deliberate carefully and seriously</w:t>
      </w:r>
      <w:r w:rsidR="00450FAF">
        <w:rPr>
          <w:rFonts w:ascii="Arial" w:hAnsi="Arial" w:cs="Arial"/>
        </w:rPr>
        <w:t>.</w:t>
      </w:r>
      <w:r w:rsidR="00A768D2">
        <w:rPr>
          <w:rFonts w:ascii="Arial" w:hAnsi="Arial" w:cs="Arial"/>
        </w:rPr>
        <w:t xml:space="preserve"> State v.</w:t>
      </w:r>
      <w:r w:rsidR="00947A0E">
        <w:rPr>
          <w:rFonts w:ascii="Arial" w:hAnsi="Arial" w:cs="Arial"/>
        </w:rPr>
        <w:t xml:space="preserve"> McMorris, 290 N.C. 286, 287-88 (1976). </w:t>
      </w:r>
      <w:r w:rsidR="00450FAF">
        <w:rPr>
          <w:rFonts w:ascii="Arial" w:hAnsi="Arial" w:cs="Arial"/>
        </w:rPr>
        <w:t xml:space="preserve">There are, however, limitations on arguments concerning </w:t>
      </w:r>
      <w:r w:rsidR="00233804">
        <w:rPr>
          <w:rFonts w:ascii="Arial" w:hAnsi="Arial" w:cs="Arial"/>
        </w:rPr>
        <w:t>punishment and sentencing.</w:t>
      </w:r>
    </w:p>
    <w:p w14:paraId="583E4E65" w14:textId="79A6AADF" w:rsidR="00BF4ED7" w:rsidRDefault="00A768D2" w:rsidP="008456DE">
      <w:pPr>
        <w:pStyle w:val="ListParagraph"/>
        <w:spacing w:after="0" w:line="240" w:lineRule="auto"/>
        <w:ind w:left="2160" w:firstLine="720"/>
        <w:rPr>
          <w:rFonts w:ascii="Arial" w:hAnsi="Arial" w:cs="Arial"/>
        </w:rPr>
      </w:pPr>
      <w:r>
        <w:rPr>
          <w:rFonts w:ascii="Arial" w:hAnsi="Arial" w:cs="Arial"/>
        </w:rPr>
        <w:t>It is improper for defense counsel to argue to the jury that the defendant should not be convicted of a particular offense because the punishment is severe. State v. Wilson, 293 N.C. 47, 57 (1977)</w:t>
      </w:r>
      <w:r w:rsidR="002B0092">
        <w:rPr>
          <w:rFonts w:ascii="Arial" w:hAnsi="Arial" w:cs="Arial"/>
        </w:rPr>
        <w:t xml:space="preserve">; </w:t>
      </w:r>
      <w:r w:rsidR="002B0092">
        <w:rPr>
          <w:rFonts w:ascii="Arial" w:hAnsi="Arial" w:cs="Arial"/>
          <w:i/>
          <w:iCs/>
        </w:rPr>
        <w:t>Cox</w:t>
      </w:r>
      <w:r w:rsidR="002B0092">
        <w:rPr>
          <w:rFonts w:ascii="Arial" w:hAnsi="Arial" w:cs="Arial"/>
        </w:rPr>
        <w:t xml:space="preserve">, ___ N.C. App. at ___, </w:t>
      </w:r>
      <w:r w:rsidR="00BF4ED7">
        <w:rPr>
          <w:rFonts w:ascii="Arial" w:hAnsi="Arial" w:cs="Arial"/>
        </w:rPr>
        <w:t>898 S.E.2d at 100-01</w:t>
      </w:r>
      <w:r w:rsidR="00FA3D28">
        <w:rPr>
          <w:rFonts w:ascii="Arial" w:hAnsi="Arial" w:cs="Arial"/>
        </w:rPr>
        <w:t xml:space="preserve"> (improper for defense counsel to argue that conviction of </w:t>
      </w:r>
      <w:r w:rsidR="00FA3D28" w:rsidRPr="00BF4ED7">
        <w:rPr>
          <w:rFonts w:ascii="Arial" w:hAnsi="Arial" w:cs="Arial"/>
        </w:rPr>
        <w:t xml:space="preserve">any of the charged sex offenses </w:t>
      </w:r>
      <w:r w:rsidR="009457A8" w:rsidRPr="00BF4ED7">
        <w:rPr>
          <w:rFonts w:ascii="Arial" w:hAnsi="Arial" w:cs="Arial"/>
        </w:rPr>
        <w:t>“</w:t>
      </w:r>
      <w:r w:rsidR="004A6347" w:rsidRPr="00BF4ED7">
        <w:rPr>
          <w:rFonts w:ascii="Arial" w:hAnsi="Arial" w:cs="Arial"/>
        </w:rPr>
        <w:t xml:space="preserve">will </w:t>
      </w:r>
      <w:r w:rsidR="009457A8" w:rsidRPr="00BF4ED7">
        <w:rPr>
          <w:rFonts w:ascii="Arial" w:hAnsi="Arial" w:cs="Arial"/>
        </w:rPr>
        <w:t>practically</w:t>
      </w:r>
      <w:r w:rsidR="004A6347" w:rsidRPr="00BF4ED7">
        <w:rPr>
          <w:rFonts w:ascii="Arial" w:hAnsi="Arial" w:cs="Arial"/>
        </w:rPr>
        <w:t xml:space="preserve"> be a life sentence</w:t>
      </w:r>
      <w:r w:rsidR="005F1294" w:rsidRPr="00BF4ED7">
        <w:rPr>
          <w:rFonts w:ascii="Arial" w:hAnsi="Arial" w:cs="Arial"/>
        </w:rPr>
        <w:t>,</w:t>
      </w:r>
      <w:r w:rsidR="004A6347" w:rsidRPr="00BF4ED7">
        <w:rPr>
          <w:rFonts w:ascii="Arial" w:hAnsi="Arial" w:cs="Arial"/>
        </w:rPr>
        <w:t>”</w:t>
      </w:r>
      <w:r w:rsidR="005F1294" w:rsidRPr="00BF4ED7">
        <w:rPr>
          <w:rFonts w:ascii="Arial" w:hAnsi="Arial" w:cs="Arial"/>
        </w:rPr>
        <w:t xml:space="preserve"> noting that </w:t>
      </w:r>
      <w:r w:rsidR="005F1294" w:rsidRPr="00BF4ED7">
        <w:rPr>
          <w:rFonts w:ascii="Arial" w:eastAsia="Times New Roman" w:hAnsi="Arial" w:cs="Arial"/>
          <w:color w:val="000000"/>
        </w:rPr>
        <w:t>defense counsel did not attempt to give a precise sentence range for each offense or frame the potential punishment in terms of years</w:t>
      </w:r>
      <w:r w:rsidR="00BF4ED7" w:rsidRPr="00BF4ED7">
        <w:rPr>
          <w:rFonts w:ascii="Arial" w:hAnsi="Arial" w:cs="Arial"/>
        </w:rPr>
        <w:t xml:space="preserve"> sentencing</w:t>
      </w:r>
      <w:r w:rsidR="00BF4ED7">
        <w:rPr>
          <w:rFonts w:ascii="Arial" w:hAnsi="Arial" w:cs="Arial"/>
        </w:rPr>
        <w:t>).</w:t>
      </w:r>
    </w:p>
    <w:p w14:paraId="3828549D" w14:textId="6E3AB5D8" w:rsidR="007B6333" w:rsidRPr="00C126A2" w:rsidRDefault="007D584D" w:rsidP="00DB30BF">
      <w:pPr>
        <w:pStyle w:val="ListParagraph"/>
        <w:spacing w:after="0" w:line="240" w:lineRule="auto"/>
        <w:ind w:left="2160" w:firstLine="720"/>
        <w:rPr>
          <w:rFonts w:ascii="Arial" w:hAnsi="Arial" w:cs="Arial"/>
        </w:rPr>
      </w:pPr>
      <w:r>
        <w:rPr>
          <w:rFonts w:ascii="Arial" w:hAnsi="Arial" w:cs="Arial"/>
        </w:rPr>
        <w:t>It also is improper to inaccurately forecast a defendant’s punishment if convicted.</w:t>
      </w:r>
      <w:r w:rsidR="00D12FDA">
        <w:rPr>
          <w:rFonts w:ascii="Arial" w:hAnsi="Arial" w:cs="Arial"/>
        </w:rPr>
        <w:t xml:space="preserve"> </w:t>
      </w:r>
      <w:r w:rsidR="00D12FDA">
        <w:rPr>
          <w:rFonts w:ascii="Arial" w:hAnsi="Arial" w:cs="Arial"/>
          <w:i/>
          <w:iCs/>
        </w:rPr>
        <w:t>McMorris</w:t>
      </w:r>
      <w:r w:rsidR="00D12FDA">
        <w:rPr>
          <w:rFonts w:ascii="Arial" w:hAnsi="Arial" w:cs="Arial"/>
        </w:rPr>
        <w:t>, 290 N.C.at 288.</w:t>
      </w:r>
      <w:r>
        <w:rPr>
          <w:rFonts w:ascii="Arial" w:hAnsi="Arial" w:cs="Arial"/>
        </w:rPr>
        <w:t xml:space="preserve"> </w:t>
      </w:r>
      <w:r w:rsidR="009457A8">
        <w:rPr>
          <w:rFonts w:ascii="Arial" w:hAnsi="Arial" w:cs="Arial"/>
        </w:rPr>
        <w:t>B</w:t>
      </w:r>
      <w:r>
        <w:rPr>
          <w:rFonts w:ascii="Arial" w:hAnsi="Arial" w:cs="Arial"/>
        </w:rPr>
        <w:t>ecause of its complexity, t</w:t>
      </w:r>
      <w:r w:rsidR="007B6333" w:rsidRPr="00641284">
        <w:rPr>
          <w:rFonts w:ascii="Arial" w:hAnsi="Arial" w:cs="Arial"/>
        </w:rPr>
        <w:t>he courts have</w:t>
      </w:r>
      <w:r w:rsidR="00D12FDA">
        <w:rPr>
          <w:rFonts w:ascii="Arial" w:hAnsi="Arial" w:cs="Arial"/>
        </w:rPr>
        <w:t xml:space="preserve"> specifically</w:t>
      </w:r>
      <w:r w:rsidR="007B6333" w:rsidRPr="00641284">
        <w:rPr>
          <w:rFonts w:ascii="Arial" w:hAnsi="Arial" w:cs="Arial"/>
        </w:rPr>
        <w:t xml:space="preserve"> warned that “even a well-intentioned argument purporting to forecast a sentence under Structured Sentencing will almost invariably be misleading” and therefore should be avoided. State v. Lopez, 363 N.C. 535, 540-42 (2009) (finding such a forecast improper). </w:t>
      </w:r>
      <w:r w:rsidR="00040C1D">
        <w:rPr>
          <w:rFonts w:ascii="Arial" w:hAnsi="Arial" w:cs="Arial"/>
        </w:rPr>
        <w:t xml:space="preserve">As discussed </w:t>
      </w:r>
      <w:r w:rsidR="00756EBB">
        <w:rPr>
          <w:rFonts w:ascii="Arial" w:hAnsi="Arial" w:cs="Arial"/>
        </w:rPr>
        <w:t xml:space="preserve">in more detail </w:t>
      </w:r>
      <w:r w:rsidR="00040C1D">
        <w:rPr>
          <w:rFonts w:ascii="Arial" w:hAnsi="Arial" w:cs="Arial"/>
        </w:rPr>
        <w:t xml:space="preserve">above, however, </w:t>
      </w:r>
      <w:r w:rsidR="00C126A2">
        <w:rPr>
          <w:rFonts w:ascii="Arial" w:hAnsi="Arial" w:cs="Arial"/>
        </w:rPr>
        <w:t xml:space="preserve">cases decided after </w:t>
      </w:r>
      <w:r w:rsidR="00C126A2">
        <w:rPr>
          <w:rFonts w:ascii="Arial" w:hAnsi="Arial" w:cs="Arial"/>
          <w:i/>
          <w:iCs/>
        </w:rPr>
        <w:t>Lopez</w:t>
      </w:r>
      <w:r w:rsidR="00C126A2">
        <w:rPr>
          <w:rFonts w:ascii="Arial" w:hAnsi="Arial" w:cs="Arial"/>
        </w:rPr>
        <w:t xml:space="preserve"> continue to state the general rule that it is permissible</w:t>
      </w:r>
      <w:r w:rsidR="005574CD">
        <w:rPr>
          <w:rFonts w:ascii="Arial" w:hAnsi="Arial" w:cs="Arial"/>
        </w:rPr>
        <w:t>, when done in a manner that is accurate and not misleading,</w:t>
      </w:r>
      <w:r w:rsidR="00C126A2">
        <w:rPr>
          <w:rFonts w:ascii="Arial" w:hAnsi="Arial" w:cs="Arial"/>
        </w:rPr>
        <w:t xml:space="preserve"> to inform </w:t>
      </w:r>
      <w:r w:rsidR="00C126A2" w:rsidRPr="004A6347">
        <w:rPr>
          <w:rFonts w:ascii="Arial" w:hAnsi="Arial" w:cs="Arial"/>
        </w:rPr>
        <w:t>the jury of the punishment for the offense for which a defendant is being tried</w:t>
      </w:r>
      <w:r w:rsidR="00C126A2">
        <w:rPr>
          <w:rFonts w:ascii="Arial" w:hAnsi="Arial" w:cs="Arial"/>
        </w:rPr>
        <w:t xml:space="preserve">. </w:t>
      </w:r>
      <w:r w:rsidR="00C126A2">
        <w:rPr>
          <w:rFonts w:ascii="Arial" w:hAnsi="Arial" w:cs="Arial"/>
          <w:i/>
          <w:iCs/>
        </w:rPr>
        <w:t xml:space="preserve">See </w:t>
      </w:r>
      <w:r w:rsidR="00C126A2">
        <w:rPr>
          <w:rFonts w:ascii="Arial" w:hAnsi="Arial" w:cs="Arial"/>
        </w:rPr>
        <w:t>Section IV.B.1.</w:t>
      </w:r>
    </w:p>
    <w:p w14:paraId="65480E95" w14:textId="5D8ECD9D" w:rsidR="007B6333" w:rsidRPr="00641284" w:rsidRDefault="007B6333" w:rsidP="00DB30BF">
      <w:pPr>
        <w:pStyle w:val="ListParagraph"/>
        <w:numPr>
          <w:ilvl w:val="2"/>
          <w:numId w:val="8"/>
        </w:numPr>
        <w:spacing w:after="0" w:line="240" w:lineRule="auto"/>
        <w:rPr>
          <w:rFonts w:ascii="Arial" w:hAnsi="Arial" w:cs="Arial"/>
        </w:rPr>
      </w:pPr>
      <w:bookmarkStart w:id="100" w:name="_Toc402880752"/>
      <w:bookmarkStart w:id="101" w:name="_Toc163125240"/>
      <w:r w:rsidRPr="00CF4FBE">
        <w:rPr>
          <w:rStyle w:val="Heading3Char"/>
        </w:rPr>
        <w:t>Appealing to Juror’s Fears</w:t>
      </w:r>
      <w:bookmarkEnd w:id="100"/>
      <w:bookmarkEnd w:id="101"/>
      <w:r w:rsidRPr="00641284">
        <w:rPr>
          <w:rFonts w:ascii="Arial" w:hAnsi="Arial" w:cs="Arial"/>
          <w:b/>
          <w:bCs/>
        </w:rPr>
        <w:t xml:space="preserve">. </w:t>
      </w:r>
      <w:r w:rsidRPr="00641284">
        <w:rPr>
          <w:rFonts w:ascii="Arial" w:hAnsi="Arial" w:cs="Arial"/>
        </w:rPr>
        <w:t xml:space="preserve">It is improper to make an argument designed to appeal to the jurors' fears, such as a suggestion that if the defendant is </w:t>
      </w:r>
      <w:proofErr w:type="gramStart"/>
      <w:r w:rsidRPr="00641284">
        <w:rPr>
          <w:rFonts w:ascii="Arial" w:hAnsi="Arial" w:cs="Arial"/>
        </w:rPr>
        <w:t>acquitted</w:t>
      </w:r>
      <w:proofErr w:type="gramEnd"/>
      <w:r w:rsidRPr="00641284">
        <w:rPr>
          <w:rFonts w:ascii="Arial" w:hAnsi="Arial" w:cs="Arial"/>
        </w:rPr>
        <w:t xml:space="preserve"> he or she might harm a member of the jury.</w:t>
      </w:r>
      <w:r w:rsidR="005574CD">
        <w:rPr>
          <w:rFonts w:ascii="Arial" w:hAnsi="Arial" w:cs="Arial"/>
        </w:rPr>
        <w:t xml:space="preserve"> </w:t>
      </w:r>
      <w:r w:rsidR="005574CD">
        <w:rPr>
          <w:rFonts w:ascii="Arial" w:hAnsi="Arial" w:cs="Arial"/>
          <w:i/>
          <w:iCs/>
        </w:rPr>
        <w:t xml:space="preserve">Cf. </w:t>
      </w:r>
      <w:r w:rsidR="005574CD">
        <w:rPr>
          <w:rFonts w:ascii="Arial" w:hAnsi="Arial" w:cs="Arial"/>
        </w:rPr>
        <w:t>State v. Thomas, 350 N.C. 315, 361-62 (1999) (analyzing contention that prosecutor’s argument in capital sentencing proceeding that the defendant “would take your life and my life” improperly inflamed the jury against the defendant; concluding that the statement was not improper as it merely described the defendant’s willingness, as supported by the evidence, to murder a stranger for money)</w:t>
      </w:r>
      <w:r w:rsidRPr="00641284">
        <w:rPr>
          <w:rFonts w:ascii="Arial" w:hAnsi="Arial" w:cs="Arial"/>
        </w:rPr>
        <w:t>.</w:t>
      </w:r>
    </w:p>
    <w:p w14:paraId="186458A7" w14:textId="50AC43EB" w:rsidR="007B6333" w:rsidRPr="00641284" w:rsidRDefault="007B6333" w:rsidP="00DB30BF">
      <w:pPr>
        <w:pStyle w:val="ListParagraph"/>
        <w:numPr>
          <w:ilvl w:val="2"/>
          <w:numId w:val="8"/>
        </w:numPr>
        <w:spacing w:after="0" w:line="240" w:lineRule="auto"/>
        <w:rPr>
          <w:rFonts w:ascii="Arial" w:hAnsi="Arial" w:cs="Arial"/>
        </w:rPr>
      </w:pPr>
      <w:bookmarkStart w:id="102" w:name="_Toc402880753"/>
      <w:bookmarkStart w:id="103" w:name="_Toc163125241"/>
      <w:r w:rsidRPr="00CF4FBE">
        <w:rPr>
          <w:rStyle w:val="Heading3Char"/>
        </w:rPr>
        <w:t>Appellate Review and Other Post-Conviction Procedures</w:t>
      </w:r>
      <w:bookmarkEnd w:id="102"/>
      <w:bookmarkEnd w:id="103"/>
      <w:r w:rsidRPr="00641284">
        <w:rPr>
          <w:rFonts w:ascii="Arial" w:hAnsi="Arial" w:cs="Arial"/>
          <w:b/>
          <w:bCs/>
        </w:rPr>
        <w:t>.</w:t>
      </w:r>
      <w:r w:rsidRPr="00641284">
        <w:rPr>
          <w:rFonts w:ascii="Arial" w:hAnsi="Arial" w:cs="Arial"/>
        </w:rPr>
        <w:t xml:space="preserve"> It is improper for counsel to speculate on the outcome of possible appeals, paroles, executive commutations</w:t>
      </w:r>
      <w:r w:rsidR="00BC1E49">
        <w:rPr>
          <w:rFonts w:ascii="Arial" w:hAnsi="Arial" w:cs="Arial"/>
        </w:rPr>
        <w:t>,</w:t>
      </w:r>
      <w:r w:rsidRPr="00641284">
        <w:rPr>
          <w:rFonts w:ascii="Arial" w:hAnsi="Arial" w:cs="Arial"/>
        </w:rPr>
        <w:t xml:space="preserve"> or pardons. </w:t>
      </w:r>
      <w:r w:rsidR="002D3143">
        <w:rPr>
          <w:rFonts w:ascii="Arial" w:hAnsi="Arial" w:cs="Arial"/>
        </w:rPr>
        <w:t xml:space="preserve">State v. McMorris, 290 N.C. 286, 288 (1976) (so stating); </w:t>
      </w:r>
      <w:r w:rsidR="002D3143">
        <w:rPr>
          <w:rFonts w:ascii="Arial" w:hAnsi="Arial" w:cs="Arial"/>
          <w:i/>
          <w:iCs/>
        </w:rPr>
        <w:t xml:space="preserve">see also </w:t>
      </w:r>
      <w:r w:rsidRPr="00641284">
        <w:rPr>
          <w:rFonts w:ascii="Arial" w:hAnsi="Arial" w:cs="Arial"/>
        </w:rPr>
        <w:t xml:space="preserve">State v. Hunt, 323 N.C. 407, 428 (1988) (“A defendant’s eligibility for parole is not a proper matter for the jury’s consideration.”), </w:t>
      </w:r>
      <w:r w:rsidRPr="00641284">
        <w:rPr>
          <w:rFonts w:ascii="Arial" w:hAnsi="Arial" w:cs="Arial"/>
          <w:i/>
          <w:iCs/>
        </w:rPr>
        <w:t>vacated on other grounds sub nom.</w:t>
      </w:r>
      <w:r w:rsidRPr="00641284">
        <w:rPr>
          <w:rFonts w:ascii="Arial" w:hAnsi="Arial" w:cs="Arial"/>
        </w:rPr>
        <w:t xml:space="preserve"> </w:t>
      </w:r>
      <w:r w:rsidR="002D3143">
        <w:rPr>
          <w:rFonts w:ascii="Arial" w:hAnsi="Arial" w:cs="Arial"/>
        </w:rPr>
        <w:t>Hunt</w:t>
      </w:r>
      <w:r w:rsidRPr="00641284">
        <w:rPr>
          <w:rFonts w:ascii="Arial" w:hAnsi="Arial" w:cs="Arial"/>
        </w:rPr>
        <w:t xml:space="preserve"> v. North Carolina, 494 U.S. 1022 (1990); State v. Barber, 93 N.C. App. 42, 48 (1989) (citing </w:t>
      </w:r>
      <w:r w:rsidRPr="00641284">
        <w:rPr>
          <w:rFonts w:ascii="Arial" w:hAnsi="Arial" w:cs="Arial"/>
          <w:i/>
          <w:iCs/>
        </w:rPr>
        <w:t>McMorris</w:t>
      </w:r>
      <w:r w:rsidRPr="00641284">
        <w:rPr>
          <w:rFonts w:ascii="Arial" w:hAnsi="Arial" w:cs="Arial"/>
        </w:rPr>
        <w:t>). In fact</w:t>
      </w:r>
      <w:r w:rsidR="00BB4A85">
        <w:rPr>
          <w:rFonts w:ascii="Arial" w:hAnsi="Arial" w:cs="Arial"/>
        </w:rPr>
        <w:t>,</w:t>
      </w:r>
      <w:r w:rsidRPr="00641284">
        <w:rPr>
          <w:rFonts w:ascii="Arial" w:hAnsi="Arial" w:cs="Arial"/>
        </w:rPr>
        <w:t xml:space="preserve"> a </w:t>
      </w:r>
      <w:r w:rsidR="005F1294">
        <w:rPr>
          <w:rFonts w:ascii="Arial" w:hAnsi="Arial" w:cs="Arial"/>
        </w:rPr>
        <w:t xml:space="preserve">mere </w:t>
      </w:r>
      <w:r w:rsidRPr="00641284">
        <w:rPr>
          <w:rFonts w:ascii="Arial" w:hAnsi="Arial" w:cs="Arial"/>
        </w:rPr>
        <w:t xml:space="preserve">reference to the availability of appellate review of a conviction has been held to be improper. State v. Jones, 296 N.C. 495, 497-500 (1979) (it was improper for the prosecutor to argue: “Now you know, if you do err in this case he [defendant] has the right of appeal. The State doesn't have that. State has no right of appeal from a case like this”; the argument improperly suggested that the appellate division would review the jury’s verdict “thereby causing the jury </w:t>
      </w:r>
      <w:r w:rsidRPr="00641284">
        <w:rPr>
          <w:rFonts w:ascii="Arial" w:hAnsi="Arial" w:cs="Arial"/>
        </w:rPr>
        <w:lastRenderedPageBreak/>
        <w:t>to believe that the Supreme Court would share with them a burden and responsibility which was in fact their sole responsibility”).</w:t>
      </w:r>
    </w:p>
    <w:p w14:paraId="7320FEE1" w14:textId="77777777" w:rsidR="00612DAC" w:rsidRDefault="00612DAC" w:rsidP="00DB30BF">
      <w:pPr>
        <w:spacing w:after="0" w:line="240" w:lineRule="auto"/>
        <w:rPr>
          <w:rStyle w:val="Heading1Char"/>
        </w:rPr>
      </w:pPr>
      <w:bookmarkStart w:id="104" w:name="_Toc402880166"/>
      <w:bookmarkStart w:id="105" w:name="_Toc402880754"/>
    </w:p>
    <w:p w14:paraId="5CA9AF12" w14:textId="2A50A6F0" w:rsidR="007B6333" w:rsidRPr="00641284" w:rsidRDefault="007B6333" w:rsidP="00DB30BF">
      <w:pPr>
        <w:pStyle w:val="ListParagraph"/>
        <w:numPr>
          <w:ilvl w:val="0"/>
          <w:numId w:val="1"/>
        </w:numPr>
        <w:spacing w:after="0" w:line="240" w:lineRule="auto"/>
        <w:rPr>
          <w:rFonts w:ascii="Arial" w:hAnsi="Arial" w:cs="Arial"/>
          <w:b/>
          <w:bCs/>
        </w:rPr>
      </w:pPr>
      <w:bookmarkStart w:id="106" w:name="_Toc163125242"/>
      <w:r w:rsidRPr="00CF4FBE">
        <w:rPr>
          <w:rStyle w:val="Heading1Char"/>
        </w:rPr>
        <w:t>Judge’s Role</w:t>
      </w:r>
      <w:bookmarkEnd w:id="104"/>
      <w:bookmarkEnd w:id="105"/>
      <w:bookmarkEnd w:id="106"/>
      <w:r w:rsidRPr="00641284">
        <w:rPr>
          <w:rFonts w:ascii="Arial" w:hAnsi="Arial" w:cs="Arial"/>
          <w:b/>
          <w:bCs/>
        </w:rPr>
        <w:t xml:space="preserve">. </w:t>
      </w:r>
    </w:p>
    <w:p w14:paraId="74AE2C6A" w14:textId="44AA1CF9" w:rsidR="007B6333" w:rsidRPr="00A002E8" w:rsidRDefault="007B6333" w:rsidP="00DB30BF">
      <w:pPr>
        <w:pStyle w:val="ListParagraph"/>
        <w:numPr>
          <w:ilvl w:val="0"/>
          <w:numId w:val="16"/>
        </w:numPr>
        <w:tabs>
          <w:tab w:val="left" w:pos="1440"/>
        </w:tabs>
        <w:spacing w:after="0" w:line="240" w:lineRule="auto"/>
        <w:rPr>
          <w:rFonts w:ascii="Arial" w:hAnsi="Arial" w:cs="Arial"/>
          <w:b/>
          <w:bCs/>
        </w:rPr>
      </w:pPr>
      <w:bookmarkStart w:id="107" w:name="_Toc402880167"/>
      <w:bookmarkStart w:id="108" w:name="_Toc402880755"/>
      <w:bookmarkStart w:id="109" w:name="_Toc163125243"/>
      <w:r w:rsidRPr="00CF4FBE">
        <w:rPr>
          <w:rStyle w:val="Heading2Char"/>
        </w:rPr>
        <w:t>Generally</w:t>
      </w:r>
      <w:bookmarkEnd w:id="107"/>
      <w:bookmarkEnd w:id="108"/>
      <w:bookmarkEnd w:id="109"/>
      <w:r w:rsidRPr="00A002E8">
        <w:rPr>
          <w:rFonts w:ascii="Arial" w:hAnsi="Arial" w:cs="Arial"/>
          <w:b/>
          <w:bCs/>
        </w:rPr>
        <w:t xml:space="preserve">. </w:t>
      </w:r>
      <w:r w:rsidRPr="00A002E8">
        <w:rPr>
          <w:rFonts w:ascii="Arial" w:hAnsi="Arial" w:cs="Arial"/>
        </w:rPr>
        <w:t xml:space="preserve">In </w:t>
      </w:r>
      <w:r w:rsidRPr="00A002E8">
        <w:rPr>
          <w:rFonts w:ascii="Arial" w:hAnsi="Arial" w:cs="Arial"/>
          <w:i/>
          <w:iCs/>
        </w:rPr>
        <w:t>State v. Jones</w:t>
      </w:r>
      <w:r w:rsidRPr="00A002E8">
        <w:rPr>
          <w:rFonts w:ascii="Arial" w:hAnsi="Arial" w:cs="Arial"/>
        </w:rPr>
        <w:t xml:space="preserve">, 355 N.C. 117 (2002), the N.C. Supreme Court succinctly stated </w:t>
      </w:r>
      <w:r w:rsidR="005F1294">
        <w:rPr>
          <w:rFonts w:ascii="Arial" w:hAnsi="Arial" w:cs="Arial"/>
        </w:rPr>
        <w:t>a</w:t>
      </w:r>
      <w:r w:rsidR="005F1294" w:rsidRPr="00A002E8">
        <w:rPr>
          <w:rFonts w:ascii="Arial" w:hAnsi="Arial" w:cs="Arial"/>
        </w:rPr>
        <w:t xml:space="preserve"> </w:t>
      </w:r>
      <w:r w:rsidRPr="00A002E8">
        <w:rPr>
          <w:rFonts w:ascii="Arial" w:hAnsi="Arial" w:cs="Arial"/>
        </w:rPr>
        <w:t>trial judge’s role with respect to jury argument:</w:t>
      </w:r>
    </w:p>
    <w:p w14:paraId="16E550D7" w14:textId="77777777" w:rsidR="005E3FB6" w:rsidRDefault="005E3FB6" w:rsidP="00DB30BF">
      <w:pPr>
        <w:pStyle w:val="ListParagraph"/>
        <w:spacing w:after="0" w:line="240" w:lineRule="auto"/>
        <w:ind w:left="2160" w:right="720"/>
        <w:rPr>
          <w:rFonts w:ascii="Arial" w:hAnsi="Arial" w:cs="Arial"/>
        </w:rPr>
      </w:pPr>
    </w:p>
    <w:p w14:paraId="58EAC768" w14:textId="3CE4217B" w:rsidR="007B6333" w:rsidRPr="00641284" w:rsidRDefault="007B6333" w:rsidP="00DB30BF">
      <w:pPr>
        <w:pStyle w:val="ListParagraph"/>
        <w:spacing w:after="0" w:line="240" w:lineRule="auto"/>
        <w:ind w:left="2160" w:right="720"/>
        <w:rPr>
          <w:rFonts w:ascii="Arial" w:hAnsi="Arial" w:cs="Arial"/>
        </w:rPr>
      </w:pPr>
      <w:r w:rsidRPr="00641284">
        <w:rPr>
          <w:rFonts w:ascii="Arial" w:hAnsi="Arial" w:cs="Arial"/>
        </w:rPr>
        <w:t>[I]t is incumbent on the trial court to monitor vigilantly the course of such arguments, to intervene as warranted, to entertain objections, and to impose any remedies pertaining to those objections. Such remedies include, but are not necessarily limited to, requiring counsel to retract portions of an argument deemed improper or issuing instructions to the jury to disregard such arguments.</w:t>
      </w:r>
    </w:p>
    <w:p w14:paraId="1CAE8694" w14:textId="77777777" w:rsidR="005E3FB6" w:rsidRDefault="005E3FB6" w:rsidP="00DB30BF">
      <w:pPr>
        <w:pStyle w:val="ListParagraph"/>
        <w:spacing w:after="0" w:line="240" w:lineRule="auto"/>
        <w:ind w:left="1440"/>
        <w:rPr>
          <w:rFonts w:ascii="Arial" w:hAnsi="Arial" w:cs="Arial"/>
          <w:i/>
          <w:iCs/>
        </w:rPr>
      </w:pPr>
    </w:p>
    <w:p w14:paraId="41F0C602" w14:textId="765B03D2" w:rsidR="007B6333" w:rsidRDefault="007B6333" w:rsidP="00DB30BF">
      <w:pPr>
        <w:pStyle w:val="ListParagraph"/>
        <w:spacing w:after="0" w:line="240" w:lineRule="auto"/>
        <w:ind w:left="1440"/>
        <w:rPr>
          <w:rFonts w:ascii="Arial" w:hAnsi="Arial" w:cs="Arial"/>
        </w:rPr>
      </w:pPr>
      <w:r w:rsidRPr="00641284">
        <w:rPr>
          <w:rFonts w:ascii="Arial" w:hAnsi="Arial" w:cs="Arial"/>
          <w:i/>
          <w:iCs/>
        </w:rPr>
        <w:t xml:space="preserve">Id. </w:t>
      </w:r>
      <w:r w:rsidRPr="00641284">
        <w:rPr>
          <w:rFonts w:ascii="Arial" w:hAnsi="Arial" w:cs="Arial"/>
        </w:rPr>
        <w:t xml:space="preserve">at 129. </w:t>
      </w:r>
      <w:r w:rsidR="00D7207F">
        <w:rPr>
          <w:rFonts w:ascii="Arial" w:hAnsi="Arial" w:cs="Arial"/>
        </w:rPr>
        <w:t xml:space="preserve">In the context of improper argument by a prosecutor, the North Carolina Supreme Court has said that a trial court is required to intervene </w:t>
      </w:r>
      <w:r w:rsidR="00D7207F">
        <w:rPr>
          <w:rFonts w:ascii="Arial" w:hAnsi="Arial" w:cs="Arial"/>
          <w:i/>
          <w:iCs/>
        </w:rPr>
        <w:t xml:space="preserve">ex </w:t>
      </w:r>
      <w:proofErr w:type="spellStart"/>
      <w:r w:rsidR="00D7207F">
        <w:rPr>
          <w:rFonts w:ascii="Arial" w:hAnsi="Arial" w:cs="Arial"/>
          <w:i/>
          <w:iCs/>
        </w:rPr>
        <w:t>mero</w:t>
      </w:r>
      <w:proofErr w:type="spellEnd"/>
      <w:r w:rsidR="00D7207F">
        <w:rPr>
          <w:rFonts w:ascii="Arial" w:hAnsi="Arial" w:cs="Arial"/>
          <w:i/>
          <w:iCs/>
        </w:rPr>
        <w:t xml:space="preserve"> motu</w:t>
      </w:r>
      <w:r w:rsidR="00D7207F">
        <w:rPr>
          <w:rFonts w:ascii="Arial" w:hAnsi="Arial" w:cs="Arial"/>
        </w:rPr>
        <w:t xml:space="preserve"> when a prosecutor makes a “‘[g]</w:t>
      </w:r>
      <w:proofErr w:type="spellStart"/>
      <w:r w:rsidR="00D7207F">
        <w:rPr>
          <w:rFonts w:ascii="Arial" w:hAnsi="Arial" w:cs="Arial"/>
        </w:rPr>
        <w:t>rossly</w:t>
      </w:r>
      <w:proofErr w:type="spellEnd"/>
      <w:r w:rsidR="00D7207F">
        <w:rPr>
          <w:rFonts w:ascii="Arial" w:hAnsi="Arial" w:cs="Arial"/>
        </w:rPr>
        <w:t xml:space="preserve"> improper argument [which] is defined as conduct so extreme that it renders a trial fundamentally unfair and denies the defendant due process.’” State v. Parker, 377 N.C. 466, 472 (2021) (quoting State v. Fair, 354 N.C. 131, 153 (2001)).</w:t>
      </w:r>
      <w:r w:rsidR="00FE0BD4">
        <w:rPr>
          <w:rFonts w:ascii="Arial" w:hAnsi="Arial" w:cs="Arial"/>
        </w:rPr>
        <w:t xml:space="preserve"> In evaluating challenges to a trial court’s failure to intervene </w:t>
      </w:r>
      <w:r w:rsidR="00FE0BD4">
        <w:rPr>
          <w:rFonts w:ascii="Arial" w:hAnsi="Arial" w:cs="Arial"/>
          <w:i/>
          <w:iCs/>
        </w:rPr>
        <w:t xml:space="preserve">ex </w:t>
      </w:r>
      <w:proofErr w:type="spellStart"/>
      <w:r w:rsidR="00FE0BD4">
        <w:rPr>
          <w:rFonts w:ascii="Arial" w:hAnsi="Arial" w:cs="Arial"/>
          <w:i/>
          <w:iCs/>
        </w:rPr>
        <w:t>mero</w:t>
      </w:r>
      <w:proofErr w:type="spellEnd"/>
      <w:r w:rsidR="00FE0BD4">
        <w:rPr>
          <w:rFonts w:ascii="Arial" w:hAnsi="Arial" w:cs="Arial"/>
          <w:i/>
          <w:iCs/>
        </w:rPr>
        <w:t xml:space="preserve"> motu</w:t>
      </w:r>
      <w:r w:rsidR="00FE0BD4">
        <w:rPr>
          <w:rFonts w:ascii="Arial" w:hAnsi="Arial" w:cs="Arial"/>
        </w:rPr>
        <w:t xml:space="preserve"> Court has </w:t>
      </w:r>
      <w:r w:rsidR="003323A9">
        <w:rPr>
          <w:rFonts w:ascii="Arial" w:hAnsi="Arial" w:cs="Arial"/>
        </w:rPr>
        <w:t>said: “</w:t>
      </w:r>
      <w:r w:rsidR="003323A9" w:rsidRPr="003323A9">
        <w:rPr>
          <w:rFonts w:ascii="Arial" w:hAnsi="Arial" w:cs="Arial"/>
        </w:rPr>
        <w:t>In circumstances in which a defendant in his or her role as an obvious interested party in a criminal trial fails to object to the other pa</w:t>
      </w:r>
      <w:r w:rsidR="00BB4A85">
        <w:rPr>
          <w:rFonts w:ascii="Arial" w:hAnsi="Arial" w:cs="Arial"/>
        </w:rPr>
        <w:t>r</w:t>
      </w:r>
      <w:r w:rsidR="003323A9" w:rsidRPr="003323A9">
        <w:rPr>
          <w:rFonts w:ascii="Arial" w:hAnsi="Arial" w:cs="Arial"/>
        </w:rPr>
        <w:t>ty's closing statement at trial, yet assigns as error the detached trial ju</w:t>
      </w:r>
      <w:r w:rsidR="00BB4A85">
        <w:rPr>
          <w:rFonts w:ascii="Arial" w:hAnsi="Arial" w:cs="Arial"/>
        </w:rPr>
        <w:t>d</w:t>
      </w:r>
      <w:r w:rsidR="003323A9" w:rsidRPr="003323A9">
        <w:rPr>
          <w:rFonts w:ascii="Arial" w:hAnsi="Arial" w:cs="Arial"/>
        </w:rPr>
        <w:t>ge's routine taciturnity during closing arguments in the absence of any objection, this Court has consistently viewed the appealing pa</w:t>
      </w:r>
      <w:r w:rsidR="00BB4A85">
        <w:rPr>
          <w:rFonts w:ascii="Arial" w:hAnsi="Arial" w:cs="Arial"/>
        </w:rPr>
        <w:t>r</w:t>
      </w:r>
      <w:r w:rsidR="003323A9" w:rsidRPr="003323A9">
        <w:rPr>
          <w:rFonts w:ascii="Arial" w:hAnsi="Arial" w:cs="Arial"/>
        </w:rPr>
        <w:t>ty's burden to show prejudice and reversible error as a heavy one.</w:t>
      </w:r>
      <w:r w:rsidR="003323A9">
        <w:rPr>
          <w:rFonts w:ascii="Arial" w:hAnsi="Arial" w:cs="Arial"/>
        </w:rPr>
        <w:t>” State v. Tart, 372 N.C. 73, 81 (2019).</w:t>
      </w:r>
    </w:p>
    <w:p w14:paraId="534FEC3A" w14:textId="77777777" w:rsidR="00F45B40" w:rsidRPr="00D7207F" w:rsidRDefault="00F45B40" w:rsidP="00DB30BF">
      <w:pPr>
        <w:pStyle w:val="ListParagraph"/>
        <w:spacing w:after="0" w:line="240" w:lineRule="auto"/>
        <w:ind w:left="1440"/>
        <w:rPr>
          <w:rFonts w:ascii="Arial" w:hAnsi="Arial" w:cs="Arial"/>
        </w:rPr>
      </w:pPr>
    </w:p>
    <w:p w14:paraId="4AA7A176" w14:textId="6E119D9F" w:rsidR="00D7207F" w:rsidRDefault="00D7207F" w:rsidP="00DB30BF">
      <w:pPr>
        <w:pStyle w:val="ListParagraph"/>
        <w:numPr>
          <w:ilvl w:val="0"/>
          <w:numId w:val="16"/>
        </w:numPr>
        <w:spacing w:after="0" w:line="240" w:lineRule="auto"/>
        <w:rPr>
          <w:rStyle w:val="Heading2Char"/>
          <w:b w:val="0"/>
          <w:bCs w:val="0"/>
        </w:rPr>
      </w:pPr>
      <w:bookmarkStart w:id="110" w:name="_Toc163125244"/>
      <w:bookmarkStart w:id="111" w:name="_Toc402880168"/>
      <w:bookmarkStart w:id="112" w:name="_Toc402880756"/>
      <w:r>
        <w:rPr>
          <w:rStyle w:val="Heading2Char"/>
        </w:rPr>
        <w:t>Remarks to Jurors Before Final Arguments.</w:t>
      </w:r>
      <w:bookmarkEnd w:id="110"/>
      <w:r w:rsidRPr="00A066E3">
        <w:rPr>
          <w:rFonts w:ascii="Arial" w:hAnsi="Arial" w:cs="Arial"/>
        </w:rPr>
        <w:t xml:space="preserve"> N.C.P.I. </w:t>
      </w:r>
      <w:r w:rsidR="00B10D29" w:rsidRPr="00A066E3">
        <w:rPr>
          <w:rFonts w:ascii="Arial" w:hAnsi="Arial" w:cs="Arial"/>
        </w:rPr>
        <w:t xml:space="preserve">Crim. </w:t>
      </w:r>
      <w:r w:rsidRPr="00A066E3">
        <w:rPr>
          <w:rFonts w:ascii="Arial" w:hAnsi="Arial" w:cs="Arial"/>
        </w:rPr>
        <w:t>101.37 provides a model jury instruction that a trial judge may use prior to closing statements.</w:t>
      </w:r>
    </w:p>
    <w:p w14:paraId="6A7E8C1F" w14:textId="77777777" w:rsidR="00F45B40" w:rsidRPr="00D7207F" w:rsidRDefault="00F45B40" w:rsidP="00DB30BF">
      <w:pPr>
        <w:pStyle w:val="ListParagraph"/>
        <w:spacing w:after="0" w:line="240" w:lineRule="auto"/>
        <w:ind w:left="1440"/>
        <w:rPr>
          <w:rStyle w:val="Heading2Char"/>
          <w:b w:val="0"/>
          <w:bCs w:val="0"/>
        </w:rPr>
      </w:pPr>
    </w:p>
    <w:p w14:paraId="67F512D9" w14:textId="3BF53E7F" w:rsidR="00042C0D" w:rsidRDefault="007B6333" w:rsidP="00DB30BF">
      <w:pPr>
        <w:pStyle w:val="ListParagraph"/>
        <w:numPr>
          <w:ilvl w:val="0"/>
          <w:numId w:val="16"/>
        </w:numPr>
        <w:spacing w:after="0" w:line="240" w:lineRule="auto"/>
        <w:rPr>
          <w:rFonts w:ascii="Arial" w:hAnsi="Arial" w:cs="Arial"/>
        </w:rPr>
      </w:pPr>
      <w:bookmarkStart w:id="113" w:name="_Toc163125245"/>
      <w:r w:rsidRPr="00CF4FBE">
        <w:rPr>
          <w:rStyle w:val="Heading2Char"/>
        </w:rPr>
        <w:t>Curative Instructions</w:t>
      </w:r>
      <w:bookmarkEnd w:id="111"/>
      <w:bookmarkEnd w:id="112"/>
      <w:bookmarkEnd w:id="113"/>
      <w:r w:rsidRPr="00A002E8">
        <w:rPr>
          <w:rFonts w:ascii="Arial" w:hAnsi="Arial" w:cs="Arial"/>
          <w:b/>
          <w:bCs/>
        </w:rPr>
        <w:t xml:space="preserve">. </w:t>
      </w:r>
      <w:r w:rsidRPr="00A002E8">
        <w:rPr>
          <w:rFonts w:ascii="Arial" w:hAnsi="Arial" w:cs="Arial"/>
        </w:rPr>
        <w:t xml:space="preserve">When an improper argument is made but can be cured with an instruction to the jury, the instruction should be prompt and explicit. </w:t>
      </w:r>
      <w:r w:rsidR="00042C0D">
        <w:rPr>
          <w:rFonts w:ascii="Arial" w:hAnsi="Arial" w:cs="Arial"/>
        </w:rPr>
        <w:t xml:space="preserve">This is </w:t>
      </w:r>
      <w:r w:rsidR="000D4390">
        <w:rPr>
          <w:rFonts w:ascii="Arial" w:hAnsi="Arial" w:cs="Arial"/>
        </w:rPr>
        <w:t>especially</w:t>
      </w:r>
      <w:r w:rsidR="00042C0D">
        <w:rPr>
          <w:rFonts w:ascii="Arial" w:hAnsi="Arial" w:cs="Arial"/>
        </w:rPr>
        <w:t xml:space="preserve"> true where the improper argument infringes upon a defendant’s constitutional rights</w:t>
      </w:r>
      <w:r w:rsidR="00DA44C0">
        <w:rPr>
          <w:rFonts w:ascii="Arial" w:hAnsi="Arial" w:cs="Arial"/>
        </w:rPr>
        <w:t>, as discussed below in Section V</w:t>
      </w:r>
      <w:r w:rsidR="00B16EB2">
        <w:rPr>
          <w:rFonts w:ascii="Arial" w:hAnsi="Arial" w:cs="Arial"/>
        </w:rPr>
        <w:t>I</w:t>
      </w:r>
      <w:r w:rsidR="00DA44C0">
        <w:rPr>
          <w:rFonts w:ascii="Arial" w:hAnsi="Arial" w:cs="Arial"/>
        </w:rPr>
        <w:t>.D</w:t>
      </w:r>
      <w:r w:rsidR="00042C0D">
        <w:rPr>
          <w:rFonts w:ascii="Arial" w:hAnsi="Arial" w:cs="Arial"/>
        </w:rPr>
        <w:t>.</w:t>
      </w:r>
    </w:p>
    <w:p w14:paraId="4CE923C7" w14:textId="693C8822" w:rsidR="007B6333" w:rsidRPr="00A002E8" w:rsidRDefault="00042C0D" w:rsidP="00DB30BF">
      <w:pPr>
        <w:pStyle w:val="ListParagraph"/>
        <w:spacing w:after="0" w:line="240" w:lineRule="auto"/>
        <w:ind w:left="1440" w:firstLine="720"/>
        <w:rPr>
          <w:rFonts w:ascii="Arial" w:hAnsi="Arial" w:cs="Arial"/>
        </w:rPr>
      </w:pPr>
      <w:r>
        <w:rPr>
          <w:rFonts w:ascii="Arial" w:hAnsi="Arial" w:cs="Arial"/>
        </w:rPr>
        <w:t>T</w:t>
      </w:r>
      <w:r w:rsidR="007B6333" w:rsidRPr="00A002E8">
        <w:rPr>
          <w:rFonts w:ascii="Arial" w:hAnsi="Arial" w:cs="Arial"/>
        </w:rPr>
        <w:t xml:space="preserve">he content of the curative instruction will vary depending on the nature of the improper argument. Provided below is a sample curative instruction that can be used when counsel improperly expresses the opinion that a witness is lying. This sample instruction can be modified to accommodate the </w:t>
      </w:r>
      <w:proofErr w:type="gramStart"/>
      <w:r w:rsidR="007B6333" w:rsidRPr="00A002E8">
        <w:rPr>
          <w:rFonts w:ascii="Arial" w:hAnsi="Arial" w:cs="Arial"/>
        </w:rPr>
        <w:t>particular objectionable</w:t>
      </w:r>
      <w:proofErr w:type="gramEnd"/>
      <w:r w:rsidR="007B6333" w:rsidRPr="00A002E8">
        <w:rPr>
          <w:rFonts w:ascii="Arial" w:hAnsi="Arial" w:cs="Arial"/>
        </w:rPr>
        <w:t xml:space="preserve"> argument at issue. </w:t>
      </w:r>
    </w:p>
    <w:p w14:paraId="7DF30FEF" w14:textId="77777777" w:rsidR="008456DE" w:rsidRDefault="007B6333" w:rsidP="00DB30BF">
      <w:pPr>
        <w:pStyle w:val="ListParagraph"/>
        <w:spacing w:after="0" w:line="240" w:lineRule="auto"/>
        <w:ind w:left="1440"/>
        <w:rPr>
          <w:rFonts w:ascii="Arial" w:hAnsi="Arial" w:cs="Arial"/>
        </w:rPr>
      </w:pPr>
      <w:r w:rsidRPr="00641284">
        <w:rPr>
          <w:rFonts w:ascii="Arial" w:hAnsi="Arial" w:cs="Arial"/>
        </w:rPr>
        <w:tab/>
      </w:r>
    </w:p>
    <w:p w14:paraId="270E5619" w14:textId="38750FFC" w:rsidR="007B6333" w:rsidRPr="00641284" w:rsidRDefault="007B6333" w:rsidP="00DB30BF">
      <w:pPr>
        <w:pStyle w:val="ListParagraph"/>
        <w:spacing w:after="0" w:line="240" w:lineRule="auto"/>
        <w:ind w:left="1440"/>
        <w:rPr>
          <w:rFonts w:ascii="Arial" w:hAnsi="Arial" w:cs="Arial"/>
          <w:i/>
          <w:iCs/>
        </w:rPr>
      </w:pPr>
      <w:r w:rsidRPr="00641284">
        <w:rPr>
          <w:rFonts w:ascii="Arial" w:hAnsi="Arial" w:cs="Arial"/>
          <w:i/>
          <w:iCs/>
        </w:rPr>
        <w:t>SAMPLE INSTRUCTION:</w:t>
      </w:r>
    </w:p>
    <w:p w14:paraId="6C09B786" w14:textId="77777777" w:rsidR="007B6333" w:rsidRDefault="007B6333" w:rsidP="00DB30BF">
      <w:pPr>
        <w:pStyle w:val="ListParagraph"/>
        <w:spacing w:after="0" w:line="240" w:lineRule="auto"/>
        <w:ind w:left="2160" w:right="720"/>
        <w:rPr>
          <w:rFonts w:ascii="Arial" w:hAnsi="Arial" w:cs="Arial"/>
          <w:i/>
          <w:iCs/>
        </w:rPr>
      </w:pPr>
      <w:r w:rsidRPr="00641284">
        <w:rPr>
          <w:rFonts w:ascii="Arial" w:hAnsi="Arial" w:cs="Arial"/>
          <w:i/>
          <w:iCs/>
        </w:rPr>
        <w:t>“Members of the jury, you are to disregard the prosecutor’s statement that [he or she] believes the witness [name] is lying. It is improper for a lawyer to express the personal belief that a witness is lying. You are to disregard this improper statement and not to allow it to affect your decision. [Do you understand my instruction? Can you follow it?]</w:t>
      </w:r>
    </w:p>
    <w:p w14:paraId="0CC87F27" w14:textId="77777777" w:rsidR="00F45B40" w:rsidRPr="00641284" w:rsidRDefault="00F45B40" w:rsidP="00DB30BF">
      <w:pPr>
        <w:pStyle w:val="ListParagraph"/>
        <w:spacing w:after="0" w:line="240" w:lineRule="auto"/>
        <w:ind w:left="2160" w:right="720"/>
        <w:rPr>
          <w:rFonts w:ascii="Arial" w:hAnsi="Arial" w:cs="Arial"/>
          <w:i/>
          <w:iCs/>
        </w:rPr>
      </w:pPr>
    </w:p>
    <w:p w14:paraId="473D488C" w14:textId="3EBF626D" w:rsidR="00FE0BD4" w:rsidRPr="00FE0BD4" w:rsidRDefault="007B6333" w:rsidP="00DB30BF">
      <w:pPr>
        <w:pStyle w:val="ListParagraph"/>
        <w:numPr>
          <w:ilvl w:val="0"/>
          <w:numId w:val="16"/>
        </w:numPr>
        <w:spacing w:after="0" w:line="240" w:lineRule="auto"/>
        <w:rPr>
          <w:rFonts w:ascii="Arial" w:hAnsi="Arial" w:cs="Arial"/>
          <w:b/>
          <w:bCs/>
        </w:rPr>
      </w:pPr>
      <w:bookmarkStart w:id="114" w:name="_Toc402880169"/>
      <w:bookmarkStart w:id="115" w:name="_Toc402880757"/>
      <w:bookmarkStart w:id="116" w:name="_Toc163125246"/>
      <w:r w:rsidRPr="00CF4FBE">
        <w:rPr>
          <w:rStyle w:val="Heading2Char"/>
        </w:rPr>
        <w:lastRenderedPageBreak/>
        <w:t>Standard of Review</w:t>
      </w:r>
      <w:bookmarkEnd w:id="114"/>
      <w:bookmarkEnd w:id="115"/>
      <w:bookmarkEnd w:id="116"/>
      <w:r w:rsidRPr="00641284">
        <w:rPr>
          <w:rFonts w:ascii="Arial" w:hAnsi="Arial" w:cs="Arial"/>
          <w:b/>
          <w:bCs/>
        </w:rPr>
        <w:t xml:space="preserve">. </w:t>
      </w:r>
      <w:r w:rsidR="00404D8C">
        <w:rPr>
          <w:rFonts w:ascii="Arial" w:hAnsi="Arial" w:cs="Arial"/>
        </w:rPr>
        <w:t xml:space="preserve">When evaluating an allegedly improper jury argument, the appellate courts do not examine the argument in isolation but instead consider the context in which the argument was made and the overall factual circumstances to which the argument refers. State v. </w:t>
      </w:r>
      <w:r w:rsidR="000E01DB">
        <w:rPr>
          <w:rFonts w:ascii="Arial" w:hAnsi="Arial" w:cs="Arial"/>
        </w:rPr>
        <w:t>Dalton, 369 N.C. 311, 316 (2016).</w:t>
      </w:r>
      <w:r w:rsidR="003323A9">
        <w:rPr>
          <w:rFonts w:ascii="Arial" w:hAnsi="Arial" w:cs="Arial"/>
        </w:rPr>
        <w:t xml:space="preserve"> The standard of review depends upon whether the argument was objected to at trial and whether it directly implicates and infringes upon a constitutional right.</w:t>
      </w:r>
      <w:r w:rsidR="00796186">
        <w:rPr>
          <w:rFonts w:ascii="Arial" w:hAnsi="Arial" w:cs="Arial"/>
        </w:rPr>
        <w:t xml:space="preserve"> </w:t>
      </w:r>
      <w:r w:rsidR="00B16EB2">
        <w:rPr>
          <w:rFonts w:ascii="Arial" w:hAnsi="Arial" w:cs="Arial"/>
          <w:i/>
          <w:iCs/>
        </w:rPr>
        <w:t>Jones</w:t>
      </w:r>
      <w:r w:rsidR="00B16EB2">
        <w:rPr>
          <w:rFonts w:ascii="Arial" w:hAnsi="Arial" w:cs="Arial"/>
        </w:rPr>
        <w:t xml:space="preserve">, 355 N.C. at 131-134; </w:t>
      </w:r>
      <w:r w:rsidR="00B16EB2">
        <w:rPr>
          <w:rFonts w:ascii="Arial" w:hAnsi="Arial" w:cs="Arial"/>
          <w:i/>
          <w:iCs/>
        </w:rPr>
        <w:t>s</w:t>
      </w:r>
      <w:r w:rsidR="00796186">
        <w:rPr>
          <w:rFonts w:ascii="Arial" w:hAnsi="Arial" w:cs="Arial"/>
          <w:i/>
          <w:iCs/>
        </w:rPr>
        <w:t>ee</w:t>
      </w:r>
      <w:r w:rsidR="00B16EB2">
        <w:rPr>
          <w:rFonts w:ascii="Arial" w:hAnsi="Arial" w:cs="Arial"/>
          <w:i/>
          <w:iCs/>
        </w:rPr>
        <w:t xml:space="preserve"> also</w:t>
      </w:r>
      <w:r w:rsidR="00796186">
        <w:rPr>
          <w:rFonts w:ascii="Arial" w:hAnsi="Arial" w:cs="Arial"/>
        </w:rPr>
        <w:t xml:space="preserve"> State v. Gladden, 315 N.C. 398, 417 (1986) (holding that the variable standard of review, which was developed in the context of closing statements, also applies to opening statements).</w:t>
      </w:r>
    </w:p>
    <w:p w14:paraId="2952C2C7" w14:textId="6A4F69BD" w:rsidR="00E25DC5" w:rsidRPr="00F45B40" w:rsidRDefault="00E25DC5" w:rsidP="00DB30BF">
      <w:pPr>
        <w:pStyle w:val="ListParagraph"/>
        <w:numPr>
          <w:ilvl w:val="3"/>
          <w:numId w:val="1"/>
        </w:numPr>
        <w:spacing w:after="0" w:line="240" w:lineRule="auto"/>
        <w:ind w:left="2160" w:hanging="720"/>
        <w:rPr>
          <w:rFonts w:ascii="Arial" w:hAnsi="Arial" w:cs="Arial"/>
        </w:rPr>
      </w:pPr>
      <w:bookmarkStart w:id="117" w:name="_Toc163125247"/>
      <w:r>
        <w:rPr>
          <w:rStyle w:val="Heading3Char"/>
        </w:rPr>
        <w:t>Defendant Objects</w:t>
      </w:r>
      <w:bookmarkEnd w:id="117"/>
      <w:r w:rsidRPr="00641284">
        <w:rPr>
          <w:rFonts w:ascii="Arial" w:hAnsi="Arial" w:cs="Arial"/>
          <w:b/>
          <w:bCs/>
        </w:rPr>
        <w:t xml:space="preserve">. </w:t>
      </w:r>
      <w:r w:rsidR="007B6333" w:rsidRPr="00F45B40">
        <w:rPr>
          <w:rFonts w:ascii="Arial" w:hAnsi="Arial" w:cs="Arial"/>
        </w:rPr>
        <w:t>If a defendant objects to the prosecutor’s jury argument</w:t>
      </w:r>
      <w:r w:rsidR="00D7207F" w:rsidRPr="00F45B40">
        <w:rPr>
          <w:rFonts w:ascii="Arial" w:hAnsi="Arial" w:cs="Arial"/>
        </w:rPr>
        <w:t>,</w:t>
      </w:r>
      <w:r w:rsidR="007B6333" w:rsidRPr="00F45B40">
        <w:rPr>
          <w:rFonts w:ascii="Arial" w:hAnsi="Arial" w:cs="Arial"/>
        </w:rPr>
        <w:t xml:space="preserve"> the appellate courts review </w:t>
      </w:r>
      <w:r w:rsidR="0020100A" w:rsidRPr="00F45B40">
        <w:rPr>
          <w:rFonts w:ascii="Arial" w:hAnsi="Arial" w:cs="Arial"/>
        </w:rPr>
        <w:t xml:space="preserve">the trial court's decision to overrule the objection </w:t>
      </w:r>
      <w:r w:rsidR="007B6333" w:rsidRPr="00F45B40">
        <w:rPr>
          <w:rFonts w:ascii="Arial" w:hAnsi="Arial" w:cs="Arial"/>
        </w:rPr>
        <w:t xml:space="preserve">for abuse of discretion. </w:t>
      </w:r>
      <w:r w:rsidR="007B6333" w:rsidRPr="00F45B40">
        <w:rPr>
          <w:rFonts w:ascii="Arial" w:hAnsi="Arial" w:cs="Arial"/>
          <w:i/>
          <w:iCs/>
        </w:rPr>
        <w:t xml:space="preserve">Jones, </w:t>
      </w:r>
      <w:r w:rsidR="007B6333" w:rsidRPr="00F45B40">
        <w:rPr>
          <w:rFonts w:ascii="Arial" w:hAnsi="Arial" w:cs="Arial"/>
        </w:rPr>
        <w:t>355</w:t>
      </w:r>
      <w:r w:rsidR="007B6333" w:rsidRPr="00F45B40">
        <w:rPr>
          <w:rFonts w:ascii="Arial" w:hAnsi="Arial" w:cs="Arial"/>
          <w:i/>
          <w:iCs/>
        </w:rPr>
        <w:t xml:space="preserve"> </w:t>
      </w:r>
      <w:r w:rsidR="007B6333" w:rsidRPr="00F45B40">
        <w:rPr>
          <w:rFonts w:ascii="Arial" w:hAnsi="Arial" w:cs="Arial"/>
        </w:rPr>
        <w:t xml:space="preserve">N.C. at 131. </w:t>
      </w:r>
      <w:r w:rsidR="00146471" w:rsidRPr="00F45B40">
        <w:rPr>
          <w:rFonts w:ascii="Arial" w:hAnsi="Arial" w:cs="Arial"/>
        </w:rPr>
        <w:t>A</w:t>
      </w:r>
      <w:r w:rsidR="0020100A" w:rsidRPr="00F45B40">
        <w:rPr>
          <w:rFonts w:ascii="Arial" w:hAnsi="Arial" w:cs="Arial"/>
        </w:rPr>
        <w:t xml:space="preserve"> trial court</w:t>
      </w:r>
      <w:r w:rsidR="00146471" w:rsidRPr="00F45B40">
        <w:rPr>
          <w:rFonts w:ascii="Arial" w:hAnsi="Arial" w:cs="Arial"/>
        </w:rPr>
        <w:t xml:space="preserve"> </w:t>
      </w:r>
      <w:r w:rsidR="0020100A" w:rsidRPr="00F45B40">
        <w:rPr>
          <w:rFonts w:ascii="Arial" w:hAnsi="Arial" w:cs="Arial"/>
        </w:rPr>
        <w:t>abuse</w:t>
      </w:r>
      <w:r w:rsidR="00146471" w:rsidRPr="00F45B40">
        <w:rPr>
          <w:rFonts w:ascii="Arial" w:hAnsi="Arial" w:cs="Arial"/>
        </w:rPr>
        <w:t>s</w:t>
      </w:r>
      <w:r w:rsidR="00310A7C" w:rsidRPr="00F45B40">
        <w:rPr>
          <w:rFonts w:ascii="Arial" w:hAnsi="Arial" w:cs="Arial"/>
        </w:rPr>
        <w:t xml:space="preserve"> </w:t>
      </w:r>
      <w:r w:rsidR="00146471" w:rsidRPr="00F45B40">
        <w:rPr>
          <w:rFonts w:ascii="Arial" w:hAnsi="Arial" w:cs="Arial"/>
        </w:rPr>
        <w:t>its</w:t>
      </w:r>
      <w:r w:rsidR="00310A7C" w:rsidRPr="00F45B40">
        <w:rPr>
          <w:rFonts w:ascii="Arial" w:hAnsi="Arial" w:cs="Arial"/>
        </w:rPr>
        <w:t xml:space="preserve"> discretion if</w:t>
      </w:r>
      <w:r w:rsidR="0020100A" w:rsidRPr="00F45B40">
        <w:rPr>
          <w:rFonts w:ascii="Arial" w:hAnsi="Arial" w:cs="Arial"/>
        </w:rPr>
        <w:t xml:space="preserve"> it</w:t>
      </w:r>
      <w:r w:rsidR="00146471" w:rsidRPr="00F45B40">
        <w:rPr>
          <w:rFonts w:ascii="Arial" w:hAnsi="Arial" w:cs="Arial"/>
        </w:rPr>
        <w:t>s</w:t>
      </w:r>
      <w:r w:rsidR="00310A7C" w:rsidRPr="00F45B40">
        <w:rPr>
          <w:rFonts w:ascii="Arial" w:hAnsi="Arial" w:cs="Arial"/>
        </w:rPr>
        <w:t xml:space="preserve"> fai</w:t>
      </w:r>
      <w:r w:rsidR="00146471" w:rsidRPr="00F45B40">
        <w:rPr>
          <w:rFonts w:ascii="Arial" w:hAnsi="Arial" w:cs="Arial"/>
        </w:rPr>
        <w:t>lure</w:t>
      </w:r>
      <w:r w:rsidR="00310A7C" w:rsidRPr="00F45B40">
        <w:rPr>
          <w:rFonts w:ascii="Arial" w:hAnsi="Arial" w:cs="Arial"/>
        </w:rPr>
        <w:t xml:space="preserve"> to sustain an objection to an</w:t>
      </w:r>
      <w:r w:rsidR="00146471" w:rsidRPr="00F45B40">
        <w:rPr>
          <w:rFonts w:ascii="Arial" w:hAnsi="Arial" w:cs="Arial"/>
        </w:rPr>
        <w:t xml:space="preserve"> </w:t>
      </w:r>
      <w:r w:rsidR="00310A7C" w:rsidRPr="00F45B40">
        <w:rPr>
          <w:rFonts w:ascii="Arial" w:hAnsi="Arial" w:cs="Arial"/>
        </w:rPr>
        <w:t>improper argument</w:t>
      </w:r>
      <w:r w:rsidR="00146471" w:rsidRPr="00F45B40">
        <w:rPr>
          <w:rFonts w:ascii="Arial" w:hAnsi="Arial" w:cs="Arial"/>
        </w:rPr>
        <w:t xml:space="preserve"> could not be the result of a reasoned decision. </w:t>
      </w:r>
      <w:r w:rsidR="00146471" w:rsidRPr="00F45B40">
        <w:rPr>
          <w:rFonts w:ascii="Arial" w:hAnsi="Arial" w:cs="Arial"/>
          <w:i/>
          <w:iCs/>
        </w:rPr>
        <w:t>Id</w:t>
      </w:r>
      <w:r w:rsidR="00146471" w:rsidRPr="00F45B40">
        <w:rPr>
          <w:rFonts w:ascii="Arial" w:hAnsi="Arial" w:cs="Arial"/>
        </w:rPr>
        <w:t>. An abuse of discretion in failing to sustain an objection to an improper argument</w:t>
      </w:r>
      <w:r w:rsidR="00310A7C" w:rsidRPr="00F45B40">
        <w:rPr>
          <w:rFonts w:ascii="Arial" w:hAnsi="Arial" w:cs="Arial"/>
        </w:rPr>
        <w:t xml:space="preserve"> </w:t>
      </w:r>
      <w:r w:rsidR="00146471" w:rsidRPr="00F45B40">
        <w:rPr>
          <w:rFonts w:ascii="Arial" w:hAnsi="Arial" w:cs="Arial"/>
        </w:rPr>
        <w:t>is reversible error if it prejudice</w:t>
      </w:r>
      <w:r w:rsidR="00695BD0" w:rsidRPr="00F45B40">
        <w:rPr>
          <w:rFonts w:ascii="Arial" w:hAnsi="Arial" w:cs="Arial"/>
        </w:rPr>
        <w:t>s</w:t>
      </w:r>
      <w:r w:rsidR="00146471" w:rsidRPr="00F45B40">
        <w:rPr>
          <w:rFonts w:ascii="Arial" w:hAnsi="Arial" w:cs="Arial"/>
        </w:rPr>
        <w:t xml:space="preserve"> the defendant</w:t>
      </w:r>
      <w:r w:rsidR="0020100A" w:rsidRPr="00F45B40">
        <w:rPr>
          <w:rFonts w:ascii="Arial" w:hAnsi="Arial" w:cs="Arial"/>
        </w:rPr>
        <w:t xml:space="preserve">. State v. Copley, 374 N.C. 224, 230 (2020). </w:t>
      </w:r>
      <w:r w:rsidR="00BA2330" w:rsidRPr="00F45B40">
        <w:rPr>
          <w:rFonts w:ascii="Arial" w:hAnsi="Arial" w:cs="Arial"/>
        </w:rPr>
        <w:t>P</w:t>
      </w:r>
      <w:r w:rsidR="00146471" w:rsidRPr="00F45B40">
        <w:rPr>
          <w:rFonts w:ascii="Arial" w:hAnsi="Arial" w:cs="Arial"/>
        </w:rPr>
        <w:t>rejudice ex</w:t>
      </w:r>
      <w:r w:rsidR="00BA2330" w:rsidRPr="00F45B40">
        <w:rPr>
          <w:rFonts w:ascii="Arial" w:hAnsi="Arial" w:cs="Arial"/>
        </w:rPr>
        <w:t>ists</w:t>
      </w:r>
      <w:r w:rsidR="00146471" w:rsidRPr="00F45B40">
        <w:rPr>
          <w:rFonts w:ascii="Arial" w:hAnsi="Arial" w:cs="Arial"/>
        </w:rPr>
        <w:t xml:space="preserve"> whe</w:t>
      </w:r>
      <w:r w:rsidR="00BA2330" w:rsidRPr="00F45B40">
        <w:rPr>
          <w:rFonts w:ascii="Arial" w:hAnsi="Arial" w:cs="Arial"/>
        </w:rPr>
        <w:t>re</w:t>
      </w:r>
      <w:r w:rsidR="00146471" w:rsidRPr="00F45B40">
        <w:rPr>
          <w:rFonts w:ascii="Arial" w:hAnsi="Arial" w:cs="Arial"/>
        </w:rPr>
        <w:t xml:space="preserve"> there is a reasonable possibility</w:t>
      </w:r>
      <w:r w:rsidR="00BA2330" w:rsidRPr="00F45B40">
        <w:rPr>
          <w:rFonts w:ascii="Arial" w:hAnsi="Arial" w:cs="Arial"/>
        </w:rPr>
        <w:t>, accounting for the nature and circumstances of the proceeding,</w:t>
      </w:r>
      <w:r w:rsidR="00146471" w:rsidRPr="00F45B40">
        <w:rPr>
          <w:rFonts w:ascii="Arial" w:hAnsi="Arial" w:cs="Arial"/>
        </w:rPr>
        <w:t xml:space="preserve"> that the jury would have reached a different </w:t>
      </w:r>
      <w:r w:rsidR="00BA2330" w:rsidRPr="00F45B40">
        <w:rPr>
          <w:rFonts w:ascii="Arial" w:hAnsi="Arial" w:cs="Arial"/>
        </w:rPr>
        <w:t>verdict</w:t>
      </w:r>
      <w:r w:rsidR="00146471" w:rsidRPr="00F45B40">
        <w:rPr>
          <w:rFonts w:ascii="Arial" w:hAnsi="Arial" w:cs="Arial"/>
        </w:rPr>
        <w:t xml:space="preserve"> absent the error. </w:t>
      </w:r>
      <w:r w:rsidR="00146471" w:rsidRPr="00F45B40">
        <w:rPr>
          <w:rFonts w:ascii="Arial" w:hAnsi="Arial" w:cs="Arial"/>
          <w:i/>
          <w:iCs/>
        </w:rPr>
        <w:t>Id</w:t>
      </w:r>
      <w:r w:rsidR="00146471" w:rsidRPr="00F45B40">
        <w:rPr>
          <w:rFonts w:ascii="Arial" w:hAnsi="Arial" w:cs="Arial"/>
        </w:rPr>
        <w:t>.</w:t>
      </w:r>
      <w:r w:rsidR="004E58DA" w:rsidRPr="00F45B40">
        <w:rPr>
          <w:rFonts w:ascii="Arial" w:hAnsi="Arial" w:cs="Arial"/>
        </w:rPr>
        <w:t xml:space="preserve"> (observing that an argument deemed improper and prejudicial in one case may not be informative as to the propriety or prejudice of a similar argument in a different case)</w:t>
      </w:r>
      <w:r w:rsidR="00146471" w:rsidRPr="00F45B40">
        <w:rPr>
          <w:rFonts w:ascii="Arial" w:hAnsi="Arial" w:cs="Arial"/>
        </w:rPr>
        <w:t xml:space="preserve">; </w:t>
      </w:r>
      <w:r w:rsidR="00146471" w:rsidRPr="00F45B40">
        <w:rPr>
          <w:rFonts w:ascii="Arial" w:hAnsi="Arial" w:cs="Arial"/>
          <w:i/>
          <w:iCs/>
        </w:rPr>
        <w:t>Jones</w:t>
      </w:r>
      <w:r w:rsidR="00146471" w:rsidRPr="00F45B40">
        <w:rPr>
          <w:rFonts w:ascii="Arial" w:hAnsi="Arial" w:cs="Arial"/>
        </w:rPr>
        <w:t>, 355 N.C. at 134 (observing that whether an improper argument is prejudicial in a capital case may depend on whether the argument is made at the guilt/innocence phase or at the sentencing phase</w:t>
      </w:r>
      <w:r w:rsidR="00695BD0" w:rsidRPr="00F45B40">
        <w:rPr>
          <w:rFonts w:ascii="Arial" w:hAnsi="Arial" w:cs="Arial"/>
        </w:rPr>
        <w:t xml:space="preserve"> of the trial</w:t>
      </w:r>
      <w:r w:rsidR="00146471" w:rsidRPr="00F45B40">
        <w:rPr>
          <w:rFonts w:ascii="Arial" w:hAnsi="Arial" w:cs="Arial"/>
        </w:rPr>
        <w:t>)</w:t>
      </w:r>
      <w:r w:rsidR="00053AF5" w:rsidRPr="00F45B40">
        <w:rPr>
          <w:rFonts w:ascii="Arial" w:hAnsi="Arial" w:cs="Arial"/>
        </w:rPr>
        <w:t xml:space="preserve">; State v. Roache, 358 N.C. 243, 297 (2004) (citing </w:t>
      </w:r>
      <w:r w:rsidR="00053AF5" w:rsidRPr="00F45B40">
        <w:rPr>
          <w:rFonts w:ascii="Arial" w:hAnsi="Arial" w:cs="Arial"/>
          <w:i/>
          <w:iCs/>
        </w:rPr>
        <w:t>Jones</w:t>
      </w:r>
      <w:r w:rsidR="00053AF5" w:rsidRPr="00F45B40">
        <w:rPr>
          <w:rFonts w:ascii="Arial" w:hAnsi="Arial" w:cs="Arial"/>
        </w:rPr>
        <w:t xml:space="preserve"> </w:t>
      </w:r>
      <w:r w:rsidR="00BA2330" w:rsidRPr="00F45B40">
        <w:rPr>
          <w:rFonts w:ascii="Arial" w:hAnsi="Arial" w:cs="Arial"/>
        </w:rPr>
        <w:t xml:space="preserve">favorably </w:t>
      </w:r>
      <w:r w:rsidR="00053AF5" w:rsidRPr="00F45B40">
        <w:rPr>
          <w:rFonts w:ascii="Arial" w:hAnsi="Arial" w:cs="Arial"/>
        </w:rPr>
        <w:t>on this point)</w:t>
      </w:r>
      <w:r w:rsidR="00146471" w:rsidRPr="00F45B40">
        <w:rPr>
          <w:rFonts w:ascii="Arial" w:hAnsi="Arial" w:cs="Arial"/>
        </w:rPr>
        <w:t>.</w:t>
      </w:r>
    </w:p>
    <w:p w14:paraId="01D93F13" w14:textId="138C3737" w:rsidR="00042C0D" w:rsidRPr="00E25DC5" w:rsidRDefault="00E25DC5" w:rsidP="00DB30BF">
      <w:pPr>
        <w:pStyle w:val="ListParagraph"/>
        <w:numPr>
          <w:ilvl w:val="3"/>
          <w:numId w:val="1"/>
        </w:numPr>
        <w:spacing w:after="0" w:line="240" w:lineRule="auto"/>
        <w:ind w:left="2160" w:hanging="720"/>
        <w:rPr>
          <w:rFonts w:ascii="Arial" w:hAnsi="Arial" w:cs="Arial"/>
        </w:rPr>
      </w:pPr>
      <w:bookmarkStart w:id="118" w:name="_Toc163125248"/>
      <w:r>
        <w:rPr>
          <w:rStyle w:val="Heading3Char"/>
        </w:rPr>
        <w:t xml:space="preserve">Defendant </w:t>
      </w:r>
      <w:r w:rsidR="00363278">
        <w:rPr>
          <w:rStyle w:val="Heading3Char"/>
        </w:rPr>
        <w:t>d</w:t>
      </w:r>
      <w:r>
        <w:rPr>
          <w:rStyle w:val="Heading3Char"/>
        </w:rPr>
        <w:t>oes not Object</w:t>
      </w:r>
      <w:bookmarkEnd w:id="118"/>
      <w:r w:rsidRPr="00641284">
        <w:rPr>
          <w:rFonts w:ascii="Arial" w:hAnsi="Arial" w:cs="Arial"/>
          <w:b/>
          <w:bCs/>
        </w:rPr>
        <w:t xml:space="preserve">. </w:t>
      </w:r>
      <w:r w:rsidR="007B6333" w:rsidRPr="00E25DC5">
        <w:rPr>
          <w:rFonts w:ascii="Arial" w:hAnsi="Arial" w:cs="Arial"/>
        </w:rPr>
        <w:t xml:space="preserve">If the defendant fails to object, the appellate courts determine whether the argument is so grossly improper that the trial court erred in failing to intervene </w:t>
      </w:r>
      <w:r w:rsidR="007B6333" w:rsidRPr="00E25DC5">
        <w:rPr>
          <w:rFonts w:ascii="Arial" w:hAnsi="Arial" w:cs="Arial"/>
          <w:i/>
          <w:iCs/>
        </w:rPr>
        <w:t xml:space="preserve">ex </w:t>
      </w:r>
      <w:proofErr w:type="spellStart"/>
      <w:r w:rsidR="007B6333" w:rsidRPr="00E25DC5">
        <w:rPr>
          <w:rFonts w:ascii="Arial" w:hAnsi="Arial" w:cs="Arial"/>
          <w:i/>
          <w:iCs/>
        </w:rPr>
        <w:t>mero</w:t>
      </w:r>
      <w:proofErr w:type="spellEnd"/>
      <w:r w:rsidR="007B6333" w:rsidRPr="00E25DC5">
        <w:rPr>
          <w:rFonts w:ascii="Arial" w:hAnsi="Arial" w:cs="Arial"/>
          <w:i/>
          <w:iCs/>
        </w:rPr>
        <w:t xml:space="preserve"> motu</w:t>
      </w:r>
      <w:r w:rsidR="007B6333" w:rsidRPr="00E25DC5">
        <w:rPr>
          <w:rFonts w:ascii="Arial" w:hAnsi="Arial" w:cs="Arial"/>
        </w:rPr>
        <w:t xml:space="preserve">. </w:t>
      </w:r>
      <w:r w:rsidR="00BA2330" w:rsidRPr="00E25DC5">
        <w:rPr>
          <w:rFonts w:ascii="Arial" w:hAnsi="Arial" w:cs="Arial"/>
          <w:i/>
          <w:iCs/>
        </w:rPr>
        <w:t>Jones</w:t>
      </w:r>
      <w:r w:rsidR="00BA2330" w:rsidRPr="00E25DC5">
        <w:rPr>
          <w:rFonts w:ascii="Arial" w:hAnsi="Arial" w:cs="Arial"/>
        </w:rPr>
        <w:t>, 355 N.C.</w:t>
      </w:r>
      <w:r w:rsidR="007B6333" w:rsidRPr="00E25DC5">
        <w:rPr>
          <w:rFonts w:ascii="Arial" w:hAnsi="Arial" w:cs="Arial"/>
        </w:rPr>
        <w:t xml:space="preserve"> at 134.</w:t>
      </w:r>
      <w:r w:rsidR="00B35F33" w:rsidRPr="00E25DC5">
        <w:rPr>
          <w:rFonts w:ascii="Arial" w:hAnsi="Arial" w:cs="Arial"/>
        </w:rPr>
        <w:t xml:space="preserve"> </w:t>
      </w:r>
      <w:r w:rsidR="00BA2330" w:rsidRPr="00E25DC5">
        <w:rPr>
          <w:rFonts w:ascii="Arial" w:hAnsi="Arial" w:cs="Arial"/>
        </w:rPr>
        <w:t>A</w:t>
      </w:r>
      <w:r w:rsidR="00363278">
        <w:rPr>
          <w:rFonts w:ascii="Arial" w:hAnsi="Arial" w:cs="Arial"/>
        </w:rPr>
        <w:t>s discussed above, a</w:t>
      </w:r>
      <w:r w:rsidR="00BA2330" w:rsidRPr="00E25DC5">
        <w:rPr>
          <w:rFonts w:ascii="Arial" w:hAnsi="Arial" w:cs="Arial"/>
        </w:rPr>
        <w:t xml:space="preserve"> failure to intervene </w:t>
      </w:r>
      <w:r w:rsidR="00BA2330" w:rsidRPr="00E25DC5">
        <w:rPr>
          <w:rFonts w:ascii="Arial" w:hAnsi="Arial" w:cs="Arial"/>
          <w:i/>
          <w:iCs/>
        </w:rPr>
        <w:t xml:space="preserve">ex </w:t>
      </w:r>
      <w:proofErr w:type="spellStart"/>
      <w:r w:rsidR="00BA2330" w:rsidRPr="00E25DC5">
        <w:rPr>
          <w:rFonts w:ascii="Arial" w:hAnsi="Arial" w:cs="Arial"/>
          <w:i/>
          <w:iCs/>
        </w:rPr>
        <w:t>mero</w:t>
      </w:r>
      <w:proofErr w:type="spellEnd"/>
      <w:r w:rsidR="00BA2330" w:rsidRPr="00E25DC5">
        <w:rPr>
          <w:rFonts w:ascii="Arial" w:hAnsi="Arial" w:cs="Arial"/>
          <w:i/>
          <w:iCs/>
        </w:rPr>
        <w:t xml:space="preserve"> motu </w:t>
      </w:r>
      <w:r w:rsidR="00BA2330" w:rsidRPr="00E25DC5">
        <w:rPr>
          <w:rFonts w:ascii="Arial" w:hAnsi="Arial" w:cs="Arial"/>
        </w:rPr>
        <w:t xml:space="preserve">is reversible error only when an argument involves “extreme impropriety” by a prosecutor rendering the trial fundamentally unfair as a matter of due process. </w:t>
      </w:r>
      <w:r w:rsidR="00BA2330" w:rsidRPr="00E25DC5">
        <w:rPr>
          <w:rFonts w:ascii="Arial" w:hAnsi="Arial" w:cs="Arial"/>
          <w:i/>
          <w:iCs/>
        </w:rPr>
        <w:t>See</w:t>
      </w:r>
      <w:r w:rsidR="00BA2330" w:rsidRPr="00E25DC5">
        <w:rPr>
          <w:rFonts w:ascii="Arial" w:hAnsi="Arial" w:cs="Arial"/>
        </w:rPr>
        <w:t xml:space="preserve"> </w:t>
      </w:r>
      <w:r w:rsidR="00F25571" w:rsidRPr="00E25DC5">
        <w:rPr>
          <w:rFonts w:ascii="Arial" w:hAnsi="Arial" w:cs="Arial"/>
        </w:rPr>
        <w:t xml:space="preserve">State v. Parker, 377 N.C. 466, 472 (2021); </w:t>
      </w:r>
      <w:r w:rsidR="00BA2330" w:rsidRPr="00E25DC5">
        <w:rPr>
          <w:rFonts w:ascii="Arial" w:hAnsi="Arial" w:cs="Arial"/>
        </w:rPr>
        <w:t>State v. Huey, 370 N.C. 174, 180-81 (2017).</w:t>
      </w:r>
      <w:r w:rsidR="00945F1A">
        <w:rPr>
          <w:rFonts w:ascii="Arial" w:hAnsi="Arial" w:cs="Arial"/>
        </w:rPr>
        <w:t xml:space="preserve"> The defendant bears the burden of showing prejudice from the trial court’s failure to intervene.</w:t>
      </w:r>
    </w:p>
    <w:p w14:paraId="4BD28398" w14:textId="6B41FACF" w:rsidR="007B6333" w:rsidRPr="00E25DC5" w:rsidRDefault="00E25DC5" w:rsidP="00DB30BF">
      <w:pPr>
        <w:pStyle w:val="ListParagraph"/>
        <w:numPr>
          <w:ilvl w:val="3"/>
          <w:numId w:val="1"/>
        </w:numPr>
        <w:spacing w:after="0" w:line="240" w:lineRule="auto"/>
        <w:ind w:left="2160" w:hanging="720"/>
        <w:rPr>
          <w:rFonts w:ascii="Arial" w:hAnsi="Arial" w:cs="Arial"/>
        </w:rPr>
      </w:pPr>
      <w:r>
        <w:rPr>
          <w:rFonts w:ascii="Arial" w:hAnsi="Arial" w:cs="Arial"/>
          <w:b/>
          <w:bCs/>
        </w:rPr>
        <w:t xml:space="preserve">Arguments </w:t>
      </w:r>
      <w:r w:rsidR="00363278">
        <w:rPr>
          <w:rFonts w:ascii="Arial" w:hAnsi="Arial" w:cs="Arial"/>
          <w:b/>
          <w:bCs/>
        </w:rPr>
        <w:t xml:space="preserve">Infringing Upon </w:t>
      </w:r>
      <w:r w:rsidR="00796186">
        <w:rPr>
          <w:rFonts w:ascii="Arial" w:hAnsi="Arial" w:cs="Arial"/>
          <w:b/>
          <w:bCs/>
        </w:rPr>
        <w:t>Constitutional</w:t>
      </w:r>
      <w:r w:rsidR="00363278">
        <w:rPr>
          <w:rFonts w:ascii="Arial" w:hAnsi="Arial" w:cs="Arial"/>
          <w:b/>
          <w:bCs/>
        </w:rPr>
        <w:t xml:space="preserve"> Rights</w:t>
      </w:r>
      <w:r w:rsidRPr="00641284">
        <w:rPr>
          <w:rFonts w:ascii="Arial" w:hAnsi="Arial" w:cs="Arial"/>
          <w:b/>
          <w:bCs/>
        </w:rPr>
        <w:t xml:space="preserve">. </w:t>
      </w:r>
      <w:r w:rsidR="00DA44C0" w:rsidRPr="00E25DC5">
        <w:rPr>
          <w:rFonts w:ascii="Arial" w:hAnsi="Arial" w:cs="Arial"/>
        </w:rPr>
        <w:t>W</w:t>
      </w:r>
      <w:r w:rsidR="00495DD3" w:rsidRPr="00E25DC5">
        <w:rPr>
          <w:rFonts w:ascii="Arial" w:hAnsi="Arial" w:cs="Arial"/>
        </w:rPr>
        <w:t>he</w:t>
      </w:r>
      <w:r w:rsidR="00DA44C0" w:rsidRPr="00E25DC5">
        <w:rPr>
          <w:rFonts w:ascii="Arial" w:hAnsi="Arial" w:cs="Arial"/>
        </w:rPr>
        <w:t>n</w:t>
      </w:r>
      <w:r w:rsidR="00B35F33" w:rsidRPr="00E25DC5">
        <w:rPr>
          <w:rFonts w:ascii="Arial" w:hAnsi="Arial" w:cs="Arial"/>
        </w:rPr>
        <w:t xml:space="preserve"> a</w:t>
      </w:r>
      <w:r w:rsidR="00DA44C0" w:rsidRPr="00E25DC5">
        <w:rPr>
          <w:rFonts w:ascii="Arial" w:hAnsi="Arial" w:cs="Arial"/>
        </w:rPr>
        <w:t xml:space="preserve"> defendant objects to a</w:t>
      </w:r>
      <w:r w:rsidR="00B35F33" w:rsidRPr="00E25DC5">
        <w:rPr>
          <w:rFonts w:ascii="Arial" w:hAnsi="Arial" w:cs="Arial"/>
        </w:rPr>
        <w:t xml:space="preserve"> prosecutor</w:t>
      </w:r>
      <w:r w:rsidR="00DA44C0" w:rsidRPr="00E25DC5">
        <w:rPr>
          <w:rFonts w:ascii="Arial" w:hAnsi="Arial" w:cs="Arial"/>
        </w:rPr>
        <w:t>’s</w:t>
      </w:r>
      <w:r w:rsidR="00B35F33" w:rsidRPr="00E25DC5">
        <w:rPr>
          <w:rFonts w:ascii="Arial" w:hAnsi="Arial" w:cs="Arial"/>
        </w:rPr>
        <w:t xml:space="preserve"> improper argument </w:t>
      </w:r>
      <w:r w:rsidR="00FE0BD4" w:rsidRPr="00E25DC5">
        <w:rPr>
          <w:rFonts w:ascii="Arial" w:hAnsi="Arial" w:cs="Arial"/>
        </w:rPr>
        <w:t xml:space="preserve">directly implicating and </w:t>
      </w:r>
      <w:r w:rsidR="00B35F33" w:rsidRPr="00E25DC5">
        <w:rPr>
          <w:rFonts w:ascii="Arial" w:hAnsi="Arial" w:cs="Arial"/>
        </w:rPr>
        <w:t>infring</w:t>
      </w:r>
      <w:r w:rsidR="00DA44C0" w:rsidRPr="00E25DC5">
        <w:rPr>
          <w:rFonts w:ascii="Arial" w:hAnsi="Arial" w:cs="Arial"/>
        </w:rPr>
        <w:t>ing</w:t>
      </w:r>
      <w:r w:rsidR="00B35F33" w:rsidRPr="00E25DC5">
        <w:rPr>
          <w:rFonts w:ascii="Arial" w:hAnsi="Arial" w:cs="Arial"/>
        </w:rPr>
        <w:t xml:space="preserve"> upon </w:t>
      </w:r>
      <w:r w:rsidR="00DA44C0" w:rsidRPr="00E25DC5">
        <w:rPr>
          <w:rFonts w:ascii="Arial" w:hAnsi="Arial" w:cs="Arial"/>
        </w:rPr>
        <w:t>the</w:t>
      </w:r>
      <w:r w:rsidR="00B35F33" w:rsidRPr="00E25DC5">
        <w:rPr>
          <w:rFonts w:ascii="Arial" w:hAnsi="Arial" w:cs="Arial"/>
        </w:rPr>
        <w:t xml:space="preserve"> defendant’s constitutional rights, for example an improper argument concerning a defendant’s failure to testify or a defendant’s exercise of his or her right to a jury trial,</w:t>
      </w:r>
      <w:r w:rsidR="00042C0D" w:rsidRPr="00E25DC5">
        <w:rPr>
          <w:rFonts w:ascii="Arial" w:hAnsi="Arial" w:cs="Arial"/>
        </w:rPr>
        <w:t xml:space="preserve"> it is reversible error for the trial court to </w:t>
      </w:r>
      <w:r w:rsidR="00DA44C0" w:rsidRPr="00E25DC5">
        <w:rPr>
          <w:rFonts w:ascii="Arial" w:hAnsi="Arial" w:cs="Arial"/>
        </w:rPr>
        <w:t xml:space="preserve">fail to sustain the objection or to </w:t>
      </w:r>
      <w:r w:rsidR="00042C0D" w:rsidRPr="00E25DC5">
        <w:rPr>
          <w:rFonts w:ascii="Arial" w:hAnsi="Arial" w:cs="Arial"/>
        </w:rPr>
        <w:t xml:space="preserve">sustain </w:t>
      </w:r>
      <w:r w:rsidR="00DA44C0" w:rsidRPr="00E25DC5">
        <w:rPr>
          <w:rFonts w:ascii="Arial" w:hAnsi="Arial" w:cs="Arial"/>
        </w:rPr>
        <w:t>the</w:t>
      </w:r>
      <w:r w:rsidR="00042C0D" w:rsidRPr="00E25DC5">
        <w:rPr>
          <w:rFonts w:ascii="Arial" w:hAnsi="Arial" w:cs="Arial"/>
        </w:rPr>
        <w:t xml:space="preserve"> objection but fail to give a </w:t>
      </w:r>
      <w:r w:rsidR="00DA44C0" w:rsidRPr="00E25DC5">
        <w:rPr>
          <w:rFonts w:ascii="Arial" w:hAnsi="Arial" w:cs="Arial"/>
        </w:rPr>
        <w:t>timely and specific</w:t>
      </w:r>
      <w:r w:rsidR="00042C0D" w:rsidRPr="00E25DC5">
        <w:rPr>
          <w:rFonts w:ascii="Arial" w:hAnsi="Arial" w:cs="Arial"/>
        </w:rPr>
        <w:t xml:space="preserve"> curative instruction, unless </w:t>
      </w:r>
      <w:r w:rsidR="00B35F33" w:rsidRPr="00E25DC5">
        <w:rPr>
          <w:rFonts w:ascii="Arial" w:hAnsi="Arial" w:cs="Arial"/>
        </w:rPr>
        <w:t>the State show</w:t>
      </w:r>
      <w:r w:rsidR="00042C0D" w:rsidRPr="00E25DC5">
        <w:rPr>
          <w:rFonts w:ascii="Arial" w:hAnsi="Arial" w:cs="Arial"/>
        </w:rPr>
        <w:t>s</w:t>
      </w:r>
      <w:r w:rsidR="00B35F33" w:rsidRPr="00E25DC5">
        <w:rPr>
          <w:rFonts w:ascii="Arial" w:hAnsi="Arial" w:cs="Arial"/>
        </w:rPr>
        <w:t xml:space="preserve"> the error to be harmless beyond a reasonable doubt. </w:t>
      </w:r>
      <w:r w:rsidR="00495DD3" w:rsidRPr="00E25DC5">
        <w:rPr>
          <w:rFonts w:ascii="Arial" w:hAnsi="Arial" w:cs="Arial"/>
          <w:i/>
          <w:iCs/>
        </w:rPr>
        <w:t>See, e.g.</w:t>
      </w:r>
      <w:r w:rsidR="00495DD3" w:rsidRPr="00E25DC5">
        <w:rPr>
          <w:rFonts w:ascii="Arial" w:hAnsi="Arial" w:cs="Arial"/>
        </w:rPr>
        <w:t>,</w:t>
      </w:r>
      <w:r w:rsidR="00495DD3" w:rsidRPr="00E25DC5">
        <w:rPr>
          <w:rFonts w:ascii="Arial" w:hAnsi="Arial" w:cs="Arial"/>
          <w:i/>
          <w:iCs/>
        </w:rPr>
        <w:t xml:space="preserve"> </w:t>
      </w:r>
      <w:r w:rsidR="00B35F33" w:rsidRPr="00E25DC5">
        <w:rPr>
          <w:rFonts w:ascii="Arial" w:hAnsi="Arial" w:cs="Arial"/>
        </w:rPr>
        <w:t>State v. Kemmerlin, 356 N.C. 446, 482 (2002)</w:t>
      </w:r>
      <w:r w:rsidR="00DA44C0" w:rsidRPr="00E25DC5">
        <w:rPr>
          <w:rFonts w:ascii="Arial" w:hAnsi="Arial" w:cs="Arial"/>
        </w:rPr>
        <w:t xml:space="preserve"> (trial court cured prosecutor’s improper references to defendant’s exercise of right to jury trial and failure to testify by sustaining objection and giving immediate curative instruction)</w:t>
      </w:r>
      <w:r w:rsidR="00B35F33" w:rsidRPr="00E25DC5">
        <w:rPr>
          <w:rFonts w:ascii="Arial" w:hAnsi="Arial" w:cs="Arial"/>
        </w:rPr>
        <w:t>;</w:t>
      </w:r>
      <w:r w:rsidR="00495DD3" w:rsidRPr="00E25DC5">
        <w:rPr>
          <w:rFonts w:ascii="Arial" w:hAnsi="Arial" w:cs="Arial"/>
        </w:rPr>
        <w:t xml:space="preserve"> State v. Reid, 334 N.C. 551 (1993)</w:t>
      </w:r>
      <w:r w:rsidR="00DA44C0" w:rsidRPr="00E25DC5">
        <w:rPr>
          <w:rFonts w:ascii="Arial" w:hAnsi="Arial" w:cs="Arial"/>
        </w:rPr>
        <w:t xml:space="preserve"> (trial court committed reversible error by not sustaining defendant’s objection to prosecutor’s reference to his failure to testify)</w:t>
      </w:r>
      <w:r w:rsidR="00495DD3" w:rsidRPr="00E25DC5">
        <w:rPr>
          <w:rFonts w:ascii="Arial" w:hAnsi="Arial" w:cs="Arial"/>
        </w:rPr>
        <w:t>;</w:t>
      </w:r>
      <w:r w:rsidR="00D72011">
        <w:rPr>
          <w:rFonts w:ascii="Arial" w:hAnsi="Arial" w:cs="Arial"/>
        </w:rPr>
        <w:t xml:space="preserve"> State v. McCall, 286 N.C. 472, 487 (1975) (trial court committed reversible error by sustaining </w:t>
      </w:r>
      <w:r w:rsidR="00D72011">
        <w:rPr>
          <w:rFonts w:ascii="Arial" w:hAnsi="Arial" w:cs="Arial"/>
        </w:rPr>
        <w:lastRenderedPageBreak/>
        <w:t>objection to prosecutor’s comment on defendant’s right to not testify without providing curative instruction);</w:t>
      </w:r>
      <w:r w:rsidR="00495DD3" w:rsidRPr="00E25DC5">
        <w:rPr>
          <w:rFonts w:ascii="Arial" w:hAnsi="Arial" w:cs="Arial"/>
        </w:rPr>
        <w:t xml:space="preserve"> </w:t>
      </w:r>
      <w:r w:rsidR="00495DD3" w:rsidRPr="00E25DC5">
        <w:rPr>
          <w:rFonts w:ascii="Arial" w:hAnsi="Arial" w:cs="Arial"/>
          <w:i/>
          <w:iCs/>
        </w:rPr>
        <w:t>see also</w:t>
      </w:r>
      <w:r w:rsidR="00B35F33" w:rsidRPr="00E25DC5">
        <w:rPr>
          <w:rFonts w:ascii="Arial" w:hAnsi="Arial" w:cs="Arial"/>
        </w:rPr>
        <w:t xml:space="preserve"> </w:t>
      </w:r>
      <w:r w:rsidR="00495DD3" w:rsidRPr="00E25DC5">
        <w:rPr>
          <w:rFonts w:ascii="Arial" w:hAnsi="Arial" w:cs="Arial"/>
        </w:rPr>
        <w:t xml:space="preserve">State v. Branche, ___ N.C. App. ___, </w:t>
      </w:r>
      <w:r w:rsidR="00FB164D">
        <w:rPr>
          <w:rFonts w:ascii="Arial" w:hAnsi="Arial" w:cs="Arial"/>
        </w:rPr>
        <w:t>895 S.E.2d 597, 609</w:t>
      </w:r>
      <w:r w:rsidR="00495DD3" w:rsidRPr="00E25DC5">
        <w:rPr>
          <w:rFonts w:ascii="Arial" w:hAnsi="Arial" w:cs="Arial"/>
        </w:rPr>
        <w:t xml:space="preserve"> (2023)</w:t>
      </w:r>
      <w:r w:rsidR="00DA44C0" w:rsidRPr="00E25DC5">
        <w:rPr>
          <w:rFonts w:ascii="Arial" w:hAnsi="Arial" w:cs="Arial"/>
        </w:rPr>
        <w:t xml:space="preserve"> (trial court’s failure to cure prosecutor’s reference to defendant’s failure to testify after sustaining objection thereto was harmless error)</w:t>
      </w:r>
      <w:r w:rsidR="00B35F33" w:rsidRPr="00E25DC5">
        <w:rPr>
          <w:rFonts w:ascii="Arial" w:hAnsi="Arial" w:cs="Arial"/>
        </w:rPr>
        <w:t>.</w:t>
      </w:r>
      <w:r w:rsidR="00495DD3" w:rsidRPr="00E25DC5">
        <w:rPr>
          <w:rFonts w:ascii="Arial" w:hAnsi="Arial" w:cs="Arial"/>
        </w:rPr>
        <w:t xml:space="preserve"> </w:t>
      </w:r>
      <w:r w:rsidR="00042C0D" w:rsidRPr="00E25DC5">
        <w:rPr>
          <w:rFonts w:ascii="Arial" w:hAnsi="Arial" w:cs="Arial"/>
        </w:rPr>
        <w:t xml:space="preserve">If a defendant fails to object to such an improper argument, the appellate courts require the defendant to show that the </w:t>
      </w:r>
      <w:r w:rsidR="00DC0AA1">
        <w:rPr>
          <w:rFonts w:ascii="Arial" w:hAnsi="Arial" w:cs="Arial"/>
        </w:rPr>
        <w:t xml:space="preserve">trial court’s failure to intervene </w:t>
      </w:r>
      <w:r w:rsidR="00DC0AA1">
        <w:rPr>
          <w:rFonts w:ascii="Arial" w:hAnsi="Arial" w:cs="Arial"/>
          <w:i/>
          <w:iCs/>
        </w:rPr>
        <w:t xml:space="preserve">ex </w:t>
      </w:r>
      <w:proofErr w:type="spellStart"/>
      <w:r w:rsidR="00DC0AA1">
        <w:rPr>
          <w:rFonts w:ascii="Arial" w:hAnsi="Arial" w:cs="Arial"/>
          <w:i/>
          <w:iCs/>
        </w:rPr>
        <w:t>mero</w:t>
      </w:r>
      <w:proofErr w:type="spellEnd"/>
      <w:r w:rsidR="00DC0AA1">
        <w:rPr>
          <w:rFonts w:ascii="Arial" w:hAnsi="Arial" w:cs="Arial"/>
          <w:i/>
          <w:iCs/>
        </w:rPr>
        <w:t xml:space="preserve"> motu </w:t>
      </w:r>
      <w:r w:rsidR="00042C0D" w:rsidRPr="00E25DC5">
        <w:rPr>
          <w:rFonts w:ascii="Arial" w:hAnsi="Arial" w:cs="Arial"/>
        </w:rPr>
        <w:t>was prejudicial</w:t>
      </w:r>
      <w:r w:rsidR="003A5D8B" w:rsidRPr="00E25DC5">
        <w:rPr>
          <w:rFonts w:ascii="Arial" w:hAnsi="Arial" w:cs="Arial"/>
        </w:rPr>
        <w:t xml:space="preserve">. </w:t>
      </w:r>
      <w:r w:rsidR="003A5D8B" w:rsidRPr="00E25DC5">
        <w:rPr>
          <w:rFonts w:ascii="Arial" w:hAnsi="Arial" w:cs="Arial"/>
          <w:i/>
          <w:iCs/>
        </w:rPr>
        <w:t>See</w:t>
      </w:r>
      <w:r w:rsidR="003A5D8B" w:rsidRPr="00E25DC5">
        <w:rPr>
          <w:rFonts w:ascii="Arial" w:hAnsi="Arial" w:cs="Arial"/>
        </w:rPr>
        <w:t xml:space="preserve"> </w:t>
      </w:r>
      <w:r w:rsidR="00495DD3" w:rsidRPr="00E25DC5">
        <w:rPr>
          <w:rFonts w:ascii="Arial" w:hAnsi="Arial" w:cs="Arial"/>
        </w:rPr>
        <w:t xml:space="preserve">State v. Goins, 377 N.C. 475, 478 (2021) (putting burden on defendant to show prejudice arising from prosecutor’s improper </w:t>
      </w:r>
      <w:r w:rsidR="00DA44C0" w:rsidRPr="00E25DC5">
        <w:rPr>
          <w:rFonts w:ascii="Arial" w:hAnsi="Arial" w:cs="Arial"/>
        </w:rPr>
        <w:t>reference to his</w:t>
      </w:r>
      <w:r w:rsidR="00495DD3" w:rsidRPr="00E25DC5">
        <w:rPr>
          <w:rFonts w:ascii="Arial" w:hAnsi="Arial" w:cs="Arial"/>
        </w:rPr>
        <w:t xml:space="preserve"> decision to plead not guilty</w:t>
      </w:r>
      <w:r w:rsidR="00042C0D" w:rsidRPr="00E25DC5">
        <w:rPr>
          <w:rFonts w:ascii="Arial" w:hAnsi="Arial" w:cs="Arial"/>
        </w:rPr>
        <w:t xml:space="preserve"> where the defendant did not object at trial</w:t>
      </w:r>
      <w:r w:rsidR="00495DD3" w:rsidRPr="00E25DC5">
        <w:rPr>
          <w:rFonts w:ascii="Arial" w:hAnsi="Arial" w:cs="Arial"/>
        </w:rPr>
        <w:t xml:space="preserve">). </w:t>
      </w:r>
    </w:p>
    <w:p w14:paraId="660F380E" w14:textId="77777777" w:rsidR="00304356" w:rsidRDefault="00304356" w:rsidP="008456DE">
      <w:pPr>
        <w:spacing w:after="0" w:line="240" w:lineRule="auto"/>
        <w:jc w:val="center"/>
        <w:rPr>
          <w:rFonts w:ascii="Arial" w:hAnsi="Arial" w:cs="Arial"/>
          <w:sz w:val="16"/>
          <w:szCs w:val="16"/>
        </w:rPr>
      </w:pPr>
    </w:p>
    <w:p w14:paraId="15F8F354" w14:textId="77777777" w:rsidR="001D2460" w:rsidRDefault="001D2460" w:rsidP="008456DE">
      <w:pPr>
        <w:spacing w:after="0" w:line="240" w:lineRule="auto"/>
        <w:jc w:val="center"/>
        <w:rPr>
          <w:rFonts w:ascii="Arial" w:hAnsi="Arial" w:cs="Arial"/>
          <w:sz w:val="16"/>
          <w:szCs w:val="16"/>
        </w:rPr>
      </w:pPr>
    </w:p>
    <w:p w14:paraId="69D4FC6A" w14:textId="77777777" w:rsidR="001D2460" w:rsidRDefault="001D2460" w:rsidP="008456DE">
      <w:pPr>
        <w:spacing w:after="0" w:line="240" w:lineRule="auto"/>
        <w:jc w:val="center"/>
        <w:rPr>
          <w:rFonts w:ascii="Arial" w:hAnsi="Arial" w:cs="Arial"/>
          <w:sz w:val="16"/>
          <w:szCs w:val="16"/>
        </w:rPr>
      </w:pPr>
    </w:p>
    <w:p w14:paraId="13310A93" w14:textId="77777777" w:rsidR="001D2460" w:rsidRDefault="001D2460" w:rsidP="008456DE">
      <w:pPr>
        <w:spacing w:after="0" w:line="240" w:lineRule="auto"/>
        <w:jc w:val="center"/>
        <w:rPr>
          <w:rFonts w:ascii="Arial" w:hAnsi="Arial" w:cs="Arial"/>
          <w:sz w:val="16"/>
          <w:szCs w:val="16"/>
        </w:rPr>
      </w:pPr>
    </w:p>
    <w:p w14:paraId="58534E70" w14:textId="77777777" w:rsidR="001D2460" w:rsidRDefault="001D2460" w:rsidP="008456DE">
      <w:pPr>
        <w:spacing w:after="0" w:line="240" w:lineRule="auto"/>
        <w:jc w:val="center"/>
        <w:rPr>
          <w:rFonts w:ascii="Arial" w:hAnsi="Arial" w:cs="Arial"/>
          <w:sz w:val="16"/>
          <w:szCs w:val="16"/>
        </w:rPr>
      </w:pPr>
    </w:p>
    <w:p w14:paraId="698CE694" w14:textId="77777777" w:rsidR="001D2460" w:rsidRDefault="001D2460" w:rsidP="008456DE">
      <w:pPr>
        <w:spacing w:after="0" w:line="240" w:lineRule="auto"/>
        <w:jc w:val="center"/>
        <w:rPr>
          <w:rFonts w:ascii="Arial" w:hAnsi="Arial" w:cs="Arial"/>
          <w:sz w:val="16"/>
          <w:szCs w:val="16"/>
        </w:rPr>
      </w:pPr>
    </w:p>
    <w:p w14:paraId="7A210050" w14:textId="77777777" w:rsidR="00304356" w:rsidRDefault="00304356" w:rsidP="008456DE">
      <w:pPr>
        <w:spacing w:after="0" w:line="240" w:lineRule="auto"/>
        <w:jc w:val="center"/>
        <w:rPr>
          <w:rFonts w:ascii="Arial" w:hAnsi="Arial" w:cs="Arial"/>
          <w:sz w:val="16"/>
          <w:szCs w:val="16"/>
        </w:rPr>
      </w:pPr>
    </w:p>
    <w:p w14:paraId="43721305" w14:textId="77777777" w:rsidR="008456DE" w:rsidRDefault="008456DE" w:rsidP="008456DE">
      <w:pPr>
        <w:spacing w:after="0" w:line="240" w:lineRule="auto"/>
        <w:jc w:val="center"/>
        <w:rPr>
          <w:rFonts w:ascii="Arial" w:hAnsi="Arial" w:cs="Arial"/>
          <w:sz w:val="16"/>
          <w:szCs w:val="16"/>
        </w:rPr>
      </w:pPr>
    </w:p>
    <w:p w14:paraId="4F27CA66" w14:textId="77777777" w:rsidR="008456DE" w:rsidRDefault="008456DE" w:rsidP="008456DE">
      <w:pPr>
        <w:spacing w:after="0" w:line="240" w:lineRule="auto"/>
        <w:jc w:val="center"/>
        <w:rPr>
          <w:rFonts w:ascii="Arial" w:hAnsi="Arial" w:cs="Arial"/>
          <w:sz w:val="16"/>
          <w:szCs w:val="16"/>
        </w:rPr>
      </w:pPr>
    </w:p>
    <w:p w14:paraId="5E882EB7" w14:textId="77777777" w:rsidR="008456DE" w:rsidRDefault="008456DE" w:rsidP="008456DE">
      <w:pPr>
        <w:spacing w:after="0" w:line="240" w:lineRule="auto"/>
        <w:jc w:val="center"/>
        <w:rPr>
          <w:rFonts w:ascii="Arial" w:hAnsi="Arial" w:cs="Arial"/>
          <w:sz w:val="16"/>
          <w:szCs w:val="16"/>
        </w:rPr>
      </w:pPr>
    </w:p>
    <w:p w14:paraId="094578DA" w14:textId="77777777" w:rsidR="008456DE" w:rsidRDefault="008456DE" w:rsidP="008456DE">
      <w:pPr>
        <w:spacing w:after="0" w:line="240" w:lineRule="auto"/>
        <w:jc w:val="center"/>
        <w:rPr>
          <w:rFonts w:ascii="Arial" w:hAnsi="Arial" w:cs="Arial"/>
          <w:sz w:val="16"/>
          <w:szCs w:val="16"/>
        </w:rPr>
      </w:pPr>
    </w:p>
    <w:p w14:paraId="4EDBA01D" w14:textId="77777777" w:rsidR="008456DE" w:rsidRDefault="008456DE" w:rsidP="008456DE">
      <w:pPr>
        <w:spacing w:after="0" w:line="240" w:lineRule="auto"/>
        <w:jc w:val="center"/>
        <w:rPr>
          <w:rFonts w:ascii="Arial" w:hAnsi="Arial" w:cs="Arial"/>
          <w:sz w:val="16"/>
          <w:szCs w:val="16"/>
        </w:rPr>
      </w:pPr>
    </w:p>
    <w:p w14:paraId="6ED54D58" w14:textId="77777777" w:rsidR="008456DE" w:rsidRDefault="008456DE" w:rsidP="008456DE">
      <w:pPr>
        <w:spacing w:after="0" w:line="240" w:lineRule="auto"/>
        <w:jc w:val="center"/>
        <w:rPr>
          <w:rFonts w:ascii="Arial" w:hAnsi="Arial" w:cs="Arial"/>
          <w:sz w:val="16"/>
          <w:szCs w:val="16"/>
        </w:rPr>
      </w:pPr>
    </w:p>
    <w:p w14:paraId="47518271" w14:textId="77777777" w:rsidR="008456DE" w:rsidRDefault="008456DE" w:rsidP="008456DE">
      <w:pPr>
        <w:spacing w:after="0" w:line="240" w:lineRule="auto"/>
        <w:jc w:val="center"/>
        <w:rPr>
          <w:rFonts w:ascii="Arial" w:hAnsi="Arial" w:cs="Arial"/>
          <w:sz w:val="16"/>
          <w:szCs w:val="16"/>
        </w:rPr>
      </w:pPr>
    </w:p>
    <w:p w14:paraId="0D197A71" w14:textId="77777777" w:rsidR="008456DE" w:rsidRDefault="008456DE" w:rsidP="008456DE">
      <w:pPr>
        <w:spacing w:after="0" w:line="240" w:lineRule="auto"/>
        <w:jc w:val="center"/>
        <w:rPr>
          <w:rFonts w:ascii="Arial" w:hAnsi="Arial" w:cs="Arial"/>
          <w:sz w:val="16"/>
          <w:szCs w:val="16"/>
        </w:rPr>
      </w:pPr>
    </w:p>
    <w:p w14:paraId="7729660D" w14:textId="77777777" w:rsidR="008456DE" w:rsidRDefault="008456DE" w:rsidP="008456DE">
      <w:pPr>
        <w:spacing w:after="0" w:line="240" w:lineRule="auto"/>
        <w:jc w:val="center"/>
        <w:rPr>
          <w:rFonts w:ascii="Arial" w:hAnsi="Arial" w:cs="Arial"/>
          <w:sz w:val="16"/>
          <w:szCs w:val="16"/>
        </w:rPr>
      </w:pPr>
    </w:p>
    <w:p w14:paraId="5FB2C8C7" w14:textId="77777777" w:rsidR="008456DE" w:rsidRDefault="008456DE" w:rsidP="008456DE">
      <w:pPr>
        <w:spacing w:after="0" w:line="240" w:lineRule="auto"/>
        <w:jc w:val="center"/>
        <w:rPr>
          <w:rFonts w:ascii="Arial" w:hAnsi="Arial" w:cs="Arial"/>
          <w:sz w:val="16"/>
          <w:szCs w:val="16"/>
        </w:rPr>
      </w:pPr>
    </w:p>
    <w:p w14:paraId="2C9C5A6D" w14:textId="77777777" w:rsidR="008456DE" w:rsidRDefault="008456DE" w:rsidP="008456DE">
      <w:pPr>
        <w:spacing w:after="0" w:line="240" w:lineRule="auto"/>
        <w:jc w:val="center"/>
        <w:rPr>
          <w:rFonts w:ascii="Arial" w:hAnsi="Arial" w:cs="Arial"/>
          <w:sz w:val="16"/>
          <w:szCs w:val="16"/>
        </w:rPr>
      </w:pPr>
    </w:p>
    <w:p w14:paraId="5FE1712B" w14:textId="77777777" w:rsidR="008456DE" w:rsidRDefault="008456DE" w:rsidP="008456DE">
      <w:pPr>
        <w:spacing w:after="0" w:line="240" w:lineRule="auto"/>
        <w:jc w:val="center"/>
        <w:rPr>
          <w:rFonts w:ascii="Arial" w:hAnsi="Arial" w:cs="Arial"/>
          <w:sz w:val="16"/>
          <w:szCs w:val="16"/>
        </w:rPr>
      </w:pPr>
    </w:p>
    <w:p w14:paraId="55BA1826" w14:textId="77777777" w:rsidR="008456DE" w:rsidRDefault="008456DE" w:rsidP="008456DE">
      <w:pPr>
        <w:spacing w:after="0" w:line="240" w:lineRule="auto"/>
        <w:jc w:val="center"/>
        <w:rPr>
          <w:rFonts w:ascii="Arial" w:hAnsi="Arial" w:cs="Arial"/>
          <w:sz w:val="16"/>
          <w:szCs w:val="16"/>
        </w:rPr>
      </w:pPr>
    </w:p>
    <w:p w14:paraId="502D1683" w14:textId="77777777" w:rsidR="008456DE" w:rsidRDefault="008456DE" w:rsidP="008456DE">
      <w:pPr>
        <w:spacing w:after="0" w:line="240" w:lineRule="auto"/>
        <w:jc w:val="center"/>
        <w:rPr>
          <w:rFonts w:ascii="Arial" w:hAnsi="Arial" w:cs="Arial"/>
          <w:sz w:val="16"/>
          <w:szCs w:val="16"/>
        </w:rPr>
      </w:pPr>
    </w:p>
    <w:p w14:paraId="70DE4AF7" w14:textId="77777777" w:rsidR="008456DE" w:rsidRDefault="008456DE" w:rsidP="008456DE">
      <w:pPr>
        <w:spacing w:after="0" w:line="240" w:lineRule="auto"/>
        <w:jc w:val="center"/>
        <w:rPr>
          <w:rFonts w:ascii="Arial" w:hAnsi="Arial" w:cs="Arial"/>
          <w:sz w:val="16"/>
          <w:szCs w:val="16"/>
        </w:rPr>
      </w:pPr>
    </w:p>
    <w:p w14:paraId="5620BFCD" w14:textId="77777777" w:rsidR="008456DE" w:rsidRDefault="008456DE" w:rsidP="008456DE">
      <w:pPr>
        <w:spacing w:after="0" w:line="240" w:lineRule="auto"/>
        <w:jc w:val="center"/>
        <w:rPr>
          <w:rFonts w:ascii="Arial" w:hAnsi="Arial" w:cs="Arial"/>
          <w:sz w:val="16"/>
          <w:szCs w:val="16"/>
        </w:rPr>
      </w:pPr>
    </w:p>
    <w:p w14:paraId="3ECAB5D0" w14:textId="77777777" w:rsidR="008456DE" w:rsidRDefault="008456DE" w:rsidP="008456DE">
      <w:pPr>
        <w:spacing w:after="0" w:line="240" w:lineRule="auto"/>
        <w:jc w:val="center"/>
        <w:rPr>
          <w:rFonts w:ascii="Arial" w:hAnsi="Arial" w:cs="Arial"/>
          <w:sz w:val="16"/>
          <w:szCs w:val="16"/>
        </w:rPr>
      </w:pPr>
    </w:p>
    <w:p w14:paraId="02D7CCA3" w14:textId="77777777" w:rsidR="008456DE" w:rsidRDefault="008456DE" w:rsidP="008456DE">
      <w:pPr>
        <w:spacing w:after="0" w:line="240" w:lineRule="auto"/>
        <w:jc w:val="center"/>
        <w:rPr>
          <w:rFonts w:ascii="Arial" w:hAnsi="Arial" w:cs="Arial"/>
          <w:sz w:val="16"/>
          <w:szCs w:val="16"/>
        </w:rPr>
      </w:pPr>
    </w:p>
    <w:p w14:paraId="3B219E77" w14:textId="77777777" w:rsidR="008456DE" w:rsidRDefault="008456DE" w:rsidP="008456DE">
      <w:pPr>
        <w:spacing w:after="0" w:line="240" w:lineRule="auto"/>
        <w:jc w:val="center"/>
        <w:rPr>
          <w:rFonts w:ascii="Arial" w:hAnsi="Arial" w:cs="Arial"/>
          <w:sz w:val="16"/>
          <w:szCs w:val="16"/>
        </w:rPr>
      </w:pPr>
    </w:p>
    <w:p w14:paraId="2115496D" w14:textId="77777777" w:rsidR="008456DE" w:rsidRDefault="008456DE" w:rsidP="008456DE">
      <w:pPr>
        <w:spacing w:after="0" w:line="240" w:lineRule="auto"/>
        <w:jc w:val="center"/>
        <w:rPr>
          <w:rFonts w:ascii="Arial" w:hAnsi="Arial" w:cs="Arial"/>
          <w:sz w:val="16"/>
          <w:szCs w:val="16"/>
        </w:rPr>
      </w:pPr>
    </w:p>
    <w:p w14:paraId="6BEEFC2D" w14:textId="77777777" w:rsidR="008456DE" w:rsidRDefault="008456DE" w:rsidP="008456DE">
      <w:pPr>
        <w:spacing w:after="0" w:line="240" w:lineRule="auto"/>
        <w:jc w:val="center"/>
        <w:rPr>
          <w:rFonts w:ascii="Arial" w:hAnsi="Arial" w:cs="Arial"/>
          <w:sz w:val="16"/>
          <w:szCs w:val="16"/>
        </w:rPr>
      </w:pPr>
    </w:p>
    <w:p w14:paraId="0E6080F2" w14:textId="77777777" w:rsidR="008456DE" w:rsidRDefault="008456DE" w:rsidP="008456DE">
      <w:pPr>
        <w:spacing w:after="0" w:line="240" w:lineRule="auto"/>
        <w:jc w:val="center"/>
        <w:rPr>
          <w:rFonts w:ascii="Arial" w:hAnsi="Arial" w:cs="Arial"/>
          <w:sz w:val="16"/>
          <w:szCs w:val="16"/>
        </w:rPr>
      </w:pPr>
    </w:p>
    <w:p w14:paraId="4710BD4E" w14:textId="77777777" w:rsidR="008456DE" w:rsidRDefault="008456DE" w:rsidP="008456DE">
      <w:pPr>
        <w:spacing w:after="0" w:line="240" w:lineRule="auto"/>
        <w:jc w:val="center"/>
        <w:rPr>
          <w:rFonts w:ascii="Arial" w:hAnsi="Arial" w:cs="Arial"/>
          <w:sz w:val="16"/>
          <w:szCs w:val="16"/>
        </w:rPr>
      </w:pPr>
    </w:p>
    <w:p w14:paraId="414F80B8" w14:textId="77777777" w:rsidR="008456DE" w:rsidRDefault="008456DE" w:rsidP="008456DE">
      <w:pPr>
        <w:spacing w:after="0" w:line="240" w:lineRule="auto"/>
        <w:jc w:val="center"/>
        <w:rPr>
          <w:rFonts w:ascii="Arial" w:hAnsi="Arial" w:cs="Arial"/>
          <w:sz w:val="16"/>
          <w:szCs w:val="16"/>
        </w:rPr>
      </w:pPr>
    </w:p>
    <w:p w14:paraId="720BE445" w14:textId="77777777" w:rsidR="008456DE" w:rsidRDefault="008456DE" w:rsidP="008456DE">
      <w:pPr>
        <w:spacing w:after="0" w:line="240" w:lineRule="auto"/>
        <w:jc w:val="center"/>
        <w:rPr>
          <w:rFonts w:ascii="Arial" w:hAnsi="Arial" w:cs="Arial"/>
          <w:sz w:val="16"/>
          <w:szCs w:val="16"/>
        </w:rPr>
      </w:pPr>
    </w:p>
    <w:p w14:paraId="555FC7AE" w14:textId="77777777" w:rsidR="008456DE" w:rsidRDefault="008456DE" w:rsidP="008456DE">
      <w:pPr>
        <w:spacing w:after="0" w:line="240" w:lineRule="auto"/>
        <w:jc w:val="center"/>
        <w:rPr>
          <w:rFonts w:ascii="Arial" w:hAnsi="Arial" w:cs="Arial"/>
          <w:sz w:val="16"/>
          <w:szCs w:val="16"/>
        </w:rPr>
      </w:pPr>
    </w:p>
    <w:p w14:paraId="797E99DC" w14:textId="77777777" w:rsidR="008456DE" w:rsidRDefault="008456DE" w:rsidP="008456DE">
      <w:pPr>
        <w:spacing w:after="0" w:line="240" w:lineRule="auto"/>
        <w:jc w:val="center"/>
        <w:rPr>
          <w:rFonts w:ascii="Arial" w:hAnsi="Arial" w:cs="Arial"/>
          <w:sz w:val="16"/>
          <w:szCs w:val="16"/>
        </w:rPr>
      </w:pPr>
    </w:p>
    <w:p w14:paraId="51B321FE" w14:textId="77777777" w:rsidR="008456DE" w:rsidRDefault="008456DE" w:rsidP="008456DE">
      <w:pPr>
        <w:spacing w:after="0" w:line="240" w:lineRule="auto"/>
        <w:jc w:val="center"/>
        <w:rPr>
          <w:rFonts w:ascii="Arial" w:hAnsi="Arial" w:cs="Arial"/>
          <w:sz w:val="16"/>
          <w:szCs w:val="16"/>
        </w:rPr>
      </w:pPr>
    </w:p>
    <w:p w14:paraId="10032D10" w14:textId="77777777" w:rsidR="008456DE" w:rsidRDefault="008456DE" w:rsidP="008456DE">
      <w:pPr>
        <w:spacing w:after="0" w:line="240" w:lineRule="auto"/>
        <w:jc w:val="center"/>
        <w:rPr>
          <w:rFonts w:ascii="Arial" w:hAnsi="Arial" w:cs="Arial"/>
          <w:sz w:val="16"/>
          <w:szCs w:val="16"/>
        </w:rPr>
      </w:pPr>
    </w:p>
    <w:p w14:paraId="2C4623F1" w14:textId="77777777" w:rsidR="008456DE" w:rsidRDefault="008456DE" w:rsidP="008456DE">
      <w:pPr>
        <w:spacing w:after="0" w:line="240" w:lineRule="auto"/>
        <w:jc w:val="center"/>
        <w:rPr>
          <w:rFonts w:ascii="Arial" w:hAnsi="Arial" w:cs="Arial"/>
          <w:sz w:val="16"/>
          <w:szCs w:val="16"/>
        </w:rPr>
      </w:pPr>
    </w:p>
    <w:p w14:paraId="679AADF5" w14:textId="77777777" w:rsidR="008456DE" w:rsidRDefault="008456DE" w:rsidP="008456DE">
      <w:pPr>
        <w:spacing w:after="0" w:line="240" w:lineRule="auto"/>
        <w:jc w:val="center"/>
        <w:rPr>
          <w:rFonts w:ascii="Arial" w:hAnsi="Arial" w:cs="Arial"/>
          <w:sz w:val="16"/>
          <w:szCs w:val="16"/>
        </w:rPr>
      </w:pPr>
    </w:p>
    <w:p w14:paraId="7637A3F0" w14:textId="77777777" w:rsidR="008456DE" w:rsidRDefault="008456DE" w:rsidP="008456DE">
      <w:pPr>
        <w:spacing w:after="0" w:line="240" w:lineRule="auto"/>
        <w:jc w:val="center"/>
        <w:rPr>
          <w:rFonts w:ascii="Arial" w:hAnsi="Arial" w:cs="Arial"/>
          <w:sz w:val="16"/>
          <w:szCs w:val="16"/>
        </w:rPr>
      </w:pPr>
    </w:p>
    <w:p w14:paraId="40DDB7C9" w14:textId="77777777" w:rsidR="008456DE" w:rsidRDefault="008456DE" w:rsidP="008456DE">
      <w:pPr>
        <w:spacing w:after="0" w:line="240" w:lineRule="auto"/>
        <w:jc w:val="center"/>
        <w:rPr>
          <w:rFonts w:ascii="Arial" w:hAnsi="Arial" w:cs="Arial"/>
          <w:sz w:val="16"/>
          <w:szCs w:val="16"/>
        </w:rPr>
      </w:pPr>
    </w:p>
    <w:p w14:paraId="04395489" w14:textId="77777777" w:rsidR="008456DE" w:rsidRDefault="008456DE" w:rsidP="008456DE">
      <w:pPr>
        <w:spacing w:after="0" w:line="240" w:lineRule="auto"/>
        <w:jc w:val="center"/>
        <w:rPr>
          <w:rFonts w:ascii="Arial" w:hAnsi="Arial" w:cs="Arial"/>
          <w:sz w:val="16"/>
          <w:szCs w:val="16"/>
        </w:rPr>
      </w:pPr>
    </w:p>
    <w:p w14:paraId="33175AE6" w14:textId="77777777" w:rsidR="008456DE" w:rsidRDefault="008456DE" w:rsidP="008456DE">
      <w:pPr>
        <w:spacing w:after="0" w:line="240" w:lineRule="auto"/>
        <w:jc w:val="center"/>
        <w:rPr>
          <w:rFonts w:ascii="Arial" w:hAnsi="Arial" w:cs="Arial"/>
          <w:sz w:val="16"/>
          <w:szCs w:val="16"/>
        </w:rPr>
      </w:pPr>
    </w:p>
    <w:p w14:paraId="00737E61" w14:textId="77777777" w:rsidR="008456DE" w:rsidRDefault="008456DE" w:rsidP="008456DE">
      <w:pPr>
        <w:spacing w:after="0" w:line="240" w:lineRule="auto"/>
        <w:jc w:val="center"/>
        <w:rPr>
          <w:rFonts w:ascii="Arial" w:hAnsi="Arial" w:cs="Arial"/>
          <w:sz w:val="16"/>
          <w:szCs w:val="16"/>
        </w:rPr>
      </w:pPr>
    </w:p>
    <w:p w14:paraId="1E6426C5" w14:textId="77777777" w:rsidR="008456DE" w:rsidRDefault="008456DE" w:rsidP="008456DE">
      <w:pPr>
        <w:spacing w:after="0" w:line="240" w:lineRule="auto"/>
        <w:jc w:val="center"/>
        <w:rPr>
          <w:rFonts w:ascii="Arial" w:hAnsi="Arial" w:cs="Arial"/>
          <w:sz w:val="16"/>
          <w:szCs w:val="16"/>
        </w:rPr>
      </w:pPr>
    </w:p>
    <w:p w14:paraId="66FDA679" w14:textId="77777777" w:rsidR="008456DE" w:rsidRDefault="008456DE" w:rsidP="008456DE">
      <w:pPr>
        <w:spacing w:after="0" w:line="240" w:lineRule="auto"/>
        <w:jc w:val="center"/>
        <w:rPr>
          <w:rFonts w:ascii="Arial" w:hAnsi="Arial" w:cs="Arial"/>
          <w:sz w:val="16"/>
          <w:szCs w:val="16"/>
        </w:rPr>
      </w:pPr>
    </w:p>
    <w:p w14:paraId="0FFE843B" w14:textId="77777777" w:rsidR="008456DE" w:rsidRDefault="008456DE" w:rsidP="008456DE">
      <w:pPr>
        <w:spacing w:after="0" w:line="240" w:lineRule="auto"/>
        <w:jc w:val="center"/>
        <w:rPr>
          <w:rFonts w:ascii="Arial" w:hAnsi="Arial" w:cs="Arial"/>
          <w:sz w:val="16"/>
          <w:szCs w:val="16"/>
        </w:rPr>
      </w:pPr>
    </w:p>
    <w:p w14:paraId="69BEAA28" w14:textId="3368B48B" w:rsidR="007B6333" w:rsidRPr="00855E59" w:rsidRDefault="00427812" w:rsidP="00C126A2">
      <w:pPr>
        <w:spacing w:after="0" w:line="240" w:lineRule="auto"/>
        <w:jc w:val="center"/>
        <w:rPr>
          <w:rFonts w:ascii="Arial" w:hAnsi="Arial" w:cs="Arial"/>
        </w:rPr>
      </w:pPr>
      <w:r w:rsidRPr="00BD0396">
        <w:rPr>
          <w:rFonts w:ascii="Arial" w:hAnsi="Arial" w:cs="Arial"/>
          <w:sz w:val="18"/>
          <w:szCs w:val="18"/>
        </w:rPr>
        <w:t>© 202</w:t>
      </w:r>
      <w:r w:rsidR="00C02C0F">
        <w:rPr>
          <w:rFonts w:ascii="Arial" w:hAnsi="Arial" w:cs="Arial"/>
          <w:sz w:val="18"/>
          <w:szCs w:val="18"/>
        </w:rPr>
        <w:t>4</w:t>
      </w:r>
      <w:r w:rsidRPr="00BD0396">
        <w:rPr>
          <w:rFonts w:ascii="Arial" w:hAnsi="Arial" w:cs="Arial"/>
          <w:sz w:val="18"/>
          <w:szCs w:val="18"/>
        </w:rPr>
        <w:t xml:space="preserve"> School of Government. The University of North Carolina at Chapel Hill Use of this publication for commercial purposes or without acknowledgment of its source is prohibited. Reproducing, distributing, or otherwise making available to a </w:t>
      </w:r>
      <w:proofErr w:type="spellStart"/>
      <w:r w:rsidRPr="00BD0396">
        <w:rPr>
          <w:rFonts w:ascii="Arial" w:hAnsi="Arial" w:cs="Arial"/>
          <w:sz w:val="18"/>
          <w:szCs w:val="18"/>
        </w:rPr>
        <w:t>nonpurchaser</w:t>
      </w:r>
      <w:proofErr w:type="spellEnd"/>
      <w:r w:rsidRPr="00BD0396">
        <w:rPr>
          <w:rFonts w:ascii="Arial" w:hAnsi="Arial" w:cs="Arial"/>
          <w:sz w:val="18"/>
          <w:szCs w:val="18"/>
        </w:rPr>
        <w:t xml:space="preserve"> the entire publication, or a substantial portion of it, without express permission, is prohibited. For permissions questions or requests, email the School of Government at copyright_permissions@sog.unc.</w:t>
      </w:r>
      <w:r>
        <w:rPr>
          <w:rFonts w:ascii="Arial" w:hAnsi="Arial" w:cs="Arial"/>
          <w:sz w:val="18"/>
          <w:szCs w:val="18"/>
        </w:rPr>
        <w:t>edu.</w:t>
      </w:r>
    </w:p>
    <w:sectPr w:rsidR="007B6333" w:rsidRPr="00855E59" w:rsidSect="001D4D9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A78F2" w14:textId="77777777" w:rsidR="001D4D98" w:rsidRDefault="001D4D98" w:rsidP="00774468">
      <w:pPr>
        <w:spacing w:after="0" w:line="240" w:lineRule="auto"/>
      </w:pPr>
      <w:r>
        <w:separator/>
      </w:r>
    </w:p>
  </w:endnote>
  <w:endnote w:type="continuationSeparator" w:id="0">
    <w:p w14:paraId="768AE976" w14:textId="77777777" w:rsidR="001D4D98" w:rsidRDefault="001D4D98" w:rsidP="0077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10A1" w14:textId="77777777" w:rsidR="00304356" w:rsidRPr="00A002E8" w:rsidRDefault="00304356" w:rsidP="00A002E8">
    <w:pPr>
      <w:pStyle w:val="Footer"/>
      <w:jc w:val="center"/>
      <w:rPr>
        <w:rFonts w:ascii="Arial" w:hAnsi="Arial" w:cs="Arial"/>
        <w:sz w:val="20"/>
        <w:szCs w:val="20"/>
      </w:rPr>
    </w:pPr>
    <w:r w:rsidRPr="00A002E8">
      <w:rPr>
        <w:rFonts w:ascii="Arial" w:hAnsi="Arial" w:cs="Arial"/>
        <w:sz w:val="20"/>
        <w:szCs w:val="20"/>
      </w:rPr>
      <w:t xml:space="preserve">Jury Argument - </w:t>
    </w:r>
    <w:r w:rsidRPr="00A002E8">
      <w:rPr>
        <w:rFonts w:ascii="Arial" w:hAnsi="Arial" w:cs="Arial"/>
        <w:sz w:val="20"/>
        <w:szCs w:val="20"/>
      </w:rPr>
      <w:fldChar w:fldCharType="begin"/>
    </w:r>
    <w:r w:rsidRPr="00A002E8">
      <w:rPr>
        <w:rFonts w:ascii="Arial" w:hAnsi="Arial" w:cs="Arial"/>
        <w:sz w:val="20"/>
        <w:szCs w:val="20"/>
      </w:rPr>
      <w:instrText xml:space="preserve"> PAGE   \* MERGEFORMAT </w:instrText>
    </w:r>
    <w:r w:rsidRPr="00A002E8">
      <w:rPr>
        <w:rFonts w:ascii="Arial" w:hAnsi="Arial" w:cs="Arial"/>
        <w:sz w:val="20"/>
        <w:szCs w:val="20"/>
      </w:rPr>
      <w:fldChar w:fldCharType="separate"/>
    </w:r>
    <w:r w:rsidR="00130CC8">
      <w:rPr>
        <w:rFonts w:ascii="Arial" w:hAnsi="Arial" w:cs="Arial"/>
        <w:noProof/>
        <w:sz w:val="20"/>
        <w:szCs w:val="20"/>
      </w:rPr>
      <w:t>2</w:t>
    </w:r>
    <w:r w:rsidRPr="00A002E8">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008E7" w14:textId="77777777" w:rsidR="001D4D98" w:rsidRDefault="001D4D98" w:rsidP="00774468">
      <w:pPr>
        <w:spacing w:after="0" w:line="240" w:lineRule="auto"/>
      </w:pPr>
      <w:r>
        <w:separator/>
      </w:r>
    </w:p>
  </w:footnote>
  <w:footnote w:type="continuationSeparator" w:id="0">
    <w:p w14:paraId="340378AF" w14:textId="77777777" w:rsidR="001D4D98" w:rsidRDefault="001D4D98" w:rsidP="00774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FE43" w14:textId="77777777" w:rsidR="00304356" w:rsidRDefault="00304356">
    <w:pPr>
      <w:pStyle w:val="Header"/>
    </w:pPr>
    <w:r w:rsidRPr="000D1874">
      <w:rPr>
        <w:noProof/>
      </w:rPr>
      <w:drawing>
        <wp:anchor distT="0" distB="0" distL="114300" distR="114300" simplePos="0" relativeHeight="251659264" behindDoc="0" locked="0" layoutInCell="1" allowOverlap="0" wp14:anchorId="7ACB8FC9" wp14:editId="6E5804A8">
          <wp:simplePos x="0" y="0"/>
          <wp:positionH relativeFrom="page">
            <wp:posOffset>152400</wp:posOffset>
          </wp:positionH>
          <wp:positionV relativeFrom="page">
            <wp:posOffset>152400</wp:posOffset>
          </wp:positionV>
          <wp:extent cx="7772400" cy="339725"/>
          <wp:effectExtent l="0" t="0" r="0" b="1270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 SOG  NC Superior Court Judges' Benchbook title page masthead UNC BLACK.pdf"/>
                  <pic:cNvPicPr/>
                </pic:nvPicPr>
                <pic:blipFill>
                  <a:blip r:embed="rId1">
                    <a:extLst>
                      <a:ext uri="{28A0092B-C50C-407E-A947-70E740481C1C}">
                        <a14:useLocalDpi xmlns:a14="http://schemas.microsoft.com/office/drawing/2010/main" val="0"/>
                      </a:ext>
                    </a:extLst>
                  </a:blip>
                  <a:stretch>
                    <a:fillRect/>
                  </a:stretch>
                </pic:blipFill>
                <pic:spPr>
                  <a:xfrm>
                    <a:off x="0" y="0"/>
                    <a:ext cx="777240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14:paraId="78C3405B" w14:textId="77777777" w:rsidR="00304356" w:rsidRDefault="00304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498"/>
    <w:multiLevelType w:val="hybridMultilevel"/>
    <w:tmpl w:val="65388424"/>
    <w:lvl w:ilvl="0" w:tplc="4CA2312A">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9360A7C"/>
    <w:multiLevelType w:val="hybridMultilevel"/>
    <w:tmpl w:val="3D46300E"/>
    <w:lvl w:ilvl="0" w:tplc="E1E4802E">
      <w:start w:val="1"/>
      <w:numFmt w:val="upperLetter"/>
      <w:lvlText w:val="%1."/>
      <w:lvlJc w:val="left"/>
      <w:pPr>
        <w:ind w:left="1440" w:hanging="720"/>
      </w:pPr>
      <w:rPr>
        <w:rFonts w:ascii="Arial" w:eastAsia="Calibri" w:hAnsi="Arial" w:cs="Arial" w:hint="default"/>
        <w:b/>
        <w:bCs/>
      </w:rPr>
    </w:lvl>
    <w:lvl w:ilvl="1" w:tplc="580C36AA">
      <w:start w:val="1"/>
      <w:numFmt w:val="lowerLetter"/>
      <w:lvlText w:val="%2."/>
      <w:lvlJc w:val="left"/>
      <w:pPr>
        <w:ind w:left="1440" w:hanging="360"/>
      </w:pPr>
      <w:rPr>
        <w:b/>
        <w:bCs/>
      </w:rPr>
    </w:lvl>
    <w:lvl w:ilvl="2" w:tplc="D05E27D8">
      <w:start w:val="1"/>
      <w:numFmt w:val="decimal"/>
      <w:pStyle w:val="Heading3"/>
      <w:lvlText w:val="%3."/>
      <w:lvlJc w:val="left"/>
      <w:pPr>
        <w:ind w:left="2160" w:hanging="720"/>
      </w:pPr>
      <w:rPr>
        <w:rFonts w:ascii="Arial" w:eastAsia="Calibri" w:hAnsi="Arial" w:cs="Arial"/>
        <w:b/>
        <w:bCs/>
      </w:rPr>
    </w:lvl>
    <w:lvl w:ilvl="3" w:tplc="B8E0DEE2">
      <w:start w:val="1"/>
      <w:numFmt w:val="lowerLetter"/>
      <w:lvlText w:val="%4."/>
      <w:lvlJc w:val="left"/>
      <w:pPr>
        <w:ind w:left="2880" w:hanging="360"/>
      </w:pPr>
      <w:rPr>
        <w:rFonts w:ascii="Arial" w:eastAsia="Calibri" w:hAnsi="Arial" w:cs="Arial"/>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2A3299"/>
    <w:multiLevelType w:val="hybridMultilevel"/>
    <w:tmpl w:val="AE6CD05E"/>
    <w:lvl w:ilvl="0" w:tplc="EC844D30">
      <w:start w:val="1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C1C125B"/>
    <w:multiLevelType w:val="hybridMultilevel"/>
    <w:tmpl w:val="60201052"/>
    <w:lvl w:ilvl="0" w:tplc="08A01DE6">
      <w:start w:val="14"/>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32964F19"/>
    <w:multiLevelType w:val="hybridMultilevel"/>
    <w:tmpl w:val="348EB52C"/>
    <w:lvl w:ilvl="0" w:tplc="0F688142">
      <w:start w:val="1"/>
      <w:numFmt w:val="lowerLetter"/>
      <w:lvlText w:val="%1."/>
      <w:lvlJc w:val="left"/>
      <w:pPr>
        <w:ind w:left="1440" w:hanging="360"/>
      </w:pPr>
      <w:rPr>
        <w:rFonts w:hint="default"/>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71B3BD1"/>
    <w:multiLevelType w:val="hybridMultilevel"/>
    <w:tmpl w:val="663C9C30"/>
    <w:lvl w:ilvl="0" w:tplc="68B8F05C">
      <w:start w:val="1"/>
      <w:numFmt w:val="decimal"/>
      <w:lvlText w:val="%1."/>
      <w:lvlJc w:val="left"/>
      <w:pPr>
        <w:ind w:left="1440" w:hanging="360"/>
      </w:pPr>
      <w:rPr>
        <w:rFonts w:hint="default"/>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3DB500FB"/>
    <w:multiLevelType w:val="hybridMultilevel"/>
    <w:tmpl w:val="50FEA994"/>
    <w:lvl w:ilvl="0" w:tplc="0A6AE3E4">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E8A008D"/>
    <w:multiLevelType w:val="hybridMultilevel"/>
    <w:tmpl w:val="416C234C"/>
    <w:lvl w:ilvl="0" w:tplc="6DA001DA">
      <w:start w:val="1"/>
      <w:numFmt w:val="decimal"/>
      <w:lvlText w:val="%1."/>
      <w:lvlJc w:val="left"/>
      <w:pPr>
        <w:ind w:left="2160" w:hanging="720"/>
      </w:pPr>
      <w:rPr>
        <w:rFonts w:ascii="Arial" w:eastAsia="Calibri" w:hAnsi="Arial" w:cs="Arial"/>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3F6B3560"/>
    <w:multiLevelType w:val="hybridMultilevel"/>
    <w:tmpl w:val="CC9613F8"/>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9" w15:restartNumberingAfterBreak="0">
    <w:nsid w:val="41FE7EA5"/>
    <w:multiLevelType w:val="hybridMultilevel"/>
    <w:tmpl w:val="F856BD6A"/>
    <w:lvl w:ilvl="0" w:tplc="5BB21EC0">
      <w:start w:val="1"/>
      <w:numFmt w:val="upperLetter"/>
      <w:lvlText w:val="%1."/>
      <w:lvlJc w:val="left"/>
      <w:pPr>
        <w:ind w:left="1440" w:hanging="720"/>
      </w:pPr>
      <w:rPr>
        <w:rFonts w:ascii="Arial" w:eastAsia="Calibri"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26BFC"/>
    <w:multiLevelType w:val="hybridMultilevel"/>
    <w:tmpl w:val="34F86234"/>
    <w:lvl w:ilvl="0" w:tplc="BA9472F6">
      <w:start w:val="1"/>
      <w:numFmt w:val="upperLetter"/>
      <w:pStyle w:val="Heading2"/>
      <w:lvlText w:val="%1."/>
      <w:lvlJc w:val="left"/>
      <w:pPr>
        <w:ind w:left="1440" w:hanging="72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5BAB94C">
      <w:start w:val="1"/>
      <w:numFmt w:val="decimal"/>
      <w:lvlText w:val="%4."/>
      <w:lvlJc w:val="left"/>
      <w:pPr>
        <w:ind w:left="3240" w:hanging="360"/>
      </w:pPr>
      <w:rPr>
        <w:rFonts w:ascii="Arial" w:hAnsi="Arial" w:cs="Arial" w:hint="default"/>
        <w:b/>
        <w:bCs/>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5A96CCF"/>
    <w:multiLevelType w:val="hybridMultilevel"/>
    <w:tmpl w:val="2CE845EE"/>
    <w:lvl w:ilvl="0" w:tplc="2A36E656">
      <w:start w:val="1"/>
      <w:numFmt w:val="lowerLetter"/>
      <w:lvlText w:val="%1."/>
      <w:lvlJc w:val="left"/>
      <w:pPr>
        <w:ind w:left="1440" w:hanging="360"/>
      </w:pPr>
      <w:rPr>
        <w:rFonts w:ascii="Calibri" w:eastAsia="Times New Roman" w:hAnsi="Calibri"/>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5CD221A8"/>
    <w:multiLevelType w:val="hybridMultilevel"/>
    <w:tmpl w:val="F8CA03F6"/>
    <w:lvl w:ilvl="0" w:tplc="609EFC4C">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203FF2"/>
    <w:multiLevelType w:val="hybridMultilevel"/>
    <w:tmpl w:val="B638FC26"/>
    <w:lvl w:ilvl="0" w:tplc="8AFA29C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2441A32"/>
    <w:multiLevelType w:val="hybridMultilevel"/>
    <w:tmpl w:val="89CA92B2"/>
    <w:lvl w:ilvl="0" w:tplc="E7E04110">
      <w:start w:val="1"/>
      <w:numFmt w:val="upperRoman"/>
      <w:pStyle w:val="Heading1"/>
      <w:lvlText w:val="%1."/>
      <w:lvlJc w:val="left"/>
      <w:pPr>
        <w:ind w:left="720" w:hanging="720"/>
      </w:pPr>
      <w:rPr>
        <w:rFonts w:ascii="Arial" w:eastAsia="Calibri" w:hAnsi="Arial" w:cs="Arial"/>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3A88F382">
      <w:start w:val="1"/>
      <w:numFmt w:val="decimal"/>
      <w:lvlText w:val="%4."/>
      <w:lvlJc w:val="left"/>
      <w:pPr>
        <w:ind w:left="2520" w:hanging="360"/>
      </w:pPr>
      <w:rPr>
        <w:b/>
        <w:bCs/>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F067E12"/>
    <w:multiLevelType w:val="hybridMultilevel"/>
    <w:tmpl w:val="91C47A7C"/>
    <w:lvl w:ilvl="0" w:tplc="06B4816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76E87B6E"/>
    <w:multiLevelType w:val="hybridMultilevel"/>
    <w:tmpl w:val="1E3094B2"/>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15:restartNumberingAfterBreak="0">
    <w:nsid w:val="77E8400E"/>
    <w:multiLevelType w:val="hybridMultilevel"/>
    <w:tmpl w:val="3F2C0398"/>
    <w:lvl w:ilvl="0" w:tplc="177E93DA">
      <w:start w:val="1"/>
      <w:numFmt w:val="decimal"/>
      <w:lvlText w:val="%1."/>
      <w:lvlJc w:val="left"/>
      <w:pPr>
        <w:ind w:left="1080" w:hanging="360"/>
      </w:pPr>
      <w:rPr>
        <w:rFonts w:ascii="Arial" w:eastAsia="Times New Roman" w:hAnsi="Arial"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462622703">
    <w:abstractNumId w:val="14"/>
  </w:num>
  <w:num w:numId="2" w16cid:durableId="1039818293">
    <w:abstractNumId w:val="6"/>
  </w:num>
  <w:num w:numId="3" w16cid:durableId="1301498784">
    <w:abstractNumId w:val="13"/>
  </w:num>
  <w:num w:numId="4" w16cid:durableId="1590656491">
    <w:abstractNumId w:val="10"/>
  </w:num>
  <w:num w:numId="5" w16cid:durableId="768352911">
    <w:abstractNumId w:val="15"/>
  </w:num>
  <w:num w:numId="6" w16cid:durableId="2132894832">
    <w:abstractNumId w:val="5"/>
  </w:num>
  <w:num w:numId="7" w16cid:durableId="1183937793">
    <w:abstractNumId w:val="11"/>
  </w:num>
  <w:num w:numId="8" w16cid:durableId="182402028">
    <w:abstractNumId w:val="1"/>
  </w:num>
  <w:num w:numId="9" w16cid:durableId="1208955550">
    <w:abstractNumId w:val="17"/>
  </w:num>
  <w:num w:numId="10" w16cid:durableId="568229746">
    <w:abstractNumId w:val="4"/>
  </w:num>
  <w:num w:numId="11" w16cid:durableId="72355534">
    <w:abstractNumId w:val="2"/>
  </w:num>
  <w:num w:numId="12" w16cid:durableId="1088968464">
    <w:abstractNumId w:val="3"/>
  </w:num>
  <w:num w:numId="13" w16cid:durableId="2034649624">
    <w:abstractNumId w:val="16"/>
  </w:num>
  <w:num w:numId="14" w16cid:durableId="314840006">
    <w:abstractNumId w:val="7"/>
  </w:num>
  <w:num w:numId="15" w16cid:durableId="945045539">
    <w:abstractNumId w:val="8"/>
  </w:num>
  <w:num w:numId="16" w16cid:durableId="283074237">
    <w:abstractNumId w:val="9"/>
  </w:num>
  <w:num w:numId="17" w16cid:durableId="377584692">
    <w:abstractNumId w:val="0"/>
  </w:num>
  <w:num w:numId="18" w16cid:durableId="21446923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762B"/>
    <w:rsid w:val="00013730"/>
    <w:rsid w:val="00015857"/>
    <w:rsid w:val="0001748E"/>
    <w:rsid w:val="00022A7B"/>
    <w:rsid w:val="00027F4D"/>
    <w:rsid w:val="000342B1"/>
    <w:rsid w:val="00035CEB"/>
    <w:rsid w:val="000372A2"/>
    <w:rsid w:val="000377AB"/>
    <w:rsid w:val="00037965"/>
    <w:rsid w:val="00040C1D"/>
    <w:rsid w:val="00041AC8"/>
    <w:rsid w:val="00041B02"/>
    <w:rsid w:val="00042C0D"/>
    <w:rsid w:val="000478BF"/>
    <w:rsid w:val="00051F40"/>
    <w:rsid w:val="00052B1A"/>
    <w:rsid w:val="00053AF5"/>
    <w:rsid w:val="000624F6"/>
    <w:rsid w:val="0006428E"/>
    <w:rsid w:val="00066AC5"/>
    <w:rsid w:val="00066FDD"/>
    <w:rsid w:val="0007545E"/>
    <w:rsid w:val="00081070"/>
    <w:rsid w:val="000810EB"/>
    <w:rsid w:val="00085792"/>
    <w:rsid w:val="00085D0A"/>
    <w:rsid w:val="00086EB2"/>
    <w:rsid w:val="00087ED2"/>
    <w:rsid w:val="00090F88"/>
    <w:rsid w:val="00097F3F"/>
    <w:rsid w:val="000A04AD"/>
    <w:rsid w:val="000A3AA5"/>
    <w:rsid w:val="000A3DD5"/>
    <w:rsid w:val="000A3F15"/>
    <w:rsid w:val="000A40DE"/>
    <w:rsid w:val="000A4D52"/>
    <w:rsid w:val="000A5367"/>
    <w:rsid w:val="000B1C12"/>
    <w:rsid w:val="000B6E5C"/>
    <w:rsid w:val="000C1E76"/>
    <w:rsid w:val="000D1874"/>
    <w:rsid w:val="000D21AC"/>
    <w:rsid w:val="000D4390"/>
    <w:rsid w:val="000D52F0"/>
    <w:rsid w:val="000D7E68"/>
    <w:rsid w:val="000E01DB"/>
    <w:rsid w:val="000E2393"/>
    <w:rsid w:val="000E25C8"/>
    <w:rsid w:val="000E5972"/>
    <w:rsid w:val="000E6424"/>
    <w:rsid w:val="000E72BA"/>
    <w:rsid w:val="000E7E50"/>
    <w:rsid w:val="000F0004"/>
    <w:rsid w:val="000F0210"/>
    <w:rsid w:val="000F079C"/>
    <w:rsid w:val="000F1051"/>
    <w:rsid w:val="000F159B"/>
    <w:rsid w:val="0010425A"/>
    <w:rsid w:val="0010686A"/>
    <w:rsid w:val="00107ABC"/>
    <w:rsid w:val="00111376"/>
    <w:rsid w:val="00114DF9"/>
    <w:rsid w:val="00114E24"/>
    <w:rsid w:val="00120A36"/>
    <w:rsid w:val="00120DC5"/>
    <w:rsid w:val="0012154B"/>
    <w:rsid w:val="0012365E"/>
    <w:rsid w:val="00123A37"/>
    <w:rsid w:val="00130723"/>
    <w:rsid w:val="00130CC8"/>
    <w:rsid w:val="001315CF"/>
    <w:rsid w:val="00131939"/>
    <w:rsid w:val="001338B2"/>
    <w:rsid w:val="00141CBA"/>
    <w:rsid w:val="001428A6"/>
    <w:rsid w:val="00143E06"/>
    <w:rsid w:val="00146471"/>
    <w:rsid w:val="0015040E"/>
    <w:rsid w:val="00152481"/>
    <w:rsid w:val="001537DD"/>
    <w:rsid w:val="001603A6"/>
    <w:rsid w:val="00160F2D"/>
    <w:rsid w:val="001614AC"/>
    <w:rsid w:val="001628CD"/>
    <w:rsid w:val="00164E39"/>
    <w:rsid w:val="001674E9"/>
    <w:rsid w:val="0017006A"/>
    <w:rsid w:val="00172505"/>
    <w:rsid w:val="00172595"/>
    <w:rsid w:val="00176BC8"/>
    <w:rsid w:val="00187CFC"/>
    <w:rsid w:val="001916F3"/>
    <w:rsid w:val="0019321E"/>
    <w:rsid w:val="001958FC"/>
    <w:rsid w:val="00196333"/>
    <w:rsid w:val="001A3616"/>
    <w:rsid w:val="001B0615"/>
    <w:rsid w:val="001B156D"/>
    <w:rsid w:val="001B7436"/>
    <w:rsid w:val="001C2784"/>
    <w:rsid w:val="001D2460"/>
    <w:rsid w:val="001D3148"/>
    <w:rsid w:val="001D4D98"/>
    <w:rsid w:val="001E15BD"/>
    <w:rsid w:val="001E3E58"/>
    <w:rsid w:val="001E6ABC"/>
    <w:rsid w:val="001F110F"/>
    <w:rsid w:val="001F1910"/>
    <w:rsid w:val="001F3316"/>
    <w:rsid w:val="001F47CB"/>
    <w:rsid w:val="001F4D87"/>
    <w:rsid w:val="001F4DC7"/>
    <w:rsid w:val="001F59F7"/>
    <w:rsid w:val="001F65E7"/>
    <w:rsid w:val="0020100A"/>
    <w:rsid w:val="00201C05"/>
    <w:rsid w:val="00201CF2"/>
    <w:rsid w:val="00201EF6"/>
    <w:rsid w:val="002029AB"/>
    <w:rsid w:val="002067C3"/>
    <w:rsid w:val="00206BB8"/>
    <w:rsid w:val="002071D8"/>
    <w:rsid w:val="00220BE7"/>
    <w:rsid w:val="00221A0E"/>
    <w:rsid w:val="00222CCF"/>
    <w:rsid w:val="00223E22"/>
    <w:rsid w:val="00225954"/>
    <w:rsid w:val="00231B61"/>
    <w:rsid w:val="00233530"/>
    <w:rsid w:val="00233804"/>
    <w:rsid w:val="0023539B"/>
    <w:rsid w:val="0024347D"/>
    <w:rsid w:val="00244488"/>
    <w:rsid w:val="00245097"/>
    <w:rsid w:val="00255364"/>
    <w:rsid w:val="002556ED"/>
    <w:rsid w:val="00275CBB"/>
    <w:rsid w:val="00280D59"/>
    <w:rsid w:val="00283AAB"/>
    <w:rsid w:val="00285262"/>
    <w:rsid w:val="002863DE"/>
    <w:rsid w:val="00290A91"/>
    <w:rsid w:val="00292894"/>
    <w:rsid w:val="0029747F"/>
    <w:rsid w:val="00297A73"/>
    <w:rsid w:val="002A0F36"/>
    <w:rsid w:val="002A27D5"/>
    <w:rsid w:val="002B0092"/>
    <w:rsid w:val="002B3FED"/>
    <w:rsid w:val="002C23B4"/>
    <w:rsid w:val="002C3809"/>
    <w:rsid w:val="002C39AC"/>
    <w:rsid w:val="002C56AF"/>
    <w:rsid w:val="002C628C"/>
    <w:rsid w:val="002D3143"/>
    <w:rsid w:val="002D44E1"/>
    <w:rsid w:val="002D6989"/>
    <w:rsid w:val="002E0945"/>
    <w:rsid w:val="002E0DAE"/>
    <w:rsid w:val="002E2B96"/>
    <w:rsid w:val="002E38C2"/>
    <w:rsid w:val="002F6E11"/>
    <w:rsid w:val="002F70DC"/>
    <w:rsid w:val="00301CAB"/>
    <w:rsid w:val="00303B89"/>
    <w:rsid w:val="00304356"/>
    <w:rsid w:val="00310496"/>
    <w:rsid w:val="00310A7C"/>
    <w:rsid w:val="00313168"/>
    <w:rsid w:val="003153AD"/>
    <w:rsid w:val="00317010"/>
    <w:rsid w:val="00317273"/>
    <w:rsid w:val="00326F68"/>
    <w:rsid w:val="003323A9"/>
    <w:rsid w:val="00333604"/>
    <w:rsid w:val="003355A4"/>
    <w:rsid w:val="0034001F"/>
    <w:rsid w:val="00345CAE"/>
    <w:rsid w:val="00346672"/>
    <w:rsid w:val="00350C2D"/>
    <w:rsid w:val="003628D5"/>
    <w:rsid w:val="00363278"/>
    <w:rsid w:val="00363A43"/>
    <w:rsid w:val="00363D0E"/>
    <w:rsid w:val="00364461"/>
    <w:rsid w:val="003712F7"/>
    <w:rsid w:val="0037143E"/>
    <w:rsid w:val="003721E0"/>
    <w:rsid w:val="00372D91"/>
    <w:rsid w:val="003730AA"/>
    <w:rsid w:val="003742C4"/>
    <w:rsid w:val="0038154F"/>
    <w:rsid w:val="003846B2"/>
    <w:rsid w:val="00386CA1"/>
    <w:rsid w:val="00390D43"/>
    <w:rsid w:val="003910F3"/>
    <w:rsid w:val="003A337A"/>
    <w:rsid w:val="003A5D8B"/>
    <w:rsid w:val="003B1B7B"/>
    <w:rsid w:val="003B26A2"/>
    <w:rsid w:val="003B2C2A"/>
    <w:rsid w:val="003B4A7F"/>
    <w:rsid w:val="003C1B6D"/>
    <w:rsid w:val="003C2435"/>
    <w:rsid w:val="003C3770"/>
    <w:rsid w:val="003C3966"/>
    <w:rsid w:val="003C6349"/>
    <w:rsid w:val="003D0616"/>
    <w:rsid w:val="003D15B1"/>
    <w:rsid w:val="003D21C2"/>
    <w:rsid w:val="003D28E9"/>
    <w:rsid w:val="003D2912"/>
    <w:rsid w:val="003D3008"/>
    <w:rsid w:val="003D5719"/>
    <w:rsid w:val="003D6583"/>
    <w:rsid w:val="003D77D8"/>
    <w:rsid w:val="003E2663"/>
    <w:rsid w:val="003E362C"/>
    <w:rsid w:val="003E3DE1"/>
    <w:rsid w:val="003F0E47"/>
    <w:rsid w:val="003F270E"/>
    <w:rsid w:val="003F4500"/>
    <w:rsid w:val="00400C2B"/>
    <w:rsid w:val="00402A77"/>
    <w:rsid w:val="00403D95"/>
    <w:rsid w:val="00403EF8"/>
    <w:rsid w:val="00404D8C"/>
    <w:rsid w:val="00411162"/>
    <w:rsid w:val="0041557A"/>
    <w:rsid w:val="004237A8"/>
    <w:rsid w:val="00424E7C"/>
    <w:rsid w:val="00427812"/>
    <w:rsid w:val="0043137A"/>
    <w:rsid w:val="004315A2"/>
    <w:rsid w:val="00442B38"/>
    <w:rsid w:val="00446D0A"/>
    <w:rsid w:val="00447348"/>
    <w:rsid w:val="00450FAF"/>
    <w:rsid w:val="00451ED4"/>
    <w:rsid w:val="0045317B"/>
    <w:rsid w:val="00456259"/>
    <w:rsid w:val="00457478"/>
    <w:rsid w:val="00462D3A"/>
    <w:rsid w:val="00466A67"/>
    <w:rsid w:val="004704A9"/>
    <w:rsid w:val="00472E6F"/>
    <w:rsid w:val="004736E8"/>
    <w:rsid w:val="00481425"/>
    <w:rsid w:val="0049528C"/>
    <w:rsid w:val="00495DD3"/>
    <w:rsid w:val="00496AAB"/>
    <w:rsid w:val="00496C28"/>
    <w:rsid w:val="004A1D83"/>
    <w:rsid w:val="004A6347"/>
    <w:rsid w:val="004A7736"/>
    <w:rsid w:val="004B1984"/>
    <w:rsid w:val="004B5099"/>
    <w:rsid w:val="004B6F5F"/>
    <w:rsid w:val="004C1BBF"/>
    <w:rsid w:val="004C325B"/>
    <w:rsid w:val="004C37D4"/>
    <w:rsid w:val="004C4E03"/>
    <w:rsid w:val="004C64A6"/>
    <w:rsid w:val="004C7650"/>
    <w:rsid w:val="004D2864"/>
    <w:rsid w:val="004D3282"/>
    <w:rsid w:val="004D3400"/>
    <w:rsid w:val="004D5AC7"/>
    <w:rsid w:val="004D7949"/>
    <w:rsid w:val="004E09F9"/>
    <w:rsid w:val="004E58DA"/>
    <w:rsid w:val="004E7E17"/>
    <w:rsid w:val="004F5954"/>
    <w:rsid w:val="004F6017"/>
    <w:rsid w:val="004F62AF"/>
    <w:rsid w:val="004F79A9"/>
    <w:rsid w:val="005007B0"/>
    <w:rsid w:val="00505A42"/>
    <w:rsid w:val="00506207"/>
    <w:rsid w:val="00506A09"/>
    <w:rsid w:val="00517898"/>
    <w:rsid w:val="005311A3"/>
    <w:rsid w:val="0053279F"/>
    <w:rsid w:val="00543F56"/>
    <w:rsid w:val="00544ADC"/>
    <w:rsid w:val="00550652"/>
    <w:rsid w:val="00551D0C"/>
    <w:rsid w:val="005574CD"/>
    <w:rsid w:val="00557656"/>
    <w:rsid w:val="0056336C"/>
    <w:rsid w:val="00566AE3"/>
    <w:rsid w:val="00570B7B"/>
    <w:rsid w:val="005749C6"/>
    <w:rsid w:val="0057688B"/>
    <w:rsid w:val="005777AA"/>
    <w:rsid w:val="00580352"/>
    <w:rsid w:val="00595B2D"/>
    <w:rsid w:val="005A0525"/>
    <w:rsid w:val="005A1159"/>
    <w:rsid w:val="005A2AC7"/>
    <w:rsid w:val="005A48F2"/>
    <w:rsid w:val="005A7019"/>
    <w:rsid w:val="005B0A52"/>
    <w:rsid w:val="005B300F"/>
    <w:rsid w:val="005B38F2"/>
    <w:rsid w:val="005B3FD4"/>
    <w:rsid w:val="005B6172"/>
    <w:rsid w:val="005C36DE"/>
    <w:rsid w:val="005C3A8C"/>
    <w:rsid w:val="005C66D1"/>
    <w:rsid w:val="005D0030"/>
    <w:rsid w:val="005D3D32"/>
    <w:rsid w:val="005E0BE3"/>
    <w:rsid w:val="005E3FB6"/>
    <w:rsid w:val="005E62E7"/>
    <w:rsid w:val="005F1294"/>
    <w:rsid w:val="005F33F8"/>
    <w:rsid w:val="005F3CFA"/>
    <w:rsid w:val="005F6303"/>
    <w:rsid w:val="005F6968"/>
    <w:rsid w:val="005F7E61"/>
    <w:rsid w:val="006004F7"/>
    <w:rsid w:val="00601463"/>
    <w:rsid w:val="00601ED2"/>
    <w:rsid w:val="006032EA"/>
    <w:rsid w:val="00604728"/>
    <w:rsid w:val="00604A05"/>
    <w:rsid w:val="0060720C"/>
    <w:rsid w:val="006073EE"/>
    <w:rsid w:val="00611E3C"/>
    <w:rsid w:val="00612DAC"/>
    <w:rsid w:val="00621F86"/>
    <w:rsid w:val="0062281A"/>
    <w:rsid w:val="006352F6"/>
    <w:rsid w:val="00641284"/>
    <w:rsid w:val="00644231"/>
    <w:rsid w:val="00644A27"/>
    <w:rsid w:val="0065108C"/>
    <w:rsid w:val="006514D2"/>
    <w:rsid w:val="00653854"/>
    <w:rsid w:val="00653BB1"/>
    <w:rsid w:val="00655634"/>
    <w:rsid w:val="00655A6E"/>
    <w:rsid w:val="00662C5F"/>
    <w:rsid w:val="006635DF"/>
    <w:rsid w:val="0066439B"/>
    <w:rsid w:val="00671044"/>
    <w:rsid w:val="006722AF"/>
    <w:rsid w:val="00682571"/>
    <w:rsid w:val="00685DED"/>
    <w:rsid w:val="00692850"/>
    <w:rsid w:val="00693D57"/>
    <w:rsid w:val="00695BD0"/>
    <w:rsid w:val="006979CE"/>
    <w:rsid w:val="006B0901"/>
    <w:rsid w:val="006B1035"/>
    <w:rsid w:val="006B1862"/>
    <w:rsid w:val="006B5027"/>
    <w:rsid w:val="006B6325"/>
    <w:rsid w:val="006C11F5"/>
    <w:rsid w:val="006D2601"/>
    <w:rsid w:val="006D3081"/>
    <w:rsid w:val="006E0A54"/>
    <w:rsid w:val="006E40B7"/>
    <w:rsid w:val="006E43D2"/>
    <w:rsid w:val="006F055E"/>
    <w:rsid w:val="006F28ED"/>
    <w:rsid w:val="006F2A87"/>
    <w:rsid w:val="006F7715"/>
    <w:rsid w:val="00713335"/>
    <w:rsid w:val="007137AE"/>
    <w:rsid w:val="00713967"/>
    <w:rsid w:val="00715307"/>
    <w:rsid w:val="00716448"/>
    <w:rsid w:val="007174BF"/>
    <w:rsid w:val="00717E81"/>
    <w:rsid w:val="00721D6D"/>
    <w:rsid w:val="00722EFE"/>
    <w:rsid w:val="00723735"/>
    <w:rsid w:val="00726B25"/>
    <w:rsid w:val="007312A8"/>
    <w:rsid w:val="007315F4"/>
    <w:rsid w:val="00732C33"/>
    <w:rsid w:val="007440F7"/>
    <w:rsid w:val="0075540D"/>
    <w:rsid w:val="00756EBB"/>
    <w:rsid w:val="0075758B"/>
    <w:rsid w:val="00757E0F"/>
    <w:rsid w:val="0076678E"/>
    <w:rsid w:val="007674FC"/>
    <w:rsid w:val="00774468"/>
    <w:rsid w:val="0077635B"/>
    <w:rsid w:val="00784BD4"/>
    <w:rsid w:val="007930A2"/>
    <w:rsid w:val="00793212"/>
    <w:rsid w:val="00796186"/>
    <w:rsid w:val="007A5109"/>
    <w:rsid w:val="007A7D6B"/>
    <w:rsid w:val="007B008B"/>
    <w:rsid w:val="007B0F4E"/>
    <w:rsid w:val="007B6333"/>
    <w:rsid w:val="007B6378"/>
    <w:rsid w:val="007C624E"/>
    <w:rsid w:val="007D584D"/>
    <w:rsid w:val="007D58F2"/>
    <w:rsid w:val="007D7B27"/>
    <w:rsid w:val="007E1B00"/>
    <w:rsid w:val="007E7E6D"/>
    <w:rsid w:val="007F09BF"/>
    <w:rsid w:val="007F13CC"/>
    <w:rsid w:val="007F1A7A"/>
    <w:rsid w:val="007F4833"/>
    <w:rsid w:val="007F4AAB"/>
    <w:rsid w:val="008009C1"/>
    <w:rsid w:val="00803212"/>
    <w:rsid w:val="00804C91"/>
    <w:rsid w:val="008061DE"/>
    <w:rsid w:val="00815D84"/>
    <w:rsid w:val="0081762B"/>
    <w:rsid w:val="00820C3B"/>
    <w:rsid w:val="00822B5A"/>
    <w:rsid w:val="00822D6B"/>
    <w:rsid w:val="008233E5"/>
    <w:rsid w:val="00832830"/>
    <w:rsid w:val="00833387"/>
    <w:rsid w:val="0083463D"/>
    <w:rsid w:val="00835C50"/>
    <w:rsid w:val="00840EAC"/>
    <w:rsid w:val="00840F04"/>
    <w:rsid w:val="00841D1F"/>
    <w:rsid w:val="00841E6E"/>
    <w:rsid w:val="008439AA"/>
    <w:rsid w:val="00843E03"/>
    <w:rsid w:val="008456DE"/>
    <w:rsid w:val="00847E93"/>
    <w:rsid w:val="008517F4"/>
    <w:rsid w:val="0085183D"/>
    <w:rsid w:val="008549FD"/>
    <w:rsid w:val="00855E59"/>
    <w:rsid w:val="008569CE"/>
    <w:rsid w:val="008606DD"/>
    <w:rsid w:val="0086152B"/>
    <w:rsid w:val="00864562"/>
    <w:rsid w:val="00865910"/>
    <w:rsid w:val="00867A5D"/>
    <w:rsid w:val="008755B9"/>
    <w:rsid w:val="00877BA2"/>
    <w:rsid w:val="008805AD"/>
    <w:rsid w:val="00880FF5"/>
    <w:rsid w:val="00882793"/>
    <w:rsid w:val="0088630A"/>
    <w:rsid w:val="00887679"/>
    <w:rsid w:val="00890D24"/>
    <w:rsid w:val="00891823"/>
    <w:rsid w:val="008941D0"/>
    <w:rsid w:val="008A111A"/>
    <w:rsid w:val="008A13FD"/>
    <w:rsid w:val="008A6619"/>
    <w:rsid w:val="008A7901"/>
    <w:rsid w:val="008A7A1C"/>
    <w:rsid w:val="008B2380"/>
    <w:rsid w:val="008B38FE"/>
    <w:rsid w:val="008B3A28"/>
    <w:rsid w:val="008B3DD4"/>
    <w:rsid w:val="008B5514"/>
    <w:rsid w:val="008B7E23"/>
    <w:rsid w:val="008C112E"/>
    <w:rsid w:val="008C35BC"/>
    <w:rsid w:val="008C391C"/>
    <w:rsid w:val="008C53BA"/>
    <w:rsid w:val="008C79DA"/>
    <w:rsid w:val="008D0125"/>
    <w:rsid w:val="008D0707"/>
    <w:rsid w:val="008D6726"/>
    <w:rsid w:val="008D6ABC"/>
    <w:rsid w:val="008E1FEF"/>
    <w:rsid w:val="008E3AE0"/>
    <w:rsid w:val="008E5A17"/>
    <w:rsid w:val="008F01E0"/>
    <w:rsid w:val="008F0CF3"/>
    <w:rsid w:val="008F1C9D"/>
    <w:rsid w:val="008F24F9"/>
    <w:rsid w:val="008F29C3"/>
    <w:rsid w:val="008F2B34"/>
    <w:rsid w:val="008F37C5"/>
    <w:rsid w:val="008F4E34"/>
    <w:rsid w:val="008F77B4"/>
    <w:rsid w:val="00901D19"/>
    <w:rsid w:val="00905286"/>
    <w:rsid w:val="00907DA8"/>
    <w:rsid w:val="0091244D"/>
    <w:rsid w:val="009126E9"/>
    <w:rsid w:val="00912F83"/>
    <w:rsid w:val="00914E84"/>
    <w:rsid w:val="00916718"/>
    <w:rsid w:val="00921FD4"/>
    <w:rsid w:val="00922412"/>
    <w:rsid w:val="00923B09"/>
    <w:rsid w:val="009252C6"/>
    <w:rsid w:val="0092627E"/>
    <w:rsid w:val="0093262F"/>
    <w:rsid w:val="00934A4E"/>
    <w:rsid w:val="00944E80"/>
    <w:rsid w:val="009457A8"/>
    <w:rsid w:val="00945F1A"/>
    <w:rsid w:val="00945F37"/>
    <w:rsid w:val="009468F5"/>
    <w:rsid w:val="00947A0E"/>
    <w:rsid w:val="00960E13"/>
    <w:rsid w:val="00966769"/>
    <w:rsid w:val="0097024C"/>
    <w:rsid w:val="0097741B"/>
    <w:rsid w:val="00985979"/>
    <w:rsid w:val="009862B8"/>
    <w:rsid w:val="00986937"/>
    <w:rsid w:val="009876C2"/>
    <w:rsid w:val="009915F3"/>
    <w:rsid w:val="00991E56"/>
    <w:rsid w:val="009944D7"/>
    <w:rsid w:val="00997666"/>
    <w:rsid w:val="009A2658"/>
    <w:rsid w:val="009A2933"/>
    <w:rsid w:val="009A485B"/>
    <w:rsid w:val="009B0A05"/>
    <w:rsid w:val="009B25CA"/>
    <w:rsid w:val="009B35F5"/>
    <w:rsid w:val="009B3799"/>
    <w:rsid w:val="009B5CE3"/>
    <w:rsid w:val="009B6D2C"/>
    <w:rsid w:val="009C1EF6"/>
    <w:rsid w:val="009D165F"/>
    <w:rsid w:val="009D41F2"/>
    <w:rsid w:val="009D5D38"/>
    <w:rsid w:val="009D6329"/>
    <w:rsid w:val="009D6423"/>
    <w:rsid w:val="009D6840"/>
    <w:rsid w:val="009D6F57"/>
    <w:rsid w:val="009E22A7"/>
    <w:rsid w:val="009E52ED"/>
    <w:rsid w:val="009E5777"/>
    <w:rsid w:val="009E647B"/>
    <w:rsid w:val="009E74ED"/>
    <w:rsid w:val="009F16FA"/>
    <w:rsid w:val="009F29B8"/>
    <w:rsid w:val="009F475D"/>
    <w:rsid w:val="00A002E8"/>
    <w:rsid w:val="00A0267C"/>
    <w:rsid w:val="00A05CD5"/>
    <w:rsid w:val="00A066E3"/>
    <w:rsid w:val="00A10CE1"/>
    <w:rsid w:val="00A1109D"/>
    <w:rsid w:val="00A110F2"/>
    <w:rsid w:val="00A1292F"/>
    <w:rsid w:val="00A16007"/>
    <w:rsid w:val="00A16219"/>
    <w:rsid w:val="00A17265"/>
    <w:rsid w:val="00A20A6B"/>
    <w:rsid w:val="00A314DA"/>
    <w:rsid w:val="00A319C9"/>
    <w:rsid w:val="00A43064"/>
    <w:rsid w:val="00A44F1E"/>
    <w:rsid w:val="00A54150"/>
    <w:rsid w:val="00A60693"/>
    <w:rsid w:val="00A60800"/>
    <w:rsid w:val="00A63CB1"/>
    <w:rsid w:val="00A646BE"/>
    <w:rsid w:val="00A678FB"/>
    <w:rsid w:val="00A7528D"/>
    <w:rsid w:val="00A768D2"/>
    <w:rsid w:val="00A8084D"/>
    <w:rsid w:val="00A85B51"/>
    <w:rsid w:val="00A8738A"/>
    <w:rsid w:val="00A953FC"/>
    <w:rsid w:val="00AA1183"/>
    <w:rsid w:val="00AA4F0C"/>
    <w:rsid w:val="00AA71AE"/>
    <w:rsid w:val="00AA77CE"/>
    <w:rsid w:val="00AB58BB"/>
    <w:rsid w:val="00AB5ADB"/>
    <w:rsid w:val="00AC4B50"/>
    <w:rsid w:val="00AC6248"/>
    <w:rsid w:val="00AD3C07"/>
    <w:rsid w:val="00AD47DE"/>
    <w:rsid w:val="00AD52E1"/>
    <w:rsid w:val="00AD606A"/>
    <w:rsid w:val="00AE5A03"/>
    <w:rsid w:val="00AE78CF"/>
    <w:rsid w:val="00AE7FFC"/>
    <w:rsid w:val="00AF120E"/>
    <w:rsid w:val="00AF6302"/>
    <w:rsid w:val="00B00607"/>
    <w:rsid w:val="00B05BB8"/>
    <w:rsid w:val="00B07B2E"/>
    <w:rsid w:val="00B100A0"/>
    <w:rsid w:val="00B10D29"/>
    <w:rsid w:val="00B119E0"/>
    <w:rsid w:val="00B12D5C"/>
    <w:rsid w:val="00B16EB2"/>
    <w:rsid w:val="00B23A3D"/>
    <w:rsid w:val="00B25504"/>
    <w:rsid w:val="00B31352"/>
    <w:rsid w:val="00B35F33"/>
    <w:rsid w:val="00B41043"/>
    <w:rsid w:val="00B43A34"/>
    <w:rsid w:val="00B44863"/>
    <w:rsid w:val="00B44866"/>
    <w:rsid w:val="00B4538B"/>
    <w:rsid w:val="00B461DE"/>
    <w:rsid w:val="00B547A8"/>
    <w:rsid w:val="00B548D5"/>
    <w:rsid w:val="00B6143D"/>
    <w:rsid w:val="00B6324A"/>
    <w:rsid w:val="00B63A8E"/>
    <w:rsid w:val="00B63E02"/>
    <w:rsid w:val="00B6434D"/>
    <w:rsid w:val="00B64D00"/>
    <w:rsid w:val="00B656AE"/>
    <w:rsid w:val="00B72CEF"/>
    <w:rsid w:val="00B73940"/>
    <w:rsid w:val="00B762BB"/>
    <w:rsid w:val="00B7711A"/>
    <w:rsid w:val="00B93197"/>
    <w:rsid w:val="00B96D35"/>
    <w:rsid w:val="00BA2330"/>
    <w:rsid w:val="00BA5FF5"/>
    <w:rsid w:val="00BB212C"/>
    <w:rsid w:val="00BB4A85"/>
    <w:rsid w:val="00BB7703"/>
    <w:rsid w:val="00BB7F67"/>
    <w:rsid w:val="00BC1E49"/>
    <w:rsid w:val="00BC3658"/>
    <w:rsid w:val="00BC5867"/>
    <w:rsid w:val="00BC5889"/>
    <w:rsid w:val="00BC75BD"/>
    <w:rsid w:val="00BC79BD"/>
    <w:rsid w:val="00BD04F8"/>
    <w:rsid w:val="00BD1F12"/>
    <w:rsid w:val="00BD47BE"/>
    <w:rsid w:val="00BD4AE0"/>
    <w:rsid w:val="00BD6170"/>
    <w:rsid w:val="00BD6791"/>
    <w:rsid w:val="00BE12DE"/>
    <w:rsid w:val="00BE373C"/>
    <w:rsid w:val="00BF2178"/>
    <w:rsid w:val="00BF4ED7"/>
    <w:rsid w:val="00BF7306"/>
    <w:rsid w:val="00C02C0F"/>
    <w:rsid w:val="00C0593E"/>
    <w:rsid w:val="00C126A2"/>
    <w:rsid w:val="00C133C1"/>
    <w:rsid w:val="00C13883"/>
    <w:rsid w:val="00C2105A"/>
    <w:rsid w:val="00C24529"/>
    <w:rsid w:val="00C27C1B"/>
    <w:rsid w:val="00C3014F"/>
    <w:rsid w:val="00C334DB"/>
    <w:rsid w:val="00C33931"/>
    <w:rsid w:val="00C379EB"/>
    <w:rsid w:val="00C40F29"/>
    <w:rsid w:val="00C4104A"/>
    <w:rsid w:val="00C42F9F"/>
    <w:rsid w:val="00C437BF"/>
    <w:rsid w:val="00C465E2"/>
    <w:rsid w:val="00C511CC"/>
    <w:rsid w:val="00C545F4"/>
    <w:rsid w:val="00C6003B"/>
    <w:rsid w:val="00C612CC"/>
    <w:rsid w:val="00C66B52"/>
    <w:rsid w:val="00C72B23"/>
    <w:rsid w:val="00C75628"/>
    <w:rsid w:val="00C8579D"/>
    <w:rsid w:val="00C85EEF"/>
    <w:rsid w:val="00C8743D"/>
    <w:rsid w:val="00C879FF"/>
    <w:rsid w:val="00C9288A"/>
    <w:rsid w:val="00C92AB1"/>
    <w:rsid w:val="00C93DB3"/>
    <w:rsid w:val="00C9539B"/>
    <w:rsid w:val="00C95D96"/>
    <w:rsid w:val="00CA2A0F"/>
    <w:rsid w:val="00CA2A55"/>
    <w:rsid w:val="00CA4BCD"/>
    <w:rsid w:val="00CB55FB"/>
    <w:rsid w:val="00CB5CE9"/>
    <w:rsid w:val="00CC0EEB"/>
    <w:rsid w:val="00CC1BA0"/>
    <w:rsid w:val="00CC21BA"/>
    <w:rsid w:val="00CC70EE"/>
    <w:rsid w:val="00CD36B8"/>
    <w:rsid w:val="00CD5D6D"/>
    <w:rsid w:val="00CE5A0D"/>
    <w:rsid w:val="00CF4FBE"/>
    <w:rsid w:val="00CF726A"/>
    <w:rsid w:val="00D00824"/>
    <w:rsid w:val="00D01DFF"/>
    <w:rsid w:val="00D050C1"/>
    <w:rsid w:val="00D12FDA"/>
    <w:rsid w:val="00D231DE"/>
    <w:rsid w:val="00D25593"/>
    <w:rsid w:val="00D262DA"/>
    <w:rsid w:val="00D2675B"/>
    <w:rsid w:val="00D30DD9"/>
    <w:rsid w:val="00D3374A"/>
    <w:rsid w:val="00D33A2A"/>
    <w:rsid w:val="00D3664B"/>
    <w:rsid w:val="00D418B2"/>
    <w:rsid w:val="00D44D19"/>
    <w:rsid w:val="00D526A5"/>
    <w:rsid w:val="00D52984"/>
    <w:rsid w:val="00D72011"/>
    <w:rsid w:val="00D7207F"/>
    <w:rsid w:val="00D74E25"/>
    <w:rsid w:val="00D75A96"/>
    <w:rsid w:val="00D7717B"/>
    <w:rsid w:val="00D805E9"/>
    <w:rsid w:val="00D82EEB"/>
    <w:rsid w:val="00D92371"/>
    <w:rsid w:val="00D96783"/>
    <w:rsid w:val="00D96C61"/>
    <w:rsid w:val="00DA0688"/>
    <w:rsid w:val="00DA44C0"/>
    <w:rsid w:val="00DA6C4C"/>
    <w:rsid w:val="00DB1B12"/>
    <w:rsid w:val="00DB2697"/>
    <w:rsid w:val="00DB30BF"/>
    <w:rsid w:val="00DB46C4"/>
    <w:rsid w:val="00DC0589"/>
    <w:rsid w:val="00DC0AA1"/>
    <w:rsid w:val="00DC33EC"/>
    <w:rsid w:val="00DD0EED"/>
    <w:rsid w:val="00DD2704"/>
    <w:rsid w:val="00DD2D1C"/>
    <w:rsid w:val="00DD5965"/>
    <w:rsid w:val="00DD610E"/>
    <w:rsid w:val="00DD68EE"/>
    <w:rsid w:val="00DE563A"/>
    <w:rsid w:val="00DE695A"/>
    <w:rsid w:val="00DE6AE6"/>
    <w:rsid w:val="00DF7638"/>
    <w:rsid w:val="00DF76A4"/>
    <w:rsid w:val="00E02335"/>
    <w:rsid w:val="00E06A96"/>
    <w:rsid w:val="00E10243"/>
    <w:rsid w:val="00E1028E"/>
    <w:rsid w:val="00E130A7"/>
    <w:rsid w:val="00E14A69"/>
    <w:rsid w:val="00E150AC"/>
    <w:rsid w:val="00E235C2"/>
    <w:rsid w:val="00E248CE"/>
    <w:rsid w:val="00E25DC5"/>
    <w:rsid w:val="00E330D2"/>
    <w:rsid w:val="00E421BA"/>
    <w:rsid w:val="00E434EA"/>
    <w:rsid w:val="00E52D67"/>
    <w:rsid w:val="00E558DD"/>
    <w:rsid w:val="00E56B29"/>
    <w:rsid w:val="00E571D0"/>
    <w:rsid w:val="00E57F7A"/>
    <w:rsid w:val="00E63175"/>
    <w:rsid w:val="00E67F90"/>
    <w:rsid w:val="00E74A6E"/>
    <w:rsid w:val="00E77AB4"/>
    <w:rsid w:val="00E77FA2"/>
    <w:rsid w:val="00E843BB"/>
    <w:rsid w:val="00E844F3"/>
    <w:rsid w:val="00E86C42"/>
    <w:rsid w:val="00E945F6"/>
    <w:rsid w:val="00E947C1"/>
    <w:rsid w:val="00E95325"/>
    <w:rsid w:val="00EA0DB8"/>
    <w:rsid w:val="00EA26DA"/>
    <w:rsid w:val="00EA3826"/>
    <w:rsid w:val="00EA494D"/>
    <w:rsid w:val="00EA5FF4"/>
    <w:rsid w:val="00EA7C70"/>
    <w:rsid w:val="00EB0414"/>
    <w:rsid w:val="00EB56FC"/>
    <w:rsid w:val="00EB71C6"/>
    <w:rsid w:val="00EC02B7"/>
    <w:rsid w:val="00EC084C"/>
    <w:rsid w:val="00EC2818"/>
    <w:rsid w:val="00ED188F"/>
    <w:rsid w:val="00ED20F8"/>
    <w:rsid w:val="00ED4A29"/>
    <w:rsid w:val="00ED53A4"/>
    <w:rsid w:val="00ED571A"/>
    <w:rsid w:val="00ED614B"/>
    <w:rsid w:val="00EE4168"/>
    <w:rsid w:val="00EE4737"/>
    <w:rsid w:val="00EE5CFF"/>
    <w:rsid w:val="00EF01C1"/>
    <w:rsid w:val="00EF1A41"/>
    <w:rsid w:val="00EF1BC5"/>
    <w:rsid w:val="00EF2D88"/>
    <w:rsid w:val="00EF53D6"/>
    <w:rsid w:val="00EF5D37"/>
    <w:rsid w:val="00F00DD7"/>
    <w:rsid w:val="00F01BC4"/>
    <w:rsid w:val="00F02C87"/>
    <w:rsid w:val="00F04FDB"/>
    <w:rsid w:val="00F10C42"/>
    <w:rsid w:val="00F12FB1"/>
    <w:rsid w:val="00F1300D"/>
    <w:rsid w:val="00F13419"/>
    <w:rsid w:val="00F14954"/>
    <w:rsid w:val="00F25571"/>
    <w:rsid w:val="00F31F47"/>
    <w:rsid w:val="00F36AEA"/>
    <w:rsid w:val="00F40662"/>
    <w:rsid w:val="00F4325B"/>
    <w:rsid w:val="00F45B40"/>
    <w:rsid w:val="00F46A85"/>
    <w:rsid w:val="00F5146D"/>
    <w:rsid w:val="00F55699"/>
    <w:rsid w:val="00F55C18"/>
    <w:rsid w:val="00F57EDC"/>
    <w:rsid w:val="00F64D01"/>
    <w:rsid w:val="00F66AB7"/>
    <w:rsid w:val="00F67AB5"/>
    <w:rsid w:val="00F70FC0"/>
    <w:rsid w:val="00F719FA"/>
    <w:rsid w:val="00F74D0F"/>
    <w:rsid w:val="00F76B08"/>
    <w:rsid w:val="00F84E31"/>
    <w:rsid w:val="00F85E4C"/>
    <w:rsid w:val="00F97B6F"/>
    <w:rsid w:val="00FA3D28"/>
    <w:rsid w:val="00FA7120"/>
    <w:rsid w:val="00FB0E0D"/>
    <w:rsid w:val="00FB164D"/>
    <w:rsid w:val="00FB4662"/>
    <w:rsid w:val="00FB516A"/>
    <w:rsid w:val="00FC0C39"/>
    <w:rsid w:val="00FC5AAC"/>
    <w:rsid w:val="00FC7EC6"/>
    <w:rsid w:val="00FC7F28"/>
    <w:rsid w:val="00FD5AA5"/>
    <w:rsid w:val="00FD74E2"/>
    <w:rsid w:val="00FE0BD4"/>
    <w:rsid w:val="00FE3662"/>
    <w:rsid w:val="00FE7596"/>
    <w:rsid w:val="00FF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2D127E"/>
  <w15:docId w15:val="{65EDECC3-9E78-4E41-85BC-CC8EE75F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C3B"/>
    <w:pPr>
      <w:spacing w:after="200" w:line="276" w:lineRule="auto"/>
    </w:pPr>
    <w:rPr>
      <w:rFonts w:cs="Calibri"/>
      <w:sz w:val="22"/>
      <w:szCs w:val="22"/>
    </w:rPr>
  </w:style>
  <w:style w:type="paragraph" w:styleId="Heading1">
    <w:name w:val="heading 1"/>
    <w:basedOn w:val="ListParagraph"/>
    <w:next w:val="Normal"/>
    <w:link w:val="Heading1Char"/>
    <w:qFormat/>
    <w:locked/>
    <w:rsid w:val="00A002E8"/>
    <w:pPr>
      <w:numPr>
        <w:numId w:val="1"/>
      </w:numPr>
      <w:outlineLvl w:val="0"/>
    </w:pPr>
    <w:rPr>
      <w:rFonts w:ascii="Arial" w:hAnsi="Arial" w:cs="Arial"/>
      <w:b/>
      <w:bCs/>
    </w:rPr>
  </w:style>
  <w:style w:type="paragraph" w:styleId="Heading2">
    <w:name w:val="heading 2"/>
    <w:basedOn w:val="ListParagraph"/>
    <w:next w:val="Normal"/>
    <w:link w:val="Heading2Char"/>
    <w:unhideWhenUsed/>
    <w:qFormat/>
    <w:locked/>
    <w:rsid w:val="00A002E8"/>
    <w:pPr>
      <w:numPr>
        <w:numId w:val="4"/>
      </w:numPr>
      <w:spacing w:after="0"/>
      <w:outlineLvl w:val="1"/>
    </w:pPr>
    <w:rPr>
      <w:rFonts w:ascii="Arial" w:hAnsi="Arial" w:cs="Arial"/>
      <w:b/>
      <w:bCs/>
    </w:rPr>
  </w:style>
  <w:style w:type="paragraph" w:styleId="Heading3">
    <w:name w:val="heading 3"/>
    <w:basedOn w:val="ListParagraph"/>
    <w:next w:val="Normal"/>
    <w:link w:val="Heading3Char"/>
    <w:unhideWhenUsed/>
    <w:qFormat/>
    <w:locked/>
    <w:rsid w:val="00CF4FBE"/>
    <w:pPr>
      <w:numPr>
        <w:ilvl w:val="2"/>
        <w:numId w:val="8"/>
      </w:numPr>
      <w:spacing w:after="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762B"/>
    <w:pPr>
      <w:ind w:left="720"/>
    </w:pPr>
  </w:style>
  <w:style w:type="character" w:styleId="Hyperlink">
    <w:name w:val="Hyperlink"/>
    <w:uiPriority w:val="99"/>
    <w:rsid w:val="00EA5FF4"/>
    <w:rPr>
      <w:color w:val="0000FF"/>
      <w:u w:val="single"/>
    </w:rPr>
  </w:style>
  <w:style w:type="paragraph" w:styleId="PlainText">
    <w:name w:val="Plain Text"/>
    <w:basedOn w:val="Normal"/>
    <w:link w:val="PlainTextChar"/>
    <w:uiPriority w:val="99"/>
    <w:rsid w:val="00EA5FF4"/>
    <w:pPr>
      <w:spacing w:after="0" w:line="240" w:lineRule="auto"/>
    </w:pPr>
    <w:rPr>
      <w:rFonts w:ascii="Consolas" w:hAnsi="Consolas" w:cs="Consolas"/>
      <w:sz w:val="21"/>
      <w:szCs w:val="21"/>
    </w:rPr>
  </w:style>
  <w:style w:type="character" w:customStyle="1" w:styleId="PlainTextChar">
    <w:name w:val="Plain Text Char"/>
    <w:link w:val="PlainText"/>
    <w:uiPriority w:val="99"/>
    <w:locked/>
    <w:rsid w:val="00EA5FF4"/>
    <w:rPr>
      <w:rFonts w:ascii="Consolas" w:hAnsi="Consolas" w:cs="Consolas"/>
      <w:sz w:val="21"/>
      <w:szCs w:val="21"/>
    </w:rPr>
  </w:style>
  <w:style w:type="paragraph" w:styleId="Header">
    <w:name w:val="header"/>
    <w:basedOn w:val="Normal"/>
    <w:link w:val="HeaderChar"/>
    <w:uiPriority w:val="99"/>
    <w:rsid w:val="0077446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74468"/>
  </w:style>
  <w:style w:type="paragraph" w:styleId="Footer">
    <w:name w:val="footer"/>
    <w:basedOn w:val="Normal"/>
    <w:link w:val="FooterChar"/>
    <w:uiPriority w:val="99"/>
    <w:rsid w:val="0077446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74468"/>
  </w:style>
  <w:style w:type="paragraph" w:styleId="BalloonText">
    <w:name w:val="Balloon Text"/>
    <w:basedOn w:val="Normal"/>
    <w:link w:val="BalloonTextChar"/>
    <w:uiPriority w:val="99"/>
    <w:semiHidden/>
    <w:rsid w:val="00847E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47E93"/>
    <w:rPr>
      <w:rFonts w:ascii="Tahoma" w:hAnsi="Tahoma" w:cs="Tahoma"/>
      <w:sz w:val="16"/>
      <w:szCs w:val="16"/>
    </w:rPr>
  </w:style>
  <w:style w:type="character" w:styleId="CommentReference">
    <w:name w:val="annotation reference"/>
    <w:uiPriority w:val="99"/>
    <w:semiHidden/>
    <w:rsid w:val="00F97B6F"/>
    <w:rPr>
      <w:sz w:val="16"/>
      <w:szCs w:val="16"/>
    </w:rPr>
  </w:style>
  <w:style w:type="paragraph" w:styleId="CommentText">
    <w:name w:val="annotation text"/>
    <w:basedOn w:val="Normal"/>
    <w:link w:val="CommentTextChar"/>
    <w:uiPriority w:val="99"/>
    <w:semiHidden/>
    <w:rsid w:val="00F97B6F"/>
    <w:rPr>
      <w:sz w:val="20"/>
      <w:szCs w:val="20"/>
    </w:rPr>
  </w:style>
  <w:style w:type="character" w:customStyle="1" w:styleId="CommentTextChar">
    <w:name w:val="Comment Text Char"/>
    <w:link w:val="CommentText"/>
    <w:uiPriority w:val="99"/>
    <w:semiHidden/>
    <w:locked/>
    <w:rsid w:val="00A63CB1"/>
    <w:rPr>
      <w:sz w:val="20"/>
      <w:szCs w:val="20"/>
    </w:rPr>
  </w:style>
  <w:style w:type="paragraph" w:styleId="CommentSubject">
    <w:name w:val="annotation subject"/>
    <w:basedOn w:val="CommentText"/>
    <w:next w:val="CommentText"/>
    <w:link w:val="CommentSubjectChar"/>
    <w:uiPriority w:val="99"/>
    <w:semiHidden/>
    <w:rsid w:val="00F97B6F"/>
    <w:rPr>
      <w:b/>
      <w:bCs/>
    </w:rPr>
  </w:style>
  <w:style w:type="character" w:customStyle="1" w:styleId="CommentSubjectChar">
    <w:name w:val="Comment Subject Char"/>
    <w:link w:val="CommentSubject"/>
    <w:uiPriority w:val="99"/>
    <w:semiHidden/>
    <w:locked/>
    <w:rsid w:val="00A63CB1"/>
    <w:rPr>
      <w:b/>
      <w:bCs/>
      <w:sz w:val="20"/>
      <w:szCs w:val="20"/>
    </w:rPr>
  </w:style>
  <w:style w:type="character" w:customStyle="1" w:styleId="Heading1Char">
    <w:name w:val="Heading 1 Char"/>
    <w:basedOn w:val="DefaultParagraphFont"/>
    <w:link w:val="Heading1"/>
    <w:rsid w:val="00A002E8"/>
    <w:rPr>
      <w:rFonts w:ascii="Arial" w:hAnsi="Arial" w:cs="Arial"/>
      <w:b/>
      <w:bCs/>
      <w:sz w:val="22"/>
      <w:szCs w:val="22"/>
    </w:rPr>
  </w:style>
  <w:style w:type="character" w:customStyle="1" w:styleId="Heading2Char">
    <w:name w:val="Heading 2 Char"/>
    <w:basedOn w:val="DefaultParagraphFont"/>
    <w:link w:val="Heading2"/>
    <w:rsid w:val="00A002E8"/>
    <w:rPr>
      <w:rFonts w:ascii="Arial" w:hAnsi="Arial" w:cs="Arial"/>
      <w:b/>
      <w:bCs/>
      <w:sz w:val="22"/>
      <w:szCs w:val="22"/>
    </w:rPr>
  </w:style>
  <w:style w:type="character" w:customStyle="1" w:styleId="Heading3Char">
    <w:name w:val="Heading 3 Char"/>
    <w:basedOn w:val="DefaultParagraphFont"/>
    <w:link w:val="Heading3"/>
    <w:rsid w:val="00CF4FBE"/>
    <w:rPr>
      <w:rFonts w:ascii="Arial" w:hAnsi="Arial" w:cs="Arial"/>
      <w:b/>
      <w:bCs/>
      <w:sz w:val="22"/>
      <w:szCs w:val="22"/>
    </w:rPr>
  </w:style>
  <w:style w:type="paragraph" w:styleId="TOC1">
    <w:name w:val="toc 1"/>
    <w:basedOn w:val="Normal"/>
    <w:next w:val="Normal"/>
    <w:autoRedefine/>
    <w:uiPriority w:val="39"/>
    <w:locked/>
    <w:rsid w:val="00CF4FBE"/>
    <w:pPr>
      <w:spacing w:after="0" w:line="240" w:lineRule="auto"/>
    </w:pPr>
    <w:rPr>
      <w:rFonts w:ascii="Arial" w:hAnsi="Arial"/>
    </w:rPr>
  </w:style>
  <w:style w:type="paragraph" w:styleId="TOC2">
    <w:name w:val="toc 2"/>
    <w:basedOn w:val="Normal"/>
    <w:next w:val="Normal"/>
    <w:autoRedefine/>
    <w:uiPriority w:val="39"/>
    <w:locked/>
    <w:rsid w:val="00CF4FBE"/>
    <w:pPr>
      <w:spacing w:after="0" w:line="240" w:lineRule="auto"/>
      <w:ind w:left="720"/>
    </w:pPr>
    <w:rPr>
      <w:rFonts w:ascii="Arial" w:hAnsi="Arial"/>
    </w:rPr>
  </w:style>
  <w:style w:type="paragraph" w:styleId="TOC3">
    <w:name w:val="toc 3"/>
    <w:basedOn w:val="Normal"/>
    <w:next w:val="Normal"/>
    <w:autoRedefine/>
    <w:uiPriority w:val="39"/>
    <w:locked/>
    <w:rsid w:val="00A066E3"/>
    <w:pPr>
      <w:tabs>
        <w:tab w:val="left" w:pos="1920"/>
        <w:tab w:val="right" w:leader="dot" w:pos="9350"/>
      </w:tabs>
      <w:spacing w:after="0" w:line="240" w:lineRule="auto"/>
      <w:ind w:left="1440"/>
    </w:pPr>
    <w:rPr>
      <w:rFonts w:ascii="Arial" w:hAnsi="Arial"/>
    </w:rPr>
  </w:style>
  <w:style w:type="paragraph" w:styleId="Revision">
    <w:name w:val="Revision"/>
    <w:hidden/>
    <w:uiPriority w:val="99"/>
    <w:semiHidden/>
    <w:rsid w:val="004B1984"/>
    <w:rPr>
      <w:rFonts w:cs="Calibri"/>
      <w:sz w:val="22"/>
      <w:szCs w:val="22"/>
    </w:rPr>
  </w:style>
  <w:style w:type="character" w:styleId="UnresolvedMention">
    <w:name w:val="Unresolved Mention"/>
    <w:basedOn w:val="DefaultParagraphFont"/>
    <w:uiPriority w:val="99"/>
    <w:semiHidden/>
    <w:unhideWhenUsed/>
    <w:rsid w:val="00D7207F"/>
    <w:rPr>
      <w:color w:val="605E5C"/>
      <w:shd w:val="clear" w:color="auto" w:fill="E1DFDD"/>
    </w:rPr>
  </w:style>
  <w:style w:type="character" w:styleId="FollowedHyperlink">
    <w:name w:val="FollowedHyperlink"/>
    <w:basedOn w:val="DefaultParagraphFont"/>
    <w:uiPriority w:val="99"/>
    <w:semiHidden/>
    <w:unhideWhenUsed/>
    <w:rsid w:val="005A48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5658">
      <w:bodyDiv w:val="1"/>
      <w:marLeft w:val="0"/>
      <w:marRight w:val="0"/>
      <w:marTop w:val="0"/>
      <w:marBottom w:val="0"/>
      <w:divBdr>
        <w:top w:val="none" w:sz="0" w:space="0" w:color="auto"/>
        <w:left w:val="none" w:sz="0" w:space="0" w:color="auto"/>
        <w:bottom w:val="none" w:sz="0" w:space="0" w:color="auto"/>
        <w:right w:val="none" w:sz="0" w:space="0" w:color="auto"/>
      </w:divBdr>
      <w:divsChild>
        <w:div w:id="1213692573">
          <w:marLeft w:val="0"/>
          <w:marRight w:val="0"/>
          <w:marTop w:val="0"/>
          <w:marBottom w:val="0"/>
          <w:divBdr>
            <w:top w:val="none" w:sz="0" w:space="0" w:color="3D3D3D"/>
            <w:left w:val="none" w:sz="0" w:space="0" w:color="3D3D3D"/>
            <w:bottom w:val="none" w:sz="0" w:space="0" w:color="3D3D3D"/>
            <w:right w:val="none" w:sz="0" w:space="0" w:color="3D3D3D"/>
          </w:divBdr>
          <w:divsChild>
            <w:div w:id="185383236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57327405">
      <w:marLeft w:val="0"/>
      <w:marRight w:val="0"/>
      <w:marTop w:val="0"/>
      <w:marBottom w:val="0"/>
      <w:divBdr>
        <w:top w:val="none" w:sz="0" w:space="0" w:color="auto"/>
        <w:left w:val="none" w:sz="0" w:space="0" w:color="auto"/>
        <w:bottom w:val="none" w:sz="0" w:space="0" w:color="auto"/>
        <w:right w:val="none" w:sz="0" w:space="0" w:color="auto"/>
      </w:divBdr>
      <w:divsChild>
        <w:div w:id="1257327414">
          <w:marLeft w:val="0"/>
          <w:marRight w:val="0"/>
          <w:marTop w:val="0"/>
          <w:marBottom w:val="0"/>
          <w:divBdr>
            <w:top w:val="none" w:sz="0" w:space="0" w:color="auto"/>
            <w:left w:val="none" w:sz="0" w:space="0" w:color="auto"/>
            <w:bottom w:val="none" w:sz="0" w:space="0" w:color="auto"/>
            <w:right w:val="none" w:sz="0" w:space="0" w:color="auto"/>
          </w:divBdr>
          <w:divsChild>
            <w:div w:id="12573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7407">
      <w:marLeft w:val="0"/>
      <w:marRight w:val="0"/>
      <w:marTop w:val="0"/>
      <w:marBottom w:val="0"/>
      <w:divBdr>
        <w:top w:val="none" w:sz="0" w:space="0" w:color="auto"/>
        <w:left w:val="none" w:sz="0" w:space="0" w:color="auto"/>
        <w:bottom w:val="none" w:sz="0" w:space="0" w:color="auto"/>
        <w:right w:val="none" w:sz="0" w:space="0" w:color="auto"/>
      </w:divBdr>
      <w:divsChild>
        <w:div w:id="1257327410">
          <w:marLeft w:val="0"/>
          <w:marRight w:val="0"/>
          <w:marTop w:val="0"/>
          <w:marBottom w:val="0"/>
          <w:divBdr>
            <w:top w:val="none" w:sz="0" w:space="0" w:color="auto"/>
            <w:left w:val="none" w:sz="0" w:space="0" w:color="auto"/>
            <w:bottom w:val="none" w:sz="0" w:space="0" w:color="auto"/>
            <w:right w:val="none" w:sz="0" w:space="0" w:color="auto"/>
          </w:divBdr>
          <w:divsChild>
            <w:div w:id="12573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7411">
      <w:marLeft w:val="0"/>
      <w:marRight w:val="0"/>
      <w:marTop w:val="0"/>
      <w:marBottom w:val="0"/>
      <w:divBdr>
        <w:top w:val="none" w:sz="0" w:space="0" w:color="auto"/>
        <w:left w:val="none" w:sz="0" w:space="0" w:color="auto"/>
        <w:bottom w:val="none" w:sz="0" w:space="0" w:color="auto"/>
        <w:right w:val="none" w:sz="0" w:space="0" w:color="auto"/>
      </w:divBdr>
      <w:divsChild>
        <w:div w:id="1257327409">
          <w:marLeft w:val="0"/>
          <w:marRight w:val="0"/>
          <w:marTop w:val="0"/>
          <w:marBottom w:val="0"/>
          <w:divBdr>
            <w:top w:val="none" w:sz="0" w:space="0" w:color="auto"/>
            <w:left w:val="none" w:sz="0" w:space="0" w:color="auto"/>
            <w:bottom w:val="none" w:sz="0" w:space="0" w:color="auto"/>
            <w:right w:val="none" w:sz="0" w:space="0" w:color="auto"/>
          </w:divBdr>
          <w:divsChild>
            <w:div w:id="12573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7412">
      <w:marLeft w:val="0"/>
      <w:marRight w:val="0"/>
      <w:marTop w:val="0"/>
      <w:marBottom w:val="0"/>
      <w:divBdr>
        <w:top w:val="none" w:sz="0" w:space="0" w:color="auto"/>
        <w:left w:val="none" w:sz="0" w:space="0" w:color="auto"/>
        <w:bottom w:val="none" w:sz="0" w:space="0" w:color="auto"/>
        <w:right w:val="none" w:sz="0" w:space="0" w:color="auto"/>
      </w:divBdr>
      <w:divsChild>
        <w:div w:id="1257327419">
          <w:marLeft w:val="0"/>
          <w:marRight w:val="0"/>
          <w:marTop w:val="0"/>
          <w:marBottom w:val="0"/>
          <w:divBdr>
            <w:top w:val="none" w:sz="0" w:space="0" w:color="auto"/>
            <w:left w:val="none" w:sz="0" w:space="0" w:color="auto"/>
            <w:bottom w:val="none" w:sz="0" w:space="0" w:color="auto"/>
            <w:right w:val="none" w:sz="0" w:space="0" w:color="auto"/>
          </w:divBdr>
          <w:divsChild>
            <w:div w:id="12573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7417">
      <w:marLeft w:val="0"/>
      <w:marRight w:val="0"/>
      <w:marTop w:val="0"/>
      <w:marBottom w:val="0"/>
      <w:divBdr>
        <w:top w:val="none" w:sz="0" w:space="0" w:color="auto"/>
        <w:left w:val="none" w:sz="0" w:space="0" w:color="auto"/>
        <w:bottom w:val="none" w:sz="0" w:space="0" w:color="auto"/>
        <w:right w:val="none" w:sz="0" w:space="0" w:color="auto"/>
      </w:divBdr>
      <w:divsChild>
        <w:div w:id="1257327413">
          <w:marLeft w:val="0"/>
          <w:marRight w:val="0"/>
          <w:marTop w:val="0"/>
          <w:marBottom w:val="0"/>
          <w:divBdr>
            <w:top w:val="none" w:sz="0" w:space="0" w:color="auto"/>
            <w:left w:val="none" w:sz="0" w:space="0" w:color="auto"/>
            <w:bottom w:val="none" w:sz="0" w:space="0" w:color="auto"/>
            <w:right w:val="none" w:sz="0" w:space="0" w:color="auto"/>
          </w:divBdr>
          <w:divsChild>
            <w:div w:id="12573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7420">
      <w:marLeft w:val="0"/>
      <w:marRight w:val="0"/>
      <w:marTop w:val="0"/>
      <w:marBottom w:val="0"/>
      <w:divBdr>
        <w:top w:val="none" w:sz="0" w:space="0" w:color="auto"/>
        <w:left w:val="none" w:sz="0" w:space="0" w:color="auto"/>
        <w:bottom w:val="none" w:sz="0" w:space="0" w:color="auto"/>
        <w:right w:val="none" w:sz="0" w:space="0" w:color="auto"/>
      </w:divBdr>
      <w:divsChild>
        <w:div w:id="1257327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nchbook.sog.unc.edu/criminal/ineffective-assistance-counsel-updated-may-202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nchbook.sog.unc.edu/evidence/impeach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criminallaw.sog.unc.edu/use-of-a-defendants-pre-and-post-arrest-silence-at-tri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ccriminallaw.sog.unc.edu/letting-the-jury-know-about-collateral-consequences-of-a-conviction/" TargetMode="External"/><Relationship Id="rId4" Type="http://schemas.openxmlformats.org/officeDocument/2006/relationships/settings" Target="settings.xml"/><Relationship Id="rId9" Type="http://schemas.openxmlformats.org/officeDocument/2006/relationships/hyperlink" Target="https://ccat.sog.unc.edu/cards/?find=1&amp;cats=775&amp;field=all&amp;t=s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ABA2E-AA21-4D95-9A85-39105551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12559</Words>
  <Characters>71591</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JURY ARGUMENT: SUBSTANTIVE ISSUES</vt:lpstr>
    </vt:vector>
  </TitlesOfParts>
  <Company>The University of North Carolina at Chapel Hill</Company>
  <LinksUpToDate>false</LinksUpToDate>
  <CharactersWithSpaces>83983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ARGUMENT: SUBSTANTIVE ISSUES</dc:title>
  <dc:creator>Smith, Jessica</dc:creator>
  <cp:lastModifiedBy>Christopher Tyner</cp:lastModifiedBy>
  <cp:revision>4</cp:revision>
  <cp:lastPrinted>2012-04-24T13:36:00Z</cp:lastPrinted>
  <dcterms:created xsi:type="dcterms:W3CDTF">2024-04-04T10:09:00Z</dcterms:created>
  <dcterms:modified xsi:type="dcterms:W3CDTF">2024-04-04T10:25:00Z</dcterms:modified>
</cp:coreProperties>
</file>