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DFA67" w14:textId="77777777" w:rsidR="00EE30AD" w:rsidRPr="008B1F04" w:rsidRDefault="004C0063" w:rsidP="004C0063">
      <w:pPr>
        <w:jc w:val="center"/>
        <w:rPr>
          <w:rFonts w:cs="Arial"/>
          <w:b/>
          <w:sz w:val="24"/>
          <w:szCs w:val="24"/>
        </w:rPr>
      </w:pPr>
      <w:r w:rsidRPr="008B1F04">
        <w:rPr>
          <w:rFonts w:cs="Arial"/>
          <w:b/>
          <w:sz w:val="24"/>
          <w:szCs w:val="24"/>
        </w:rPr>
        <w:t>CRIMINAL EVIDENCE: HEARSAY</w:t>
      </w:r>
    </w:p>
    <w:p w14:paraId="60BC0DC5" w14:textId="77777777" w:rsidR="004C0063" w:rsidRPr="008B1F04" w:rsidRDefault="004C0063" w:rsidP="004C0063">
      <w:pPr>
        <w:jc w:val="center"/>
        <w:rPr>
          <w:rFonts w:cs="Arial"/>
        </w:rPr>
      </w:pPr>
    </w:p>
    <w:p w14:paraId="29691BEE" w14:textId="77777777" w:rsidR="00F01641" w:rsidRPr="008B1F04" w:rsidRDefault="00F01641" w:rsidP="00F83AD6">
      <w:pPr>
        <w:rPr>
          <w:rFonts w:cs="Arial"/>
        </w:rPr>
      </w:pPr>
      <w:r w:rsidRPr="008B1F04">
        <w:rPr>
          <w:rFonts w:cs="Arial"/>
        </w:rPr>
        <w:t>Jessica Smith, UNC School of Government (</w:t>
      </w:r>
      <w:r w:rsidR="00676B14" w:rsidRPr="008B1F04">
        <w:rPr>
          <w:rFonts w:cs="Arial"/>
        </w:rPr>
        <w:t>October</w:t>
      </w:r>
      <w:r w:rsidRPr="008B1F04">
        <w:rPr>
          <w:rFonts w:cs="Arial"/>
        </w:rPr>
        <w:t>, 2013)</w:t>
      </w:r>
    </w:p>
    <w:p w14:paraId="40613960" w14:textId="77777777" w:rsidR="00F01641" w:rsidRPr="008B1F04" w:rsidRDefault="00F01641" w:rsidP="00F83AD6">
      <w:pPr>
        <w:jc w:val="center"/>
        <w:rPr>
          <w:rFonts w:cs="Arial"/>
        </w:rPr>
      </w:pPr>
    </w:p>
    <w:p w14:paraId="6CE2EF64" w14:textId="77777777" w:rsidR="00A8480B" w:rsidRPr="00AA085B" w:rsidRDefault="00AA085B" w:rsidP="00F83AD6">
      <w:pPr>
        <w:rPr>
          <w:rFonts w:cs="Arial"/>
          <w:b/>
        </w:rPr>
      </w:pPr>
      <w:r>
        <w:rPr>
          <w:rFonts w:cs="Arial"/>
          <w:b/>
        </w:rPr>
        <w:t>Contents</w:t>
      </w:r>
    </w:p>
    <w:p w14:paraId="5906AF29" w14:textId="77777777" w:rsidR="00AA085B" w:rsidRDefault="00AA085B">
      <w:pPr>
        <w:pStyle w:val="TOC1"/>
        <w:tabs>
          <w:tab w:val="left" w:pos="720"/>
          <w:tab w:val="right" w:leader="dot" w:pos="9350"/>
        </w:tabs>
        <w:rPr>
          <w:rFonts w:asciiTheme="minorHAnsi" w:eastAsiaTheme="minorEastAsia" w:hAnsiTheme="minorHAnsi"/>
          <w:noProof/>
        </w:rPr>
      </w:pPr>
      <w:r>
        <w:rPr>
          <w:rFonts w:cs="Arial"/>
        </w:rPr>
        <w:fldChar w:fldCharType="begin"/>
      </w:r>
      <w:r>
        <w:rPr>
          <w:rFonts w:cs="Arial"/>
        </w:rPr>
        <w:instrText xml:space="preserve"> TOC \o "1-3" \h \z \u </w:instrText>
      </w:r>
      <w:r>
        <w:rPr>
          <w:rFonts w:cs="Arial"/>
        </w:rPr>
        <w:fldChar w:fldCharType="separate"/>
      </w:r>
      <w:hyperlink w:anchor="_Toc405983772" w:history="1">
        <w:r w:rsidRPr="00DF6FD1">
          <w:rPr>
            <w:rStyle w:val="Hyperlink"/>
            <w:noProof/>
          </w:rPr>
          <w:t>I.</w:t>
        </w:r>
        <w:r>
          <w:rPr>
            <w:rFonts w:asciiTheme="minorHAnsi" w:eastAsiaTheme="minorEastAsia" w:hAnsiTheme="minorHAnsi"/>
            <w:noProof/>
          </w:rPr>
          <w:tab/>
        </w:r>
        <w:r w:rsidRPr="00DF6FD1">
          <w:rPr>
            <w:rStyle w:val="Hyperlink"/>
            <w:noProof/>
          </w:rPr>
          <w:t>Introduction</w:t>
        </w:r>
        <w:r>
          <w:rPr>
            <w:noProof/>
            <w:webHidden/>
          </w:rPr>
          <w:tab/>
        </w:r>
        <w:r>
          <w:rPr>
            <w:noProof/>
            <w:webHidden/>
          </w:rPr>
          <w:fldChar w:fldCharType="begin"/>
        </w:r>
        <w:r>
          <w:rPr>
            <w:noProof/>
            <w:webHidden/>
          </w:rPr>
          <w:instrText xml:space="preserve"> PAGEREF _Toc405983772 \h </w:instrText>
        </w:r>
        <w:r>
          <w:rPr>
            <w:noProof/>
            <w:webHidden/>
          </w:rPr>
        </w:r>
        <w:r>
          <w:rPr>
            <w:noProof/>
            <w:webHidden/>
          </w:rPr>
          <w:fldChar w:fldCharType="separate"/>
        </w:r>
        <w:r w:rsidR="00C96B0D">
          <w:rPr>
            <w:noProof/>
            <w:webHidden/>
          </w:rPr>
          <w:t>1</w:t>
        </w:r>
        <w:r>
          <w:rPr>
            <w:noProof/>
            <w:webHidden/>
          </w:rPr>
          <w:fldChar w:fldCharType="end"/>
        </w:r>
      </w:hyperlink>
    </w:p>
    <w:p w14:paraId="707A9E05" w14:textId="77777777" w:rsidR="00AA085B" w:rsidRDefault="00DB1C82">
      <w:pPr>
        <w:pStyle w:val="TOC2"/>
        <w:tabs>
          <w:tab w:val="left" w:pos="1440"/>
        </w:tabs>
        <w:rPr>
          <w:rFonts w:asciiTheme="minorHAnsi" w:eastAsiaTheme="minorEastAsia" w:hAnsiTheme="minorHAnsi"/>
          <w:noProof/>
        </w:rPr>
      </w:pPr>
      <w:hyperlink w:anchor="_Toc405983773" w:history="1">
        <w:r w:rsidR="00AA085B" w:rsidRPr="00DF6FD1">
          <w:rPr>
            <w:rStyle w:val="Hyperlink"/>
            <w:bCs/>
            <w:noProof/>
          </w:rPr>
          <w:t>A.</w:t>
        </w:r>
        <w:r w:rsidR="00AA085B">
          <w:rPr>
            <w:rFonts w:asciiTheme="minorHAnsi" w:eastAsiaTheme="minorEastAsia" w:hAnsiTheme="minorHAnsi"/>
            <w:noProof/>
          </w:rPr>
          <w:tab/>
        </w:r>
        <w:r w:rsidR="00AA085B" w:rsidRPr="00DF6FD1">
          <w:rPr>
            <w:rStyle w:val="Hyperlink"/>
            <w:noProof/>
          </w:rPr>
          <w:t>The Hearsay Rule</w:t>
        </w:r>
        <w:r w:rsidR="00AA085B">
          <w:rPr>
            <w:noProof/>
            <w:webHidden/>
          </w:rPr>
          <w:tab/>
        </w:r>
        <w:r w:rsidR="00AA085B">
          <w:rPr>
            <w:noProof/>
            <w:webHidden/>
          </w:rPr>
          <w:fldChar w:fldCharType="begin"/>
        </w:r>
        <w:r w:rsidR="00AA085B">
          <w:rPr>
            <w:noProof/>
            <w:webHidden/>
          </w:rPr>
          <w:instrText xml:space="preserve"> PAGEREF _Toc405983773 \h </w:instrText>
        </w:r>
        <w:r w:rsidR="00AA085B">
          <w:rPr>
            <w:noProof/>
            <w:webHidden/>
          </w:rPr>
        </w:r>
        <w:r w:rsidR="00AA085B">
          <w:rPr>
            <w:noProof/>
            <w:webHidden/>
          </w:rPr>
          <w:fldChar w:fldCharType="separate"/>
        </w:r>
        <w:r w:rsidR="00C96B0D">
          <w:rPr>
            <w:noProof/>
            <w:webHidden/>
          </w:rPr>
          <w:t>1</w:t>
        </w:r>
        <w:r w:rsidR="00AA085B">
          <w:rPr>
            <w:noProof/>
            <w:webHidden/>
          </w:rPr>
          <w:fldChar w:fldCharType="end"/>
        </w:r>
      </w:hyperlink>
    </w:p>
    <w:p w14:paraId="2B0D15C3" w14:textId="77777777" w:rsidR="00AA085B" w:rsidRDefault="00DB1C82">
      <w:pPr>
        <w:pStyle w:val="TOC2"/>
        <w:tabs>
          <w:tab w:val="left" w:pos="1440"/>
        </w:tabs>
        <w:rPr>
          <w:rFonts w:asciiTheme="minorHAnsi" w:eastAsiaTheme="minorEastAsia" w:hAnsiTheme="minorHAnsi"/>
          <w:noProof/>
        </w:rPr>
      </w:pPr>
      <w:hyperlink w:anchor="_Toc405983774" w:history="1">
        <w:r w:rsidR="00AA085B" w:rsidRPr="00DF6FD1">
          <w:rPr>
            <w:rStyle w:val="Hyperlink"/>
            <w:noProof/>
          </w:rPr>
          <w:t>B.</w:t>
        </w:r>
        <w:r w:rsidR="00AA085B">
          <w:rPr>
            <w:rFonts w:asciiTheme="minorHAnsi" w:eastAsiaTheme="minorEastAsia" w:hAnsiTheme="minorHAnsi"/>
            <w:noProof/>
          </w:rPr>
          <w:tab/>
        </w:r>
        <w:r w:rsidR="00AA085B" w:rsidRPr="00DF6FD1">
          <w:rPr>
            <w:rStyle w:val="Hyperlink"/>
            <w:noProof/>
          </w:rPr>
          <w:t>Hearsay Defined</w:t>
        </w:r>
        <w:r w:rsidR="00AA085B">
          <w:rPr>
            <w:noProof/>
            <w:webHidden/>
          </w:rPr>
          <w:tab/>
        </w:r>
        <w:r w:rsidR="00AA085B">
          <w:rPr>
            <w:noProof/>
            <w:webHidden/>
          </w:rPr>
          <w:fldChar w:fldCharType="begin"/>
        </w:r>
        <w:r w:rsidR="00AA085B">
          <w:rPr>
            <w:noProof/>
            <w:webHidden/>
          </w:rPr>
          <w:instrText xml:space="preserve"> PAGEREF _Toc405983774 \h </w:instrText>
        </w:r>
        <w:r w:rsidR="00AA085B">
          <w:rPr>
            <w:noProof/>
            <w:webHidden/>
          </w:rPr>
        </w:r>
        <w:r w:rsidR="00AA085B">
          <w:rPr>
            <w:noProof/>
            <w:webHidden/>
          </w:rPr>
          <w:fldChar w:fldCharType="separate"/>
        </w:r>
        <w:r w:rsidR="00C96B0D">
          <w:rPr>
            <w:noProof/>
            <w:webHidden/>
          </w:rPr>
          <w:t>1</w:t>
        </w:r>
        <w:r w:rsidR="00AA085B">
          <w:rPr>
            <w:noProof/>
            <w:webHidden/>
          </w:rPr>
          <w:fldChar w:fldCharType="end"/>
        </w:r>
      </w:hyperlink>
    </w:p>
    <w:p w14:paraId="30089BB4" w14:textId="77777777" w:rsidR="00AA085B" w:rsidRDefault="00DB1C82">
      <w:pPr>
        <w:pStyle w:val="TOC3"/>
        <w:tabs>
          <w:tab w:val="left" w:pos="1843"/>
        </w:tabs>
        <w:rPr>
          <w:rFonts w:asciiTheme="minorHAnsi" w:eastAsiaTheme="minorEastAsia" w:hAnsiTheme="minorHAnsi"/>
          <w:noProof/>
        </w:rPr>
      </w:pPr>
      <w:hyperlink w:anchor="_Toc405983775" w:history="1">
        <w:r w:rsidR="00AA085B" w:rsidRPr="00DF6FD1">
          <w:rPr>
            <w:rStyle w:val="Hyperlink"/>
            <w:noProof/>
          </w:rPr>
          <w:t>1.</w:t>
        </w:r>
        <w:r w:rsidR="00AA085B">
          <w:rPr>
            <w:rFonts w:asciiTheme="minorHAnsi" w:eastAsiaTheme="minorEastAsia" w:hAnsiTheme="minorHAnsi"/>
            <w:noProof/>
          </w:rPr>
          <w:tab/>
        </w:r>
        <w:r w:rsidR="00AA085B" w:rsidRPr="00DF6FD1">
          <w:rPr>
            <w:rStyle w:val="Hyperlink"/>
            <w:noProof/>
          </w:rPr>
          <w:t>Statement</w:t>
        </w:r>
        <w:r w:rsidR="00AA085B">
          <w:rPr>
            <w:noProof/>
            <w:webHidden/>
          </w:rPr>
          <w:tab/>
        </w:r>
        <w:r w:rsidR="00AA085B">
          <w:rPr>
            <w:noProof/>
            <w:webHidden/>
          </w:rPr>
          <w:fldChar w:fldCharType="begin"/>
        </w:r>
        <w:r w:rsidR="00AA085B">
          <w:rPr>
            <w:noProof/>
            <w:webHidden/>
          </w:rPr>
          <w:instrText xml:space="preserve"> PAGEREF _Toc405983775 \h </w:instrText>
        </w:r>
        <w:r w:rsidR="00AA085B">
          <w:rPr>
            <w:noProof/>
            <w:webHidden/>
          </w:rPr>
        </w:r>
        <w:r w:rsidR="00AA085B">
          <w:rPr>
            <w:noProof/>
            <w:webHidden/>
          </w:rPr>
          <w:fldChar w:fldCharType="separate"/>
        </w:r>
        <w:r w:rsidR="00C96B0D">
          <w:rPr>
            <w:noProof/>
            <w:webHidden/>
          </w:rPr>
          <w:t>1</w:t>
        </w:r>
        <w:r w:rsidR="00AA085B">
          <w:rPr>
            <w:noProof/>
            <w:webHidden/>
          </w:rPr>
          <w:fldChar w:fldCharType="end"/>
        </w:r>
      </w:hyperlink>
    </w:p>
    <w:p w14:paraId="554A1544" w14:textId="77777777" w:rsidR="00AA085B" w:rsidRDefault="00DB1C82">
      <w:pPr>
        <w:pStyle w:val="TOC3"/>
        <w:tabs>
          <w:tab w:val="left" w:pos="1843"/>
        </w:tabs>
        <w:rPr>
          <w:rFonts w:asciiTheme="minorHAnsi" w:eastAsiaTheme="minorEastAsia" w:hAnsiTheme="minorHAnsi"/>
          <w:noProof/>
        </w:rPr>
      </w:pPr>
      <w:hyperlink w:anchor="_Toc405983776" w:history="1">
        <w:r w:rsidR="00AA085B" w:rsidRPr="00DF6FD1">
          <w:rPr>
            <w:rStyle w:val="Hyperlink"/>
            <w:noProof/>
          </w:rPr>
          <w:t>2.</w:t>
        </w:r>
        <w:r w:rsidR="00AA085B">
          <w:rPr>
            <w:rFonts w:asciiTheme="minorHAnsi" w:eastAsiaTheme="minorEastAsia" w:hAnsiTheme="minorHAnsi"/>
            <w:noProof/>
          </w:rPr>
          <w:tab/>
        </w:r>
        <w:r w:rsidR="00AA085B" w:rsidRPr="00DF6FD1">
          <w:rPr>
            <w:rStyle w:val="Hyperlink"/>
            <w:noProof/>
          </w:rPr>
          <w:t>Declarant</w:t>
        </w:r>
        <w:r w:rsidR="00AA085B">
          <w:rPr>
            <w:noProof/>
            <w:webHidden/>
          </w:rPr>
          <w:tab/>
        </w:r>
        <w:r w:rsidR="00AA085B">
          <w:rPr>
            <w:noProof/>
            <w:webHidden/>
          </w:rPr>
          <w:fldChar w:fldCharType="begin"/>
        </w:r>
        <w:r w:rsidR="00AA085B">
          <w:rPr>
            <w:noProof/>
            <w:webHidden/>
          </w:rPr>
          <w:instrText xml:space="preserve"> PAGEREF _Toc405983776 \h </w:instrText>
        </w:r>
        <w:r w:rsidR="00AA085B">
          <w:rPr>
            <w:noProof/>
            <w:webHidden/>
          </w:rPr>
        </w:r>
        <w:r w:rsidR="00AA085B">
          <w:rPr>
            <w:noProof/>
            <w:webHidden/>
          </w:rPr>
          <w:fldChar w:fldCharType="separate"/>
        </w:r>
        <w:r w:rsidR="00C96B0D">
          <w:rPr>
            <w:noProof/>
            <w:webHidden/>
          </w:rPr>
          <w:t>2</w:t>
        </w:r>
        <w:r w:rsidR="00AA085B">
          <w:rPr>
            <w:noProof/>
            <w:webHidden/>
          </w:rPr>
          <w:fldChar w:fldCharType="end"/>
        </w:r>
      </w:hyperlink>
    </w:p>
    <w:p w14:paraId="161EB97B" w14:textId="77777777" w:rsidR="00AA085B" w:rsidRDefault="00DB1C82">
      <w:pPr>
        <w:pStyle w:val="TOC3"/>
        <w:tabs>
          <w:tab w:val="left" w:pos="1843"/>
        </w:tabs>
        <w:rPr>
          <w:rFonts w:asciiTheme="minorHAnsi" w:eastAsiaTheme="minorEastAsia" w:hAnsiTheme="minorHAnsi"/>
          <w:noProof/>
        </w:rPr>
      </w:pPr>
      <w:hyperlink w:anchor="_Toc405983777" w:history="1">
        <w:r w:rsidR="00AA085B" w:rsidRPr="00DF6FD1">
          <w:rPr>
            <w:rStyle w:val="Hyperlink"/>
            <w:noProof/>
          </w:rPr>
          <w:t>3.</w:t>
        </w:r>
        <w:r w:rsidR="00AA085B">
          <w:rPr>
            <w:rFonts w:asciiTheme="minorHAnsi" w:eastAsiaTheme="minorEastAsia" w:hAnsiTheme="minorHAnsi"/>
            <w:noProof/>
          </w:rPr>
          <w:tab/>
        </w:r>
        <w:r w:rsidR="00AA085B" w:rsidRPr="00DF6FD1">
          <w:rPr>
            <w:rStyle w:val="Hyperlink"/>
            <w:noProof/>
          </w:rPr>
          <w:t>Out of Court</w:t>
        </w:r>
        <w:r w:rsidR="00AA085B">
          <w:rPr>
            <w:noProof/>
            <w:webHidden/>
          </w:rPr>
          <w:tab/>
        </w:r>
        <w:r w:rsidR="00AA085B">
          <w:rPr>
            <w:noProof/>
            <w:webHidden/>
          </w:rPr>
          <w:fldChar w:fldCharType="begin"/>
        </w:r>
        <w:r w:rsidR="00AA085B">
          <w:rPr>
            <w:noProof/>
            <w:webHidden/>
          </w:rPr>
          <w:instrText xml:space="preserve"> PAGEREF _Toc405983777 \h </w:instrText>
        </w:r>
        <w:r w:rsidR="00AA085B">
          <w:rPr>
            <w:noProof/>
            <w:webHidden/>
          </w:rPr>
        </w:r>
        <w:r w:rsidR="00AA085B">
          <w:rPr>
            <w:noProof/>
            <w:webHidden/>
          </w:rPr>
          <w:fldChar w:fldCharType="separate"/>
        </w:r>
        <w:r w:rsidR="00C96B0D">
          <w:rPr>
            <w:noProof/>
            <w:webHidden/>
          </w:rPr>
          <w:t>2</w:t>
        </w:r>
        <w:r w:rsidR="00AA085B">
          <w:rPr>
            <w:noProof/>
            <w:webHidden/>
          </w:rPr>
          <w:fldChar w:fldCharType="end"/>
        </w:r>
      </w:hyperlink>
    </w:p>
    <w:p w14:paraId="33BE6D1D" w14:textId="77777777" w:rsidR="00AA085B" w:rsidRDefault="00DB1C82">
      <w:pPr>
        <w:pStyle w:val="TOC3"/>
        <w:tabs>
          <w:tab w:val="left" w:pos="1843"/>
        </w:tabs>
        <w:rPr>
          <w:rFonts w:asciiTheme="minorHAnsi" w:eastAsiaTheme="minorEastAsia" w:hAnsiTheme="minorHAnsi"/>
          <w:noProof/>
        </w:rPr>
      </w:pPr>
      <w:hyperlink w:anchor="_Toc405983778" w:history="1">
        <w:r w:rsidR="00AA085B" w:rsidRPr="00DF6FD1">
          <w:rPr>
            <w:rStyle w:val="Hyperlink"/>
            <w:noProof/>
          </w:rPr>
          <w:t>4.</w:t>
        </w:r>
        <w:r w:rsidR="00AA085B">
          <w:rPr>
            <w:rFonts w:asciiTheme="minorHAnsi" w:eastAsiaTheme="minorEastAsia" w:hAnsiTheme="minorHAnsi"/>
            <w:noProof/>
          </w:rPr>
          <w:tab/>
        </w:r>
        <w:r w:rsidR="00AA085B" w:rsidRPr="00DF6FD1">
          <w:rPr>
            <w:rStyle w:val="Hyperlink"/>
            <w:noProof/>
          </w:rPr>
          <w:t>For the Truth of the Matter Asserted</w:t>
        </w:r>
        <w:r w:rsidR="00AA085B">
          <w:rPr>
            <w:noProof/>
            <w:webHidden/>
          </w:rPr>
          <w:tab/>
        </w:r>
        <w:r w:rsidR="00AA085B">
          <w:rPr>
            <w:noProof/>
            <w:webHidden/>
          </w:rPr>
          <w:fldChar w:fldCharType="begin"/>
        </w:r>
        <w:r w:rsidR="00AA085B">
          <w:rPr>
            <w:noProof/>
            <w:webHidden/>
          </w:rPr>
          <w:instrText xml:space="preserve"> PAGEREF _Toc405983778 \h </w:instrText>
        </w:r>
        <w:r w:rsidR="00AA085B">
          <w:rPr>
            <w:noProof/>
            <w:webHidden/>
          </w:rPr>
        </w:r>
        <w:r w:rsidR="00AA085B">
          <w:rPr>
            <w:noProof/>
            <w:webHidden/>
          </w:rPr>
          <w:fldChar w:fldCharType="separate"/>
        </w:r>
        <w:r w:rsidR="00C96B0D">
          <w:rPr>
            <w:noProof/>
            <w:webHidden/>
          </w:rPr>
          <w:t>2</w:t>
        </w:r>
        <w:r w:rsidR="00AA085B">
          <w:rPr>
            <w:noProof/>
            <w:webHidden/>
          </w:rPr>
          <w:fldChar w:fldCharType="end"/>
        </w:r>
      </w:hyperlink>
    </w:p>
    <w:p w14:paraId="2B6CCBAD" w14:textId="77777777" w:rsidR="00AA085B" w:rsidRDefault="00DB1C82">
      <w:pPr>
        <w:pStyle w:val="TOC2"/>
        <w:tabs>
          <w:tab w:val="left" w:pos="1440"/>
        </w:tabs>
        <w:rPr>
          <w:rFonts w:asciiTheme="minorHAnsi" w:eastAsiaTheme="minorEastAsia" w:hAnsiTheme="minorHAnsi"/>
          <w:noProof/>
        </w:rPr>
      </w:pPr>
      <w:hyperlink w:anchor="_Toc405983779" w:history="1">
        <w:r w:rsidR="00AA085B" w:rsidRPr="00DF6FD1">
          <w:rPr>
            <w:rStyle w:val="Hyperlink"/>
            <w:noProof/>
          </w:rPr>
          <w:t>C.</w:t>
        </w:r>
        <w:r w:rsidR="00AA085B">
          <w:rPr>
            <w:rFonts w:asciiTheme="minorHAnsi" w:eastAsiaTheme="minorEastAsia" w:hAnsiTheme="minorHAnsi"/>
            <w:noProof/>
          </w:rPr>
          <w:tab/>
        </w:r>
        <w:r w:rsidR="00AA085B" w:rsidRPr="00DF6FD1">
          <w:rPr>
            <w:rStyle w:val="Hyperlink"/>
            <w:noProof/>
          </w:rPr>
          <w:t>Attacking and Supporting a Hearsay Declarant’s Credibility</w:t>
        </w:r>
        <w:r w:rsidR="00AA085B">
          <w:rPr>
            <w:noProof/>
            <w:webHidden/>
          </w:rPr>
          <w:tab/>
        </w:r>
        <w:r w:rsidR="00AA085B">
          <w:rPr>
            <w:noProof/>
            <w:webHidden/>
          </w:rPr>
          <w:fldChar w:fldCharType="begin"/>
        </w:r>
        <w:r w:rsidR="00AA085B">
          <w:rPr>
            <w:noProof/>
            <w:webHidden/>
          </w:rPr>
          <w:instrText xml:space="preserve"> PAGEREF _Toc405983779 \h </w:instrText>
        </w:r>
        <w:r w:rsidR="00AA085B">
          <w:rPr>
            <w:noProof/>
            <w:webHidden/>
          </w:rPr>
        </w:r>
        <w:r w:rsidR="00AA085B">
          <w:rPr>
            <w:noProof/>
            <w:webHidden/>
          </w:rPr>
          <w:fldChar w:fldCharType="separate"/>
        </w:r>
        <w:r w:rsidR="00C96B0D">
          <w:rPr>
            <w:noProof/>
            <w:webHidden/>
          </w:rPr>
          <w:t>3</w:t>
        </w:r>
        <w:r w:rsidR="00AA085B">
          <w:rPr>
            <w:noProof/>
            <w:webHidden/>
          </w:rPr>
          <w:fldChar w:fldCharType="end"/>
        </w:r>
      </w:hyperlink>
    </w:p>
    <w:p w14:paraId="07CE7309" w14:textId="77777777" w:rsidR="00AA085B" w:rsidRDefault="00DB1C82">
      <w:pPr>
        <w:pStyle w:val="TOC2"/>
        <w:tabs>
          <w:tab w:val="left" w:pos="1440"/>
        </w:tabs>
        <w:rPr>
          <w:rFonts w:asciiTheme="minorHAnsi" w:eastAsiaTheme="minorEastAsia" w:hAnsiTheme="minorHAnsi"/>
          <w:noProof/>
        </w:rPr>
      </w:pPr>
      <w:hyperlink w:anchor="_Toc405983780" w:history="1">
        <w:r w:rsidR="00AA085B" w:rsidRPr="00DF6FD1">
          <w:rPr>
            <w:rStyle w:val="Hyperlink"/>
            <w:noProof/>
          </w:rPr>
          <w:t>D.</w:t>
        </w:r>
        <w:r w:rsidR="00AA085B">
          <w:rPr>
            <w:rFonts w:asciiTheme="minorHAnsi" w:eastAsiaTheme="minorEastAsia" w:hAnsiTheme="minorHAnsi"/>
            <w:noProof/>
          </w:rPr>
          <w:tab/>
        </w:r>
        <w:r w:rsidR="00AA085B" w:rsidRPr="00DF6FD1">
          <w:rPr>
            <w:rStyle w:val="Hyperlink"/>
            <w:noProof/>
          </w:rPr>
          <w:t>Double Hearsay</w:t>
        </w:r>
        <w:r w:rsidR="00AA085B">
          <w:rPr>
            <w:noProof/>
            <w:webHidden/>
          </w:rPr>
          <w:tab/>
        </w:r>
        <w:r w:rsidR="00AA085B">
          <w:rPr>
            <w:noProof/>
            <w:webHidden/>
          </w:rPr>
          <w:fldChar w:fldCharType="begin"/>
        </w:r>
        <w:r w:rsidR="00AA085B">
          <w:rPr>
            <w:noProof/>
            <w:webHidden/>
          </w:rPr>
          <w:instrText xml:space="preserve"> PAGEREF _Toc405983780 \h </w:instrText>
        </w:r>
        <w:r w:rsidR="00AA085B">
          <w:rPr>
            <w:noProof/>
            <w:webHidden/>
          </w:rPr>
        </w:r>
        <w:r w:rsidR="00AA085B">
          <w:rPr>
            <w:noProof/>
            <w:webHidden/>
          </w:rPr>
          <w:fldChar w:fldCharType="separate"/>
        </w:r>
        <w:r w:rsidR="00C96B0D">
          <w:rPr>
            <w:noProof/>
            <w:webHidden/>
          </w:rPr>
          <w:t>3</w:t>
        </w:r>
        <w:r w:rsidR="00AA085B">
          <w:rPr>
            <w:noProof/>
            <w:webHidden/>
          </w:rPr>
          <w:fldChar w:fldCharType="end"/>
        </w:r>
      </w:hyperlink>
    </w:p>
    <w:p w14:paraId="161FC2D0" w14:textId="77777777" w:rsidR="00AA085B" w:rsidRDefault="00DB1C82">
      <w:pPr>
        <w:pStyle w:val="TOC2"/>
        <w:tabs>
          <w:tab w:val="left" w:pos="1440"/>
        </w:tabs>
        <w:rPr>
          <w:rFonts w:asciiTheme="minorHAnsi" w:eastAsiaTheme="minorEastAsia" w:hAnsiTheme="minorHAnsi"/>
          <w:noProof/>
        </w:rPr>
      </w:pPr>
      <w:hyperlink w:anchor="_Toc405983781" w:history="1">
        <w:r w:rsidR="00AA085B" w:rsidRPr="00DF6FD1">
          <w:rPr>
            <w:rStyle w:val="Hyperlink"/>
            <w:noProof/>
          </w:rPr>
          <w:t>E.</w:t>
        </w:r>
        <w:r w:rsidR="00AA085B">
          <w:rPr>
            <w:rFonts w:asciiTheme="minorHAnsi" w:eastAsiaTheme="minorEastAsia" w:hAnsiTheme="minorHAnsi"/>
            <w:noProof/>
          </w:rPr>
          <w:tab/>
        </w:r>
        <w:r w:rsidR="00AA085B" w:rsidRPr="00DF6FD1">
          <w:rPr>
            <w:rStyle w:val="Hyperlink"/>
            <w:noProof/>
          </w:rPr>
          <w:t>Confrontation Clause Issues</w:t>
        </w:r>
        <w:r w:rsidR="00AA085B">
          <w:rPr>
            <w:noProof/>
            <w:webHidden/>
          </w:rPr>
          <w:tab/>
        </w:r>
        <w:r w:rsidR="00AA085B">
          <w:rPr>
            <w:noProof/>
            <w:webHidden/>
          </w:rPr>
          <w:fldChar w:fldCharType="begin"/>
        </w:r>
        <w:r w:rsidR="00AA085B">
          <w:rPr>
            <w:noProof/>
            <w:webHidden/>
          </w:rPr>
          <w:instrText xml:space="preserve"> PAGEREF _Toc405983781 \h </w:instrText>
        </w:r>
        <w:r w:rsidR="00AA085B">
          <w:rPr>
            <w:noProof/>
            <w:webHidden/>
          </w:rPr>
        </w:r>
        <w:r w:rsidR="00AA085B">
          <w:rPr>
            <w:noProof/>
            <w:webHidden/>
          </w:rPr>
          <w:fldChar w:fldCharType="separate"/>
        </w:r>
        <w:r w:rsidR="00C96B0D">
          <w:rPr>
            <w:noProof/>
            <w:webHidden/>
          </w:rPr>
          <w:t>3</w:t>
        </w:r>
        <w:r w:rsidR="00AA085B">
          <w:rPr>
            <w:noProof/>
            <w:webHidden/>
          </w:rPr>
          <w:fldChar w:fldCharType="end"/>
        </w:r>
      </w:hyperlink>
    </w:p>
    <w:p w14:paraId="5B817549" w14:textId="77777777" w:rsidR="00AA085B" w:rsidRDefault="00DB1C82">
      <w:pPr>
        <w:pStyle w:val="TOC1"/>
        <w:tabs>
          <w:tab w:val="left" w:pos="720"/>
          <w:tab w:val="right" w:leader="dot" w:pos="9350"/>
        </w:tabs>
        <w:rPr>
          <w:rFonts w:asciiTheme="minorHAnsi" w:eastAsiaTheme="minorEastAsia" w:hAnsiTheme="minorHAnsi"/>
          <w:noProof/>
        </w:rPr>
      </w:pPr>
      <w:hyperlink w:anchor="_Toc405983782" w:history="1">
        <w:r w:rsidR="00AA085B" w:rsidRPr="00DF6FD1">
          <w:rPr>
            <w:rStyle w:val="Hyperlink"/>
            <w:noProof/>
          </w:rPr>
          <w:t>II.</w:t>
        </w:r>
        <w:r w:rsidR="00AA085B">
          <w:rPr>
            <w:rFonts w:asciiTheme="minorHAnsi" w:eastAsiaTheme="minorEastAsia" w:hAnsiTheme="minorHAnsi"/>
            <w:noProof/>
          </w:rPr>
          <w:tab/>
        </w:r>
        <w:r w:rsidR="00AA085B" w:rsidRPr="00DF6FD1">
          <w:rPr>
            <w:rStyle w:val="Hyperlink"/>
            <w:noProof/>
          </w:rPr>
          <w:t>Hearsay Exceptions</w:t>
        </w:r>
        <w:r w:rsidR="00AA085B">
          <w:rPr>
            <w:noProof/>
            <w:webHidden/>
          </w:rPr>
          <w:tab/>
        </w:r>
        <w:r w:rsidR="00AA085B">
          <w:rPr>
            <w:noProof/>
            <w:webHidden/>
          </w:rPr>
          <w:fldChar w:fldCharType="begin"/>
        </w:r>
        <w:r w:rsidR="00AA085B">
          <w:rPr>
            <w:noProof/>
            <w:webHidden/>
          </w:rPr>
          <w:instrText xml:space="preserve"> PAGEREF _Toc405983782 \h </w:instrText>
        </w:r>
        <w:r w:rsidR="00AA085B">
          <w:rPr>
            <w:noProof/>
            <w:webHidden/>
          </w:rPr>
        </w:r>
        <w:r w:rsidR="00AA085B">
          <w:rPr>
            <w:noProof/>
            <w:webHidden/>
          </w:rPr>
          <w:fldChar w:fldCharType="separate"/>
        </w:r>
        <w:r w:rsidR="00C96B0D">
          <w:rPr>
            <w:noProof/>
            <w:webHidden/>
          </w:rPr>
          <w:t>3</w:t>
        </w:r>
        <w:r w:rsidR="00AA085B">
          <w:rPr>
            <w:noProof/>
            <w:webHidden/>
          </w:rPr>
          <w:fldChar w:fldCharType="end"/>
        </w:r>
      </w:hyperlink>
    </w:p>
    <w:p w14:paraId="107D558D" w14:textId="77777777" w:rsidR="00AA085B" w:rsidRDefault="00DB1C82">
      <w:pPr>
        <w:pStyle w:val="TOC2"/>
        <w:tabs>
          <w:tab w:val="left" w:pos="1440"/>
        </w:tabs>
        <w:rPr>
          <w:rFonts w:asciiTheme="minorHAnsi" w:eastAsiaTheme="minorEastAsia" w:hAnsiTheme="minorHAnsi"/>
          <w:noProof/>
        </w:rPr>
      </w:pPr>
      <w:hyperlink w:anchor="_Toc405983783" w:history="1">
        <w:r w:rsidR="00AA085B" w:rsidRPr="00DF6FD1">
          <w:rPr>
            <w:rStyle w:val="Hyperlink"/>
            <w:noProof/>
          </w:rPr>
          <w:t>A.</w:t>
        </w:r>
        <w:r w:rsidR="00AA085B">
          <w:rPr>
            <w:rFonts w:asciiTheme="minorHAnsi" w:eastAsiaTheme="minorEastAsia" w:hAnsiTheme="minorHAnsi"/>
            <w:noProof/>
          </w:rPr>
          <w:tab/>
        </w:r>
        <w:r w:rsidR="00AA085B" w:rsidRPr="00DF6FD1">
          <w:rPr>
            <w:rStyle w:val="Hyperlink"/>
            <w:noProof/>
          </w:rPr>
          <w:t>Admissions by Party-Opponents</w:t>
        </w:r>
        <w:r w:rsidR="00AA085B">
          <w:rPr>
            <w:noProof/>
            <w:webHidden/>
          </w:rPr>
          <w:tab/>
        </w:r>
        <w:r w:rsidR="00AA085B">
          <w:rPr>
            <w:noProof/>
            <w:webHidden/>
          </w:rPr>
          <w:fldChar w:fldCharType="begin"/>
        </w:r>
        <w:r w:rsidR="00AA085B">
          <w:rPr>
            <w:noProof/>
            <w:webHidden/>
          </w:rPr>
          <w:instrText xml:space="preserve"> PAGEREF _Toc405983783 \h </w:instrText>
        </w:r>
        <w:r w:rsidR="00AA085B">
          <w:rPr>
            <w:noProof/>
            <w:webHidden/>
          </w:rPr>
        </w:r>
        <w:r w:rsidR="00AA085B">
          <w:rPr>
            <w:noProof/>
            <w:webHidden/>
          </w:rPr>
          <w:fldChar w:fldCharType="separate"/>
        </w:r>
        <w:r w:rsidR="00C96B0D">
          <w:rPr>
            <w:noProof/>
            <w:webHidden/>
          </w:rPr>
          <w:t>3</w:t>
        </w:r>
        <w:r w:rsidR="00AA085B">
          <w:rPr>
            <w:noProof/>
            <w:webHidden/>
          </w:rPr>
          <w:fldChar w:fldCharType="end"/>
        </w:r>
      </w:hyperlink>
    </w:p>
    <w:p w14:paraId="3347C882" w14:textId="77777777" w:rsidR="00AA085B" w:rsidRDefault="00DB1C82">
      <w:pPr>
        <w:pStyle w:val="TOC3"/>
        <w:tabs>
          <w:tab w:val="left" w:pos="1843"/>
        </w:tabs>
        <w:rPr>
          <w:rFonts w:asciiTheme="minorHAnsi" w:eastAsiaTheme="minorEastAsia" w:hAnsiTheme="minorHAnsi"/>
          <w:noProof/>
        </w:rPr>
      </w:pPr>
      <w:hyperlink w:anchor="_Toc405983784" w:history="1">
        <w:r w:rsidR="00AA085B" w:rsidRPr="00DF6FD1">
          <w:rPr>
            <w:rStyle w:val="Hyperlink"/>
            <w:noProof/>
          </w:rPr>
          <w:t>1.</w:t>
        </w:r>
        <w:r w:rsidR="00AA085B">
          <w:rPr>
            <w:rFonts w:asciiTheme="minorHAnsi" w:eastAsiaTheme="minorEastAsia" w:hAnsiTheme="minorHAnsi"/>
            <w:noProof/>
          </w:rPr>
          <w:tab/>
        </w:r>
        <w:r w:rsidR="00AA085B" w:rsidRPr="00DF6FD1">
          <w:rPr>
            <w:rStyle w:val="Hyperlink"/>
            <w:noProof/>
          </w:rPr>
          <w:t>Defendant’s Own Statement</w:t>
        </w:r>
        <w:r w:rsidR="00AA085B">
          <w:rPr>
            <w:noProof/>
            <w:webHidden/>
          </w:rPr>
          <w:tab/>
        </w:r>
        <w:r w:rsidR="00AA085B">
          <w:rPr>
            <w:noProof/>
            <w:webHidden/>
          </w:rPr>
          <w:fldChar w:fldCharType="begin"/>
        </w:r>
        <w:r w:rsidR="00AA085B">
          <w:rPr>
            <w:noProof/>
            <w:webHidden/>
          </w:rPr>
          <w:instrText xml:space="preserve"> PAGEREF _Toc405983784 \h </w:instrText>
        </w:r>
        <w:r w:rsidR="00AA085B">
          <w:rPr>
            <w:noProof/>
            <w:webHidden/>
          </w:rPr>
        </w:r>
        <w:r w:rsidR="00AA085B">
          <w:rPr>
            <w:noProof/>
            <w:webHidden/>
          </w:rPr>
          <w:fldChar w:fldCharType="separate"/>
        </w:r>
        <w:r w:rsidR="00C96B0D">
          <w:rPr>
            <w:noProof/>
            <w:webHidden/>
          </w:rPr>
          <w:t>4</w:t>
        </w:r>
        <w:r w:rsidR="00AA085B">
          <w:rPr>
            <w:noProof/>
            <w:webHidden/>
          </w:rPr>
          <w:fldChar w:fldCharType="end"/>
        </w:r>
      </w:hyperlink>
    </w:p>
    <w:p w14:paraId="63E3E53D" w14:textId="77777777" w:rsidR="00AA085B" w:rsidRDefault="00DB1C82">
      <w:pPr>
        <w:pStyle w:val="TOC3"/>
        <w:tabs>
          <w:tab w:val="left" w:pos="1843"/>
        </w:tabs>
        <w:rPr>
          <w:rFonts w:asciiTheme="minorHAnsi" w:eastAsiaTheme="minorEastAsia" w:hAnsiTheme="minorHAnsi"/>
          <w:noProof/>
        </w:rPr>
      </w:pPr>
      <w:hyperlink w:anchor="_Toc405983785" w:history="1">
        <w:r w:rsidR="00AA085B" w:rsidRPr="00DF6FD1">
          <w:rPr>
            <w:rStyle w:val="Hyperlink"/>
            <w:noProof/>
          </w:rPr>
          <w:t>2.</w:t>
        </w:r>
        <w:r w:rsidR="00AA085B">
          <w:rPr>
            <w:rFonts w:asciiTheme="minorHAnsi" w:eastAsiaTheme="minorEastAsia" w:hAnsiTheme="minorHAnsi"/>
            <w:noProof/>
          </w:rPr>
          <w:tab/>
        </w:r>
        <w:r w:rsidR="00AA085B" w:rsidRPr="00DF6FD1">
          <w:rPr>
            <w:rStyle w:val="Hyperlink"/>
            <w:noProof/>
          </w:rPr>
          <w:t>Adopted Admissions</w:t>
        </w:r>
        <w:r w:rsidR="00AA085B">
          <w:rPr>
            <w:noProof/>
            <w:webHidden/>
          </w:rPr>
          <w:tab/>
        </w:r>
        <w:r w:rsidR="00AA085B">
          <w:rPr>
            <w:noProof/>
            <w:webHidden/>
          </w:rPr>
          <w:fldChar w:fldCharType="begin"/>
        </w:r>
        <w:r w:rsidR="00AA085B">
          <w:rPr>
            <w:noProof/>
            <w:webHidden/>
          </w:rPr>
          <w:instrText xml:space="preserve"> PAGEREF _Toc405983785 \h </w:instrText>
        </w:r>
        <w:r w:rsidR="00AA085B">
          <w:rPr>
            <w:noProof/>
            <w:webHidden/>
          </w:rPr>
        </w:r>
        <w:r w:rsidR="00AA085B">
          <w:rPr>
            <w:noProof/>
            <w:webHidden/>
          </w:rPr>
          <w:fldChar w:fldCharType="separate"/>
        </w:r>
        <w:r w:rsidR="00C96B0D">
          <w:rPr>
            <w:noProof/>
            <w:webHidden/>
          </w:rPr>
          <w:t>5</w:t>
        </w:r>
        <w:r w:rsidR="00AA085B">
          <w:rPr>
            <w:noProof/>
            <w:webHidden/>
          </w:rPr>
          <w:fldChar w:fldCharType="end"/>
        </w:r>
      </w:hyperlink>
    </w:p>
    <w:p w14:paraId="38DE2FF9" w14:textId="77777777" w:rsidR="00AA085B" w:rsidRDefault="00DB1C82">
      <w:pPr>
        <w:pStyle w:val="TOC3"/>
        <w:tabs>
          <w:tab w:val="left" w:pos="1843"/>
        </w:tabs>
        <w:rPr>
          <w:rFonts w:asciiTheme="minorHAnsi" w:eastAsiaTheme="minorEastAsia" w:hAnsiTheme="minorHAnsi"/>
          <w:noProof/>
        </w:rPr>
      </w:pPr>
      <w:hyperlink w:anchor="_Toc405983786" w:history="1">
        <w:r w:rsidR="00AA085B" w:rsidRPr="00DF6FD1">
          <w:rPr>
            <w:rStyle w:val="Hyperlink"/>
            <w:noProof/>
          </w:rPr>
          <w:t>3.</w:t>
        </w:r>
        <w:r w:rsidR="00AA085B">
          <w:rPr>
            <w:rFonts w:asciiTheme="minorHAnsi" w:eastAsiaTheme="minorEastAsia" w:hAnsiTheme="minorHAnsi"/>
            <w:noProof/>
          </w:rPr>
          <w:tab/>
        </w:r>
        <w:r w:rsidR="00AA085B" w:rsidRPr="00DF6FD1">
          <w:rPr>
            <w:rStyle w:val="Hyperlink"/>
            <w:noProof/>
          </w:rPr>
          <w:t>Co-Conspirator’s Statement</w:t>
        </w:r>
        <w:r w:rsidR="00AA085B">
          <w:rPr>
            <w:noProof/>
            <w:webHidden/>
          </w:rPr>
          <w:tab/>
        </w:r>
        <w:r w:rsidR="00AA085B">
          <w:rPr>
            <w:noProof/>
            <w:webHidden/>
          </w:rPr>
          <w:fldChar w:fldCharType="begin"/>
        </w:r>
        <w:r w:rsidR="00AA085B">
          <w:rPr>
            <w:noProof/>
            <w:webHidden/>
          </w:rPr>
          <w:instrText xml:space="preserve"> PAGEREF _Toc405983786 \h </w:instrText>
        </w:r>
        <w:r w:rsidR="00AA085B">
          <w:rPr>
            <w:noProof/>
            <w:webHidden/>
          </w:rPr>
        </w:r>
        <w:r w:rsidR="00AA085B">
          <w:rPr>
            <w:noProof/>
            <w:webHidden/>
          </w:rPr>
          <w:fldChar w:fldCharType="separate"/>
        </w:r>
        <w:r w:rsidR="00C96B0D">
          <w:rPr>
            <w:noProof/>
            <w:webHidden/>
          </w:rPr>
          <w:t>6</w:t>
        </w:r>
        <w:r w:rsidR="00AA085B">
          <w:rPr>
            <w:noProof/>
            <w:webHidden/>
          </w:rPr>
          <w:fldChar w:fldCharType="end"/>
        </w:r>
      </w:hyperlink>
    </w:p>
    <w:p w14:paraId="3EE342FE" w14:textId="77777777" w:rsidR="00AA085B" w:rsidRDefault="00DB1C82">
      <w:pPr>
        <w:pStyle w:val="TOC2"/>
        <w:tabs>
          <w:tab w:val="left" w:pos="1440"/>
        </w:tabs>
        <w:rPr>
          <w:rFonts w:asciiTheme="minorHAnsi" w:eastAsiaTheme="minorEastAsia" w:hAnsiTheme="minorHAnsi"/>
          <w:noProof/>
        </w:rPr>
      </w:pPr>
      <w:hyperlink w:anchor="_Toc405983787" w:history="1">
        <w:r w:rsidR="00AA085B" w:rsidRPr="00DF6FD1">
          <w:rPr>
            <w:rStyle w:val="Hyperlink"/>
            <w:noProof/>
          </w:rPr>
          <w:t>B.</w:t>
        </w:r>
        <w:r w:rsidR="00AA085B">
          <w:rPr>
            <w:rFonts w:asciiTheme="minorHAnsi" w:eastAsiaTheme="minorEastAsia" w:hAnsiTheme="minorHAnsi"/>
            <w:noProof/>
          </w:rPr>
          <w:tab/>
        </w:r>
        <w:r w:rsidR="00AA085B" w:rsidRPr="00DF6FD1">
          <w:rPr>
            <w:rStyle w:val="Hyperlink"/>
            <w:noProof/>
          </w:rPr>
          <w:t>Rule 803 Exceptions: Availability of Declarant Immaterial</w:t>
        </w:r>
        <w:r w:rsidR="00AA085B">
          <w:rPr>
            <w:noProof/>
            <w:webHidden/>
          </w:rPr>
          <w:tab/>
        </w:r>
        <w:r w:rsidR="00AA085B">
          <w:rPr>
            <w:noProof/>
            <w:webHidden/>
          </w:rPr>
          <w:fldChar w:fldCharType="begin"/>
        </w:r>
        <w:r w:rsidR="00AA085B">
          <w:rPr>
            <w:noProof/>
            <w:webHidden/>
          </w:rPr>
          <w:instrText xml:space="preserve"> PAGEREF _Toc405983787 \h </w:instrText>
        </w:r>
        <w:r w:rsidR="00AA085B">
          <w:rPr>
            <w:noProof/>
            <w:webHidden/>
          </w:rPr>
        </w:r>
        <w:r w:rsidR="00AA085B">
          <w:rPr>
            <w:noProof/>
            <w:webHidden/>
          </w:rPr>
          <w:fldChar w:fldCharType="separate"/>
        </w:r>
        <w:r w:rsidR="00C96B0D">
          <w:rPr>
            <w:noProof/>
            <w:webHidden/>
          </w:rPr>
          <w:t>6</w:t>
        </w:r>
        <w:r w:rsidR="00AA085B">
          <w:rPr>
            <w:noProof/>
            <w:webHidden/>
          </w:rPr>
          <w:fldChar w:fldCharType="end"/>
        </w:r>
      </w:hyperlink>
    </w:p>
    <w:p w14:paraId="2F8DD474" w14:textId="77777777" w:rsidR="00AA085B" w:rsidRDefault="00DB1C82">
      <w:pPr>
        <w:pStyle w:val="TOC3"/>
        <w:tabs>
          <w:tab w:val="left" w:pos="1843"/>
        </w:tabs>
        <w:rPr>
          <w:rFonts w:asciiTheme="minorHAnsi" w:eastAsiaTheme="minorEastAsia" w:hAnsiTheme="minorHAnsi"/>
          <w:noProof/>
        </w:rPr>
      </w:pPr>
      <w:hyperlink w:anchor="_Toc405983788" w:history="1">
        <w:r w:rsidR="00AA085B" w:rsidRPr="00DF6FD1">
          <w:rPr>
            <w:rStyle w:val="Hyperlink"/>
            <w:rFonts w:cs="Arial"/>
            <w:noProof/>
          </w:rPr>
          <w:t>1.</w:t>
        </w:r>
        <w:r w:rsidR="00AA085B">
          <w:rPr>
            <w:rFonts w:asciiTheme="minorHAnsi" w:eastAsiaTheme="minorEastAsia" w:hAnsiTheme="minorHAnsi"/>
            <w:noProof/>
          </w:rPr>
          <w:tab/>
        </w:r>
        <w:r w:rsidR="00AA085B" w:rsidRPr="00DF6FD1">
          <w:rPr>
            <w:rStyle w:val="Hyperlink"/>
            <w:noProof/>
          </w:rPr>
          <w:t>Present Sense Impression</w:t>
        </w:r>
        <w:r w:rsidR="00AA085B">
          <w:rPr>
            <w:noProof/>
            <w:webHidden/>
          </w:rPr>
          <w:tab/>
        </w:r>
        <w:r w:rsidR="00AA085B">
          <w:rPr>
            <w:noProof/>
            <w:webHidden/>
          </w:rPr>
          <w:fldChar w:fldCharType="begin"/>
        </w:r>
        <w:r w:rsidR="00AA085B">
          <w:rPr>
            <w:noProof/>
            <w:webHidden/>
          </w:rPr>
          <w:instrText xml:space="preserve"> PAGEREF _Toc405983788 \h </w:instrText>
        </w:r>
        <w:r w:rsidR="00AA085B">
          <w:rPr>
            <w:noProof/>
            <w:webHidden/>
          </w:rPr>
        </w:r>
        <w:r w:rsidR="00AA085B">
          <w:rPr>
            <w:noProof/>
            <w:webHidden/>
          </w:rPr>
          <w:fldChar w:fldCharType="separate"/>
        </w:r>
        <w:r w:rsidR="00C96B0D">
          <w:rPr>
            <w:noProof/>
            <w:webHidden/>
          </w:rPr>
          <w:t>7</w:t>
        </w:r>
        <w:r w:rsidR="00AA085B">
          <w:rPr>
            <w:noProof/>
            <w:webHidden/>
          </w:rPr>
          <w:fldChar w:fldCharType="end"/>
        </w:r>
      </w:hyperlink>
    </w:p>
    <w:p w14:paraId="6F1C393C" w14:textId="77777777" w:rsidR="00AA085B" w:rsidRDefault="00DB1C82">
      <w:pPr>
        <w:pStyle w:val="TOC3"/>
        <w:tabs>
          <w:tab w:val="left" w:pos="1843"/>
        </w:tabs>
        <w:rPr>
          <w:rFonts w:asciiTheme="minorHAnsi" w:eastAsiaTheme="minorEastAsia" w:hAnsiTheme="minorHAnsi"/>
          <w:noProof/>
        </w:rPr>
      </w:pPr>
      <w:hyperlink w:anchor="_Toc405983789" w:history="1">
        <w:r w:rsidR="00AA085B" w:rsidRPr="00DF6FD1">
          <w:rPr>
            <w:rStyle w:val="Hyperlink"/>
            <w:rFonts w:cs="Arial"/>
            <w:noProof/>
          </w:rPr>
          <w:t>2.</w:t>
        </w:r>
        <w:r w:rsidR="00AA085B">
          <w:rPr>
            <w:rFonts w:asciiTheme="minorHAnsi" w:eastAsiaTheme="minorEastAsia" w:hAnsiTheme="minorHAnsi"/>
            <w:noProof/>
          </w:rPr>
          <w:tab/>
        </w:r>
        <w:r w:rsidR="00AA085B" w:rsidRPr="00DF6FD1">
          <w:rPr>
            <w:rStyle w:val="Hyperlink"/>
            <w:noProof/>
          </w:rPr>
          <w:t>Excited Utterance</w:t>
        </w:r>
        <w:r w:rsidR="00AA085B">
          <w:rPr>
            <w:noProof/>
            <w:webHidden/>
          </w:rPr>
          <w:tab/>
        </w:r>
        <w:r w:rsidR="00AA085B">
          <w:rPr>
            <w:noProof/>
            <w:webHidden/>
          </w:rPr>
          <w:fldChar w:fldCharType="begin"/>
        </w:r>
        <w:r w:rsidR="00AA085B">
          <w:rPr>
            <w:noProof/>
            <w:webHidden/>
          </w:rPr>
          <w:instrText xml:space="preserve"> PAGEREF _Toc405983789 \h </w:instrText>
        </w:r>
        <w:r w:rsidR="00AA085B">
          <w:rPr>
            <w:noProof/>
            <w:webHidden/>
          </w:rPr>
        </w:r>
        <w:r w:rsidR="00AA085B">
          <w:rPr>
            <w:noProof/>
            <w:webHidden/>
          </w:rPr>
          <w:fldChar w:fldCharType="separate"/>
        </w:r>
        <w:r w:rsidR="00C96B0D">
          <w:rPr>
            <w:noProof/>
            <w:webHidden/>
          </w:rPr>
          <w:t>8</w:t>
        </w:r>
        <w:r w:rsidR="00AA085B">
          <w:rPr>
            <w:noProof/>
            <w:webHidden/>
          </w:rPr>
          <w:fldChar w:fldCharType="end"/>
        </w:r>
      </w:hyperlink>
    </w:p>
    <w:p w14:paraId="28CC9D7F" w14:textId="77777777" w:rsidR="00AA085B" w:rsidRDefault="00DB1C82">
      <w:pPr>
        <w:pStyle w:val="TOC3"/>
        <w:tabs>
          <w:tab w:val="left" w:pos="1843"/>
        </w:tabs>
        <w:rPr>
          <w:rFonts w:asciiTheme="minorHAnsi" w:eastAsiaTheme="minorEastAsia" w:hAnsiTheme="minorHAnsi"/>
          <w:noProof/>
        </w:rPr>
      </w:pPr>
      <w:hyperlink w:anchor="_Toc405983790" w:history="1">
        <w:r w:rsidR="00AA085B" w:rsidRPr="00DF6FD1">
          <w:rPr>
            <w:rStyle w:val="Hyperlink"/>
            <w:rFonts w:cs="Arial"/>
            <w:noProof/>
          </w:rPr>
          <w:t>3.</w:t>
        </w:r>
        <w:r w:rsidR="00AA085B">
          <w:rPr>
            <w:rFonts w:asciiTheme="minorHAnsi" w:eastAsiaTheme="minorEastAsia" w:hAnsiTheme="minorHAnsi"/>
            <w:noProof/>
          </w:rPr>
          <w:tab/>
        </w:r>
        <w:r w:rsidR="00AA085B" w:rsidRPr="00DF6FD1">
          <w:rPr>
            <w:rStyle w:val="Hyperlink"/>
            <w:noProof/>
          </w:rPr>
          <w:t>Then Existing Mental, Emotional, or Physical Condition</w:t>
        </w:r>
        <w:r w:rsidR="00AA085B">
          <w:rPr>
            <w:noProof/>
            <w:webHidden/>
          </w:rPr>
          <w:tab/>
        </w:r>
        <w:r w:rsidR="00AA085B">
          <w:rPr>
            <w:noProof/>
            <w:webHidden/>
          </w:rPr>
          <w:fldChar w:fldCharType="begin"/>
        </w:r>
        <w:r w:rsidR="00AA085B">
          <w:rPr>
            <w:noProof/>
            <w:webHidden/>
          </w:rPr>
          <w:instrText xml:space="preserve"> PAGEREF _Toc405983790 \h </w:instrText>
        </w:r>
        <w:r w:rsidR="00AA085B">
          <w:rPr>
            <w:noProof/>
            <w:webHidden/>
          </w:rPr>
        </w:r>
        <w:r w:rsidR="00AA085B">
          <w:rPr>
            <w:noProof/>
            <w:webHidden/>
          </w:rPr>
          <w:fldChar w:fldCharType="separate"/>
        </w:r>
        <w:r w:rsidR="00C96B0D">
          <w:rPr>
            <w:noProof/>
            <w:webHidden/>
          </w:rPr>
          <w:t>10</w:t>
        </w:r>
        <w:r w:rsidR="00AA085B">
          <w:rPr>
            <w:noProof/>
            <w:webHidden/>
          </w:rPr>
          <w:fldChar w:fldCharType="end"/>
        </w:r>
      </w:hyperlink>
    </w:p>
    <w:p w14:paraId="4CC2DDCA" w14:textId="77777777" w:rsidR="00AA085B" w:rsidRDefault="00DB1C82">
      <w:pPr>
        <w:pStyle w:val="TOC3"/>
        <w:tabs>
          <w:tab w:val="left" w:pos="1843"/>
        </w:tabs>
        <w:rPr>
          <w:rFonts w:asciiTheme="minorHAnsi" w:eastAsiaTheme="minorEastAsia" w:hAnsiTheme="minorHAnsi"/>
          <w:noProof/>
        </w:rPr>
      </w:pPr>
      <w:hyperlink w:anchor="_Toc405983791" w:history="1">
        <w:r w:rsidR="00AA085B" w:rsidRPr="00DF6FD1">
          <w:rPr>
            <w:rStyle w:val="Hyperlink"/>
            <w:rFonts w:cs="Arial"/>
            <w:noProof/>
          </w:rPr>
          <w:t>4.</w:t>
        </w:r>
        <w:r w:rsidR="00AA085B">
          <w:rPr>
            <w:rFonts w:asciiTheme="minorHAnsi" w:eastAsiaTheme="minorEastAsia" w:hAnsiTheme="minorHAnsi"/>
            <w:noProof/>
          </w:rPr>
          <w:tab/>
        </w:r>
        <w:r w:rsidR="00AA085B" w:rsidRPr="00DF6FD1">
          <w:rPr>
            <w:rStyle w:val="Hyperlink"/>
            <w:noProof/>
          </w:rPr>
          <w:t>Statements for Purposes of Medical Diagnosis or Treatment</w:t>
        </w:r>
        <w:r w:rsidR="00AA085B">
          <w:rPr>
            <w:noProof/>
            <w:webHidden/>
          </w:rPr>
          <w:tab/>
        </w:r>
        <w:r w:rsidR="00AA085B">
          <w:rPr>
            <w:noProof/>
            <w:webHidden/>
          </w:rPr>
          <w:fldChar w:fldCharType="begin"/>
        </w:r>
        <w:r w:rsidR="00AA085B">
          <w:rPr>
            <w:noProof/>
            <w:webHidden/>
          </w:rPr>
          <w:instrText xml:space="preserve"> PAGEREF _Toc405983791 \h </w:instrText>
        </w:r>
        <w:r w:rsidR="00AA085B">
          <w:rPr>
            <w:noProof/>
            <w:webHidden/>
          </w:rPr>
        </w:r>
        <w:r w:rsidR="00AA085B">
          <w:rPr>
            <w:noProof/>
            <w:webHidden/>
          </w:rPr>
          <w:fldChar w:fldCharType="separate"/>
        </w:r>
        <w:r w:rsidR="00C96B0D">
          <w:rPr>
            <w:noProof/>
            <w:webHidden/>
          </w:rPr>
          <w:t>13</w:t>
        </w:r>
        <w:r w:rsidR="00AA085B">
          <w:rPr>
            <w:noProof/>
            <w:webHidden/>
          </w:rPr>
          <w:fldChar w:fldCharType="end"/>
        </w:r>
      </w:hyperlink>
    </w:p>
    <w:p w14:paraId="6AC36140" w14:textId="77777777" w:rsidR="00AA085B" w:rsidRDefault="00DB1C82">
      <w:pPr>
        <w:pStyle w:val="TOC3"/>
        <w:tabs>
          <w:tab w:val="left" w:pos="1843"/>
        </w:tabs>
        <w:rPr>
          <w:rFonts w:asciiTheme="minorHAnsi" w:eastAsiaTheme="minorEastAsia" w:hAnsiTheme="minorHAnsi"/>
          <w:noProof/>
        </w:rPr>
      </w:pPr>
      <w:hyperlink w:anchor="_Toc405983792" w:history="1">
        <w:r w:rsidR="00AA085B" w:rsidRPr="00DF6FD1">
          <w:rPr>
            <w:rStyle w:val="Hyperlink"/>
            <w:rFonts w:cs="Arial"/>
            <w:noProof/>
          </w:rPr>
          <w:t>5.</w:t>
        </w:r>
        <w:r w:rsidR="00AA085B">
          <w:rPr>
            <w:rFonts w:asciiTheme="minorHAnsi" w:eastAsiaTheme="minorEastAsia" w:hAnsiTheme="minorHAnsi"/>
            <w:noProof/>
          </w:rPr>
          <w:tab/>
        </w:r>
        <w:r w:rsidR="00AA085B" w:rsidRPr="00DF6FD1">
          <w:rPr>
            <w:rStyle w:val="Hyperlink"/>
            <w:noProof/>
          </w:rPr>
          <w:t>Recorded Recollection</w:t>
        </w:r>
        <w:r w:rsidR="00AA085B">
          <w:rPr>
            <w:noProof/>
            <w:webHidden/>
          </w:rPr>
          <w:tab/>
        </w:r>
        <w:r w:rsidR="00AA085B">
          <w:rPr>
            <w:noProof/>
            <w:webHidden/>
          </w:rPr>
          <w:fldChar w:fldCharType="begin"/>
        </w:r>
        <w:r w:rsidR="00AA085B">
          <w:rPr>
            <w:noProof/>
            <w:webHidden/>
          </w:rPr>
          <w:instrText xml:space="preserve"> PAGEREF _Toc405983792 \h </w:instrText>
        </w:r>
        <w:r w:rsidR="00AA085B">
          <w:rPr>
            <w:noProof/>
            <w:webHidden/>
          </w:rPr>
        </w:r>
        <w:r w:rsidR="00AA085B">
          <w:rPr>
            <w:noProof/>
            <w:webHidden/>
          </w:rPr>
          <w:fldChar w:fldCharType="separate"/>
        </w:r>
        <w:r w:rsidR="00C96B0D">
          <w:rPr>
            <w:noProof/>
            <w:webHidden/>
          </w:rPr>
          <w:t>18</w:t>
        </w:r>
        <w:r w:rsidR="00AA085B">
          <w:rPr>
            <w:noProof/>
            <w:webHidden/>
          </w:rPr>
          <w:fldChar w:fldCharType="end"/>
        </w:r>
      </w:hyperlink>
    </w:p>
    <w:p w14:paraId="6476D067" w14:textId="77777777" w:rsidR="00AA085B" w:rsidRDefault="00DB1C82">
      <w:pPr>
        <w:pStyle w:val="TOC3"/>
        <w:tabs>
          <w:tab w:val="left" w:pos="1843"/>
        </w:tabs>
        <w:rPr>
          <w:rFonts w:asciiTheme="minorHAnsi" w:eastAsiaTheme="minorEastAsia" w:hAnsiTheme="minorHAnsi"/>
          <w:noProof/>
        </w:rPr>
      </w:pPr>
      <w:hyperlink w:anchor="_Toc405983793" w:history="1">
        <w:r w:rsidR="00AA085B" w:rsidRPr="00DF6FD1">
          <w:rPr>
            <w:rStyle w:val="Hyperlink"/>
            <w:rFonts w:cs="Arial"/>
            <w:noProof/>
          </w:rPr>
          <w:t>6.</w:t>
        </w:r>
        <w:r w:rsidR="00AA085B">
          <w:rPr>
            <w:rFonts w:asciiTheme="minorHAnsi" w:eastAsiaTheme="minorEastAsia" w:hAnsiTheme="minorHAnsi"/>
            <w:noProof/>
          </w:rPr>
          <w:tab/>
        </w:r>
        <w:r w:rsidR="00AA085B" w:rsidRPr="00DF6FD1">
          <w:rPr>
            <w:rStyle w:val="Hyperlink"/>
            <w:noProof/>
          </w:rPr>
          <w:t>Records of Regularly Conducted Business Activity</w:t>
        </w:r>
        <w:r w:rsidR="00AA085B">
          <w:rPr>
            <w:noProof/>
            <w:webHidden/>
          </w:rPr>
          <w:tab/>
        </w:r>
        <w:r w:rsidR="00AA085B">
          <w:rPr>
            <w:noProof/>
            <w:webHidden/>
          </w:rPr>
          <w:fldChar w:fldCharType="begin"/>
        </w:r>
        <w:r w:rsidR="00AA085B">
          <w:rPr>
            <w:noProof/>
            <w:webHidden/>
          </w:rPr>
          <w:instrText xml:space="preserve"> PAGEREF _Toc405983793 \h </w:instrText>
        </w:r>
        <w:r w:rsidR="00AA085B">
          <w:rPr>
            <w:noProof/>
            <w:webHidden/>
          </w:rPr>
        </w:r>
        <w:r w:rsidR="00AA085B">
          <w:rPr>
            <w:noProof/>
            <w:webHidden/>
          </w:rPr>
          <w:fldChar w:fldCharType="separate"/>
        </w:r>
        <w:r w:rsidR="00C96B0D">
          <w:rPr>
            <w:noProof/>
            <w:webHidden/>
          </w:rPr>
          <w:t>20</w:t>
        </w:r>
        <w:r w:rsidR="00AA085B">
          <w:rPr>
            <w:noProof/>
            <w:webHidden/>
          </w:rPr>
          <w:fldChar w:fldCharType="end"/>
        </w:r>
      </w:hyperlink>
    </w:p>
    <w:p w14:paraId="3D25FECC" w14:textId="77777777" w:rsidR="00AA085B" w:rsidRDefault="00DB1C82">
      <w:pPr>
        <w:pStyle w:val="TOC3"/>
        <w:tabs>
          <w:tab w:val="left" w:pos="1843"/>
        </w:tabs>
        <w:rPr>
          <w:rFonts w:asciiTheme="minorHAnsi" w:eastAsiaTheme="minorEastAsia" w:hAnsiTheme="minorHAnsi"/>
          <w:noProof/>
        </w:rPr>
      </w:pPr>
      <w:hyperlink w:anchor="_Toc405983794" w:history="1">
        <w:r w:rsidR="00AA085B" w:rsidRPr="00DF6FD1">
          <w:rPr>
            <w:rStyle w:val="Hyperlink"/>
            <w:rFonts w:cs="Arial"/>
            <w:noProof/>
          </w:rPr>
          <w:t>7.</w:t>
        </w:r>
        <w:r w:rsidR="00AA085B">
          <w:rPr>
            <w:rFonts w:asciiTheme="minorHAnsi" w:eastAsiaTheme="minorEastAsia" w:hAnsiTheme="minorHAnsi"/>
            <w:noProof/>
          </w:rPr>
          <w:tab/>
        </w:r>
        <w:r w:rsidR="00AA085B" w:rsidRPr="00DF6FD1">
          <w:rPr>
            <w:rStyle w:val="Hyperlink"/>
            <w:noProof/>
          </w:rPr>
          <w:t>Public Records and Reports</w:t>
        </w:r>
        <w:r w:rsidR="00AA085B">
          <w:rPr>
            <w:noProof/>
            <w:webHidden/>
          </w:rPr>
          <w:tab/>
        </w:r>
        <w:r w:rsidR="00AA085B">
          <w:rPr>
            <w:noProof/>
            <w:webHidden/>
          </w:rPr>
          <w:fldChar w:fldCharType="begin"/>
        </w:r>
        <w:r w:rsidR="00AA085B">
          <w:rPr>
            <w:noProof/>
            <w:webHidden/>
          </w:rPr>
          <w:instrText xml:space="preserve"> PAGEREF _Toc405983794 \h </w:instrText>
        </w:r>
        <w:r w:rsidR="00AA085B">
          <w:rPr>
            <w:noProof/>
            <w:webHidden/>
          </w:rPr>
        </w:r>
        <w:r w:rsidR="00AA085B">
          <w:rPr>
            <w:noProof/>
            <w:webHidden/>
          </w:rPr>
          <w:fldChar w:fldCharType="separate"/>
        </w:r>
        <w:r w:rsidR="00C96B0D">
          <w:rPr>
            <w:noProof/>
            <w:webHidden/>
          </w:rPr>
          <w:t>24</w:t>
        </w:r>
        <w:r w:rsidR="00AA085B">
          <w:rPr>
            <w:noProof/>
            <w:webHidden/>
          </w:rPr>
          <w:fldChar w:fldCharType="end"/>
        </w:r>
      </w:hyperlink>
    </w:p>
    <w:p w14:paraId="75ACA9DA" w14:textId="77777777" w:rsidR="00AA085B" w:rsidRDefault="00DB1C82">
      <w:pPr>
        <w:pStyle w:val="TOC3"/>
        <w:tabs>
          <w:tab w:val="left" w:pos="1843"/>
        </w:tabs>
        <w:rPr>
          <w:rFonts w:asciiTheme="minorHAnsi" w:eastAsiaTheme="minorEastAsia" w:hAnsiTheme="minorHAnsi"/>
          <w:noProof/>
        </w:rPr>
      </w:pPr>
      <w:hyperlink w:anchor="_Toc405983795" w:history="1">
        <w:r w:rsidR="00AA085B" w:rsidRPr="00DF6FD1">
          <w:rPr>
            <w:rStyle w:val="Hyperlink"/>
            <w:rFonts w:cs="Arial"/>
            <w:noProof/>
          </w:rPr>
          <w:t>8.</w:t>
        </w:r>
        <w:r w:rsidR="00AA085B">
          <w:rPr>
            <w:rFonts w:asciiTheme="minorHAnsi" w:eastAsiaTheme="minorEastAsia" w:hAnsiTheme="minorHAnsi"/>
            <w:noProof/>
          </w:rPr>
          <w:tab/>
        </w:r>
        <w:r w:rsidR="00AA085B" w:rsidRPr="00DF6FD1">
          <w:rPr>
            <w:rStyle w:val="Hyperlink"/>
            <w:noProof/>
          </w:rPr>
          <w:t>Market Reports &amp; Commercial Publications</w:t>
        </w:r>
        <w:r w:rsidR="00AA085B">
          <w:rPr>
            <w:noProof/>
            <w:webHidden/>
          </w:rPr>
          <w:tab/>
        </w:r>
        <w:r w:rsidR="00AA085B">
          <w:rPr>
            <w:noProof/>
            <w:webHidden/>
          </w:rPr>
          <w:fldChar w:fldCharType="begin"/>
        </w:r>
        <w:r w:rsidR="00AA085B">
          <w:rPr>
            <w:noProof/>
            <w:webHidden/>
          </w:rPr>
          <w:instrText xml:space="preserve"> PAGEREF _Toc405983795 \h </w:instrText>
        </w:r>
        <w:r w:rsidR="00AA085B">
          <w:rPr>
            <w:noProof/>
            <w:webHidden/>
          </w:rPr>
        </w:r>
        <w:r w:rsidR="00AA085B">
          <w:rPr>
            <w:noProof/>
            <w:webHidden/>
          </w:rPr>
          <w:fldChar w:fldCharType="separate"/>
        </w:r>
        <w:r w:rsidR="00C96B0D">
          <w:rPr>
            <w:noProof/>
            <w:webHidden/>
          </w:rPr>
          <w:t>27</w:t>
        </w:r>
        <w:r w:rsidR="00AA085B">
          <w:rPr>
            <w:noProof/>
            <w:webHidden/>
          </w:rPr>
          <w:fldChar w:fldCharType="end"/>
        </w:r>
      </w:hyperlink>
    </w:p>
    <w:p w14:paraId="7BFD16EA" w14:textId="77777777" w:rsidR="00AA085B" w:rsidRDefault="00DB1C82">
      <w:pPr>
        <w:pStyle w:val="TOC3"/>
        <w:tabs>
          <w:tab w:val="left" w:pos="1843"/>
        </w:tabs>
        <w:rPr>
          <w:rFonts w:asciiTheme="minorHAnsi" w:eastAsiaTheme="minorEastAsia" w:hAnsiTheme="minorHAnsi"/>
          <w:noProof/>
        </w:rPr>
      </w:pPr>
      <w:hyperlink w:anchor="_Toc405983796" w:history="1">
        <w:r w:rsidR="00AA085B" w:rsidRPr="00DF6FD1">
          <w:rPr>
            <w:rStyle w:val="Hyperlink"/>
            <w:rFonts w:cs="Arial"/>
            <w:noProof/>
          </w:rPr>
          <w:t>9.</w:t>
        </w:r>
        <w:r w:rsidR="00AA085B">
          <w:rPr>
            <w:rFonts w:asciiTheme="minorHAnsi" w:eastAsiaTheme="minorEastAsia" w:hAnsiTheme="minorHAnsi"/>
            <w:noProof/>
          </w:rPr>
          <w:tab/>
        </w:r>
        <w:r w:rsidR="00AA085B" w:rsidRPr="00DF6FD1">
          <w:rPr>
            <w:rStyle w:val="Hyperlink"/>
            <w:noProof/>
          </w:rPr>
          <w:t>Learned Treatises</w:t>
        </w:r>
        <w:r w:rsidR="00AA085B">
          <w:rPr>
            <w:noProof/>
            <w:webHidden/>
          </w:rPr>
          <w:tab/>
        </w:r>
        <w:r w:rsidR="00AA085B">
          <w:rPr>
            <w:noProof/>
            <w:webHidden/>
          </w:rPr>
          <w:fldChar w:fldCharType="begin"/>
        </w:r>
        <w:r w:rsidR="00AA085B">
          <w:rPr>
            <w:noProof/>
            <w:webHidden/>
          </w:rPr>
          <w:instrText xml:space="preserve"> PAGEREF _Toc405983796 \h </w:instrText>
        </w:r>
        <w:r w:rsidR="00AA085B">
          <w:rPr>
            <w:noProof/>
            <w:webHidden/>
          </w:rPr>
        </w:r>
        <w:r w:rsidR="00AA085B">
          <w:rPr>
            <w:noProof/>
            <w:webHidden/>
          </w:rPr>
          <w:fldChar w:fldCharType="separate"/>
        </w:r>
        <w:r w:rsidR="00C96B0D">
          <w:rPr>
            <w:noProof/>
            <w:webHidden/>
          </w:rPr>
          <w:t>27</w:t>
        </w:r>
        <w:r w:rsidR="00AA085B">
          <w:rPr>
            <w:noProof/>
            <w:webHidden/>
          </w:rPr>
          <w:fldChar w:fldCharType="end"/>
        </w:r>
      </w:hyperlink>
    </w:p>
    <w:p w14:paraId="3764FFA0" w14:textId="77777777" w:rsidR="00AA085B" w:rsidRDefault="00DB1C82">
      <w:pPr>
        <w:pStyle w:val="TOC3"/>
        <w:tabs>
          <w:tab w:val="left" w:pos="1966"/>
        </w:tabs>
        <w:rPr>
          <w:rFonts w:asciiTheme="minorHAnsi" w:eastAsiaTheme="minorEastAsia" w:hAnsiTheme="minorHAnsi"/>
          <w:noProof/>
        </w:rPr>
      </w:pPr>
      <w:hyperlink w:anchor="_Toc405983797" w:history="1">
        <w:r w:rsidR="00AA085B" w:rsidRPr="00DF6FD1">
          <w:rPr>
            <w:rStyle w:val="Hyperlink"/>
            <w:rFonts w:cs="Arial"/>
            <w:noProof/>
          </w:rPr>
          <w:t>10.</w:t>
        </w:r>
        <w:r w:rsidR="00AA085B">
          <w:rPr>
            <w:rFonts w:asciiTheme="minorHAnsi" w:eastAsiaTheme="minorEastAsia" w:hAnsiTheme="minorHAnsi"/>
            <w:noProof/>
          </w:rPr>
          <w:tab/>
        </w:r>
        <w:r w:rsidR="00AA085B" w:rsidRPr="00DF6FD1">
          <w:rPr>
            <w:rStyle w:val="Hyperlink"/>
            <w:noProof/>
          </w:rPr>
          <w:t>Reputation As To Character</w:t>
        </w:r>
        <w:r w:rsidR="00AA085B">
          <w:rPr>
            <w:noProof/>
            <w:webHidden/>
          </w:rPr>
          <w:tab/>
        </w:r>
        <w:r w:rsidR="00AA085B">
          <w:rPr>
            <w:noProof/>
            <w:webHidden/>
          </w:rPr>
          <w:fldChar w:fldCharType="begin"/>
        </w:r>
        <w:r w:rsidR="00AA085B">
          <w:rPr>
            <w:noProof/>
            <w:webHidden/>
          </w:rPr>
          <w:instrText xml:space="preserve"> PAGEREF _Toc405983797 \h </w:instrText>
        </w:r>
        <w:r w:rsidR="00AA085B">
          <w:rPr>
            <w:noProof/>
            <w:webHidden/>
          </w:rPr>
        </w:r>
        <w:r w:rsidR="00AA085B">
          <w:rPr>
            <w:noProof/>
            <w:webHidden/>
          </w:rPr>
          <w:fldChar w:fldCharType="separate"/>
        </w:r>
        <w:r w:rsidR="00C96B0D">
          <w:rPr>
            <w:noProof/>
            <w:webHidden/>
          </w:rPr>
          <w:t>27</w:t>
        </w:r>
        <w:r w:rsidR="00AA085B">
          <w:rPr>
            <w:noProof/>
            <w:webHidden/>
          </w:rPr>
          <w:fldChar w:fldCharType="end"/>
        </w:r>
      </w:hyperlink>
    </w:p>
    <w:p w14:paraId="38AF7744" w14:textId="77777777" w:rsidR="00AA085B" w:rsidRDefault="00DB1C82">
      <w:pPr>
        <w:pStyle w:val="TOC3"/>
        <w:tabs>
          <w:tab w:val="left" w:pos="1966"/>
        </w:tabs>
        <w:rPr>
          <w:rFonts w:asciiTheme="minorHAnsi" w:eastAsiaTheme="minorEastAsia" w:hAnsiTheme="minorHAnsi"/>
          <w:noProof/>
        </w:rPr>
      </w:pPr>
      <w:hyperlink w:anchor="_Toc405983798" w:history="1">
        <w:r w:rsidR="00AA085B" w:rsidRPr="00DF6FD1">
          <w:rPr>
            <w:rStyle w:val="Hyperlink"/>
            <w:rFonts w:cs="Arial"/>
            <w:noProof/>
          </w:rPr>
          <w:t>11.</w:t>
        </w:r>
        <w:r w:rsidR="00AA085B">
          <w:rPr>
            <w:rFonts w:asciiTheme="minorHAnsi" w:eastAsiaTheme="minorEastAsia" w:hAnsiTheme="minorHAnsi"/>
            <w:noProof/>
          </w:rPr>
          <w:tab/>
        </w:r>
        <w:r w:rsidR="00AA085B" w:rsidRPr="00DF6FD1">
          <w:rPr>
            <w:rStyle w:val="Hyperlink"/>
            <w:noProof/>
          </w:rPr>
          <w:t>Residual Exception</w:t>
        </w:r>
        <w:r w:rsidR="00AA085B">
          <w:rPr>
            <w:noProof/>
            <w:webHidden/>
          </w:rPr>
          <w:tab/>
        </w:r>
        <w:r w:rsidR="00AA085B">
          <w:rPr>
            <w:noProof/>
            <w:webHidden/>
          </w:rPr>
          <w:fldChar w:fldCharType="begin"/>
        </w:r>
        <w:r w:rsidR="00AA085B">
          <w:rPr>
            <w:noProof/>
            <w:webHidden/>
          </w:rPr>
          <w:instrText xml:space="preserve"> PAGEREF _Toc405983798 \h </w:instrText>
        </w:r>
        <w:r w:rsidR="00AA085B">
          <w:rPr>
            <w:noProof/>
            <w:webHidden/>
          </w:rPr>
        </w:r>
        <w:r w:rsidR="00AA085B">
          <w:rPr>
            <w:noProof/>
            <w:webHidden/>
          </w:rPr>
          <w:fldChar w:fldCharType="separate"/>
        </w:r>
        <w:r w:rsidR="00C96B0D">
          <w:rPr>
            <w:noProof/>
            <w:webHidden/>
          </w:rPr>
          <w:t>28</w:t>
        </w:r>
        <w:r w:rsidR="00AA085B">
          <w:rPr>
            <w:noProof/>
            <w:webHidden/>
          </w:rPr>
          <w:fldChar w:fldCharType="end"/>
        </w:r>
      </w:hyperlink>
    </w:p>
    <w:p w14:paraId="3E7F32E3" w14:textId="77777777" w:rsidR="00AA085B" w:rsidRDefault="00DB1C82">
      <w:pPr>
        <w:pStyle w:val="TOC2"/>
        <w:tabs>
          <w:tab w:val="left" w:pos="1440"/>
        </w:tabs>
        <w:rPr>
          <w:rFonts w:asciiTheme="minorHAnsi" w:eastAsiaTheme="minorEastAsia" w:hAnsiTheme="minorHAnsi"/>
          <w:noProof/>
        </w:rPr>
      </w:pPr>
      <w:hyperlink w:anchor="_Toc405983799" w:history="1">
        <w:r w:rsidR="00AA085B" w:rsidRPr="00DF6FD1">
          <w:rPr>
            <w:rStyle w:val="Hyperlink"/>
            <w:rFonts w:cs="Arial"/>
            <w:noProof/>
          </w:rPr>
          <w:t>C.</w:t>
        </w:r>
        <w:r w:rsidR="00AA085B">
          <w:rPr>
            <w:rFonts w:asciiTheme="minorHAnsi" w:eastAsiaTheme="minorEastAsia" w:hAnsiTheme="minorHAnsi"/>
            <w:noProof/>
          </w:rPr>
          <w:tab/>
        </w:r>
        <w:r w:rsidR="00AA085B" w:rsidRPr="00DF6FD1">
          <w:rPr>
            <w:rStyle w:val="Hyperlink"/>
            <w:noProof/>
          </w:rPr>
          <w:t>Rule 804 Exceptions: Declarant Unavailable</w:t>
        </w:r>
        <w:r w:rsidR="00AA085B">
          <w:rPr>
            <w:noProof/>
            <w:webHidden/>
          </w:rPr>
          <w:tab/>
        </w:r>
        <w:r w:rsidR="00AA085B">
          <w:rPr>
            <w:noProof/>
            <w:webHidden/>
          </w:rPr>
          <w:fldChar w:fldCharType="begin"/>
        </w:r>
        <w:r w:rsidR="00AA085B">
          <w:rPr>
            <w:noProof/>
            <w:webHidden/>
          </w:rPr>
          <w:instrText xml:space="preserve"> PAGEREF _Toc405983799 \h </w:instrText>
        </w:r>
        <w:r w:rsidR="00AA085B">
          <w:rPr>
            <w:noProof/>
            <w:webHidden/>
          </w:rPr>
        </w:r>
        <w:r w:rsidR="00AA085B">
          <w:rPr>
            <w:noProof/>
            <w:webHidden/>
          </w:rPr>
          <w:fldChar w:fldCharType="separate"/>
        </w:r>
        <w:r w:rsidR="00C96B0D">
          <w:rPr>
            <w:noProof/>
            <w:webHidden/>
          </w:rPr>
          <w:t>34</w:t>
        </w:r>
        <w:r w:rsidR="00AA085B">
          <w:rPr>
            <w:noProof/>
            <w:webHidden/>
          </w:rPr>
          <w:fldChar w:fldCharType="end"/>
        </w:r>
      </w:hyperlink>
    </w:p>
    <w:p w14:paraId="30CFF75F" w14:textId="77777777" w:rsidR="00AA085B" w:rsidRDefault="00DB1C82">
      <w:pPr>
        <w:pStyle w:val="TOC3"/>
        <w:tabs>
          <w:tab w:val="left" w:pos="1843"/>
        </w:tabs>
        <w:rPr>
          <w:rFonts w:asciiTheme="minorHAnsi" w:eastAsiaTheme="minorEastAsia" w:hAnsiTheme="minorHAnsi"/>
          <w:noProof/>
        </w:rPr>
      </w:pPr>
      <w:hyperlink w:anchor="_Toc405983800" w:history="1">
        <w:r w:rsidR="00AA085B" w:rsidRPr="00DF6FD1">
          <w:rPr>
            <w:rStyle w:val="Hyperlink"/>
            <w:rFonts w:cs="Arial"/>
            <w:noProof/>
          </w:rPr>
          <w:t>1.</w:t>
        </w:r>
        <w:r w:rsidR="00AA085B">
          <w:rPr>
            <w:rFonts w:asciiTheme="minorHAnsi" w:eastAsiaTheme="minorEastAsia" w:hAnsiTheme="minorHAnsi"/>
            <w:noProof/>
          </w:rPr>
          <w:tab/>
        </w:r>
        <w:r w:rsidR="00AA085B" w:rsidRPr="00DF6FD1">
          <w:rPr>
            <w:rStyle w:val="Hyperlink"/>
            <w:noProof/>
          </w:rPr>
          <w:t>Unavailability</w:t>
        </w:r>
        <w:r w:rsidR="00AA085B">
          <w:rPr>
            <w:noProof/>
            <w:webHidden/>
          </w:rPr>
          <w:tab/>
        </w:r>
        <w:r w:rsidR="00AA085B">
          <w:rPr>
            <w:noProof/>
            <w:webHidden/>
          </w:rPr>
          <w:fldChar w:fldCharType="begin"/>
        </w:r>
        <w:r w:rsidR="00AA085B">
          <w:rPr>
            <w:noProof/>
            <w:webHidden/>
          </w:rPr>
          <w:instrText xml:space="preserve"> PAGEREF _Toc405983800 \h </w:instrText>
        </w:r>
        <w:r w:rsidR="00AA085B">
          <w:rPr>
            <w:noProof/>
            <w:webHidden/>
          </w:rPr>
        </w:r>
        <w:r w:rsidR="00AA085B">
          <w:rPr>
            <w:noProof/>
            <w:webHidden/>
          </w:rPr>
          <w:fldChar w:fldCharType="separate"/>
        </w:r>
        <w:r w:rsidR="00C96B0D">
          <w:rPr>
            <w:noProof/>
            <w:webHidden/>
          </w:rPr>
          <w:t>34</w:t>
        </w:r>
        <w:r w:rsidR="00AA085B">
          <w:rPr>
            <w:noProof/>
            <w:webHidden/>
          </w:rPr>
          <w:fldChar w:fldCharType="end"/>
        </w:r>
      </w:hyperlink>
    </w:p>
    <w:p w14:paraId="3551C73D" w14:textId="77777777" w:rsidR="00AA085B" w:rsidRDefault="00DB1C82">
      <w:pPr>
        <w:pStyle w:val="TOC3"/>
        <w:tabs>
          <w:tab w:val="left" w:pos="1843"/>
        </w:tabs>
        <w:rPr>
          <w:rFonts w:asciiTheme="minorHAnsi" w:eastAsiaTheme="minorEastAsia" w:hAnsiTheme="minorHAnsi"/>
          <w:noProof/>
        </w:rPr>
      </w:pPr>
      <w:hyperlink w:anchor="_Toc405983801" w:history="1">
        <w:r w:rsidR="00AA085B" w:rsidRPr="00DF6FD1">
          <w:rPr>
            <w:rStyle w:val="Hyperlink"/>
            <w:rFonts w:cs="Arial"/>
            <w:noProof/>
          </w:rPr>
          <w:t>2.</w:t>
        </w:r>
        <w:r w:rsidR="00AA085B">
          <w:rPr>
            <w:rFonts w:asciiTheme="minorHAnsi" w:eastAsiaTheme="minorEastAsia" w:hAnsiTheme="minorHAnsi"/>
            <w:noProof/>
          </w:rPr>
          <w:tab/>
        </w:r>
        <w:r w:rsidR="00AA085B" w:rsidRPr="00DF6FD1">
          <w:rPr>
            <w:rStyle w:val="Hyperlink"/>
            <w:noProof/>
          </w:rPr>
          <w:t>Former Testimony</w:t>
        </w:r>
        <w:r w:rsidR="00AA085B">
          <w:rPr>
            <w:noProof/>
            <w:webHidden/>
          </w:rPr>
          <w:tab/>
        </w:r>
        <w:r w:rsidR="00AA085B">
          <w:rPr>
            <w:noProof/>
            <w:webHidden/>
          </w:rPr>
          <w:fldChar w:fldCharType="begin"/>
        </w:r>
        <w:r w:rsidR="00AA085B">
          <w:rPr>
            <w:noProof/>
            <w:webHidden/>
          </w:rPr>
          <w:instrText xml:space="preserve"> PAGEREF _Toc405983801 \h </w:instrText>
        </w:r>
        <w:r w:rsidR="00AA085B">
          <w:rPr>
            <w:noProof/>
            <w:webHidden/>
          </w:rPr>
        </w:r>
        <w:r w:rsidR="00AA085B">
          <w:rPr>
            <w:noProof/>
            <w:webHidden/>
          </w:rPr>
          <w:fldChar w:fldCharType="separate"/>
        </w:r>
        <w:r w:rsidR="00C96B0D">
          <w:rPr>
            <w:noProof/>
            <w:webHidden/>
          </w:rPr>
          <w:t>38</w:t>
        </w:r>
        <w:r w:rsidR="00AA085B">
          <w:rPr>
            <w:noProof/>
            <w:webHidden/>
          </w:rPr>
          <w:fldChar w:fldCharType="end"/>
        </w:r>
      </w:hyperlink>
    </w:p>
    <w:p w14:paraId="1D552CD4" w14:textId="77777777" w:rsidR="00AA085B" w:rsidRDefault="00DB1C82">
      <w:pPr>
        <w:pStyle w:val="TOC3"/>
        <w:tabs>
          <w:tab w:val="left" w:pos="1843"/>
        </w:tabs>
        <w:rPr>
          <w:rFonts w:asciiTheme="minorHAnsi" w:eastAsiaTheme="minorEastAsia" w:hAnsiTheme="minorHAnsi"/>
          <w:noProof/>
        </w:rPr>
      </w:pPr>
      <w:hyperlink w:anchor="_Toc405983802" w:history="1">
        <w:r w:rsidR="00AA085B" w:rsidRPr="00DF6FD1">
          <w:rPr>
            <w:rStyle w:val="Hyperlink"/>
            <w:rFonts w:cs="Arial"/>
            <w:noProof/>
          </w:rPr>
          <w:t>3.</w:t>
        </w:r>
        <w:r w:rsidR="00AA085B">
          <w:rPr>
            <w:rFonts w:asciiTheme="minorHAnsi" w:eastAsiaTheme="minorEastAsia" w:hAnsiTheme="minorHAnsi"/>
            <w:noProof/>
          </w:rPr>
          <w:tab/>
        </w:r>
        <w:r w:rsidR="00AA085B" w:rsidRPr="00DF6FD1">
          <w:rPr>
            <w:rStyle w:val="Hyperlink"/>
            <w:noProof/>
          </w:rPr>
          <w:t>Dying Declaration</w:t>
        </w:r>
        <w:r w:rsidR="00AA085B">
          <w:rPr>
            <w:noProof/>
            <w:webHidden/>
          </w:rPr>
          <w:tab/>
        </w:r>
        <w:r w:rsidR="00AA085B">
          <w:rPr>
            <w:noProof/>
            <w:webHidden/>
          </w:rPr>
          <w:fldChar w:fldCharType="begin"/>
        </w:r>
        <w:r w:rsidR="00AA085B">
          <w:rPr>
            <w:noProof/>
            <w:webHidden/>
          </w:rPr>
          <w:instrText xml:space="preserve"> PAGEREF _Toc405983802 \h </w:instrText>
        </w:r>
        <w:r w:rsidR="00AA085B">
          <w:rPr>
            <w:noProof/>
            <w:webHidden/>
          </w:rPr>
        </w:r>
        <w:r w:rsidR="00AA085B">
          <w:rPr>
            <w:noProof/>
            <w:webHidden/>
          </w:rPr>
          <w:fldChar w:fldCharType="separate"/>
        </w:r>
        <w:r w:rsidR="00C96B0D">
          <w:rPr>
            <w:noProof/>
            <w:webHidden/>
          </w:rPr>
          <w:t>39</w:t>
        </w:r>
        <w:r w:rsidR="00AA085B">
          <w:rPr>
            <w:noProof/>
            <w:webHidden/>
          </w:rPr>
          <w:fldChar w:fldCharType="end"/>
        </w:r>
      </w:hyperlink>
    </w:p>
    <w:p w14:paraId="67A5874C" w14:textId="77777777" w:rsidR="00AA085B" w:rsidRDefault="00DB1C82">
      <w:pPr>
        <w:pStyle w:val="TOC3"/>
        <w:tabs>
          <w:tab w:val="left" w:pos="1843"/>
        </w:tabs>
        <w:rPr>
          <w:rFonts w:asciiTheme="minorHAnsi" w:eastAsiaTheme="minorEastAsia" w:hAnsiTheme="minorHAnsi"/>
          <w:noProof/>
        </w:rPr>
      </w:pPr>
      <w:hyperlink w:anchor="_Toc405983803" w:history="1">
        <w:r w:rsidR="00AA085B" w:rsidRPr="00DF6FD1">
          <w:rPr>
            <w:rStyle w:val="Hyperlink"/>
            <w:rFonts w:cs="Arial"/>
            <w:noProof/>
          </w:rPr>
          <w:t>4.</w:t>
        </w:r>
        <w:r w:rsidR="00AA085B">
          <w:rPr>
            <w:rFonts w:asciiTheme="minorHAnsi" w:eastAsiaTheme="minorEastAsia" w:hAnsiTheme="minorHAnsi"/>
            <w:noProof/>
          </w:rPr>
          <w:tab/>
        </w:r>
        <w:r w:rsidR="00AA085B" w:rsidRPr="00DF6FD1">
          <w:rPr>
            <w:rStyle w:val="Hyperlink"/>
            <w:noProof/>
          </w:rPr>
          <w:t>Statement Against Penal Interest</w:t>
        </w:r>
        <w:r w:rsidR="00AA085B">
          <w:rPr>
            <w:noProof/>
            <w:webHidden/>
          </w:rPr>
          <w:tab/>
        </w:r>
        <w:r w:rsidR="00AA085B">
          <w:rPr>
            <w:noProof/>
            <w:webHidden/>
          </w:rPr>
          <w:fldChar w:fldCharType="begin"/>
        </w:r>
        <w:r w:rsidR="00AA085B">
          <w:rPr>
            <w:noProof/>
            <w:webHidden/>
          </w:rPr>
          <w:instrText xml:space="preserve"> PAGEREF _Toc405983803 \h </w:instrText>
        </w:r>
        <w:r w:rsidR="00AA085B">
          <w:rPr>
            <w:noProof/>
            <w:webHidden/>
          </w:rPr>
        </w:r>
        <w:r w:rsidR="00AA085B">
          <w:rPr>
            <w:noProof/>
            <w:webHidden/>
          </w:rPr>
          <w:fldChar w:fldCharType="separate"/>
        </w:r>
        <w:r w:rsidR="00C96B0D">
          <w:rPr>
            <w:noProof/>
            <w:webHidden/>
          </w:rPr>
          <w:t>39</w:t>
        </w:r>
        <w:r w:rsidR="00AA085B">
          <w:rPr>
            <w:noProof/>
            <w:webHidden/>
          </w:rPr>
          <w:fldChar w:fldCharType="end"/>
        </w:r>
      </w:hyperlink>
    </w:p>
    <w:p w14:paraId="544456FC" w14:textId="77777777" w:rsidR="00AA085B" w:rsidRDefault="00DB1C82">
      <w:pPr>
        <w:pStyle w:val="TOC3"/>
        <w:tabs>
          <w:tab w:val="left" w:pos="1843"/>
        </w:tabs>
        <w:rPr>
          <w:rFonts w:asciiTheme="minorHAnsi" w:eastAsiaTheme="minorEastAsia" w:hAnsiTheme="minorHAnsi"/>
          <w:noProof/>
        </w:rPr>
      </w:pPr>
      <w:hyperlink w:anchor="_Toc405983804" w:history="1">
        <w:r w:rsidR="00AA085B" w:rsidRPr="00DF6FD1">
          <w:rPr>
            <w:rStyle w:val="Hyperlink"/>
            <w:rFonts w:cs="Arial"/>
            <w:noProof/>
          </w:rPr>
          <w:t>5.</w:t>
        </w:r>
        <w:r w:rsidR="00AA085B">
          <w:rPr>
            <w:rFonts w:asciiTheme="minorHAnsi" w:eastAsiaTheme="minorEastAsia" w:hAnsiTheme="minorHAnsi"/>
            <w:noProof/>
          </w:rPr>
          <w:tab/>
        </w:r>
        <w:r w:rsidR="00AA085B" w:rsidRPr="00DF6FD1">
          <w:rPr>
            <w:rStyle w:val="Hyperlink"/>
            <w:noProof/>
          </w:rPr>
          <w:t>Residual Exception</w:t>
        </w:r>
        <w:r w:rsidR="00AA085B">
          <w:rPr>
            <w:noProof/>
            <w:webHidden/>
          </w:rPr>
          <w:tab/>
        </w:r>
        <w:r w:rsidR="00AA085B">
          <w:rPr>
            <w:noProof/>
            <w:webHidden/>
          </w:rPr>
          <w:fldChar w:fldCharType="begin"/>
        </w:r>
        <w:r w:rsidR="00AA085B">
          <w:rPr>
            <w:noProof/>
            <w:webHidden/>
          </w:rPr>
          <w:instrText xml:space="preserve"> PAGEREF _Toc405983804 \h </w:instrText>
        </w:r>
        <w:r w:rsidR="00AA085B">
          <w:rPr>
            <w:noProof/>
            <w:webHidden/>
          </w:rPr>
        </w:r>
        <w:r w:rsidR="00AA085B">
          <w:rPr>
            <w:noProof/>
            <w:webHidden/>
          </w:rPr>
          <w:fldChar w:fldCharType="separate"/>
        </w:r>
        <w:r w:rsidR="00C96B0D">
          <w:rPr>
            <w:noProof/>
            <w:webHidden/>
          </w:rPr>
          <w:t>42</w:t>
        </w:r>
        <w:r w:rsidR="00AA085B">
          <w:rPr>
            <w:noProof/>
            <w:webHidden/>
          </w:rPr>
          <w:fldChar w:fldCharType="end"/>
        </w:r>
      </w:hyperlink>
    </w:p>
    <w:p w14:paraId="5CC9DC5C" w14:textId="77777777" w:rsidR="00AA085B" w:rsidRDefault="00DB1C82">
      <w:pPr>
        <w:pStyle w:val="TOC3"/>
        <w:tabs>
          <w:tab w:val="left" w:pos="1843"/>
        </w:tabs>
        <w:rPr>
          <w:rFonts w:asciiTheme="minorHAnsi" w:eastAsiaTheme="minorEastAsia" w:hAnsiTheme="minorHAnsi"/>
          <w:noProof/>
        </w:rPr>
      </w:pPr>
      <w:hyperlink w:anchor="_Toc405983805" w:history="1">
        <w:r w:rsidR="00AA085B" w:rsidRPr="00DF6FD1">
          <w:rPr>
            <w:rStyle w:val="Hyperlink"/>
            <w:rFonts w:cs="Arial"/>
            <w:noProof/>
          </w:rPr>
          <w:t>6.</w:t>
        </w:r>
        <w:r w:rsidR="00AA085B">
          <w:rPr>
            <w:rFonts w:asciiTheme="minorHAnsi" w:eastAsiaTheme="minorEastAsia" w:hAnsiTheme="minorHAnsi"/>
            <w:noProof/>
          </w:rPr>
          <w:tab/>
        </w:r>
        <w:r w:rsidR="00AA085B" w:rsidRPr="00DF6FD1">
          <w:rPr>
            <w:rStyle w:val="Hyperlink"/>
            <w:noProof/>
          </w:rPr>
          <w:t>Statutory Exceptions</w:t>
        </w:r>
        <w:r w:rsidR="00AA085B">
          <w:rPr>
            <w:noProof/>
            <w:webHidden/>
          </w:rPr>
          <w:tab/>
        </w:r>
        <w:r w:rsidR="00AA085B">
          <w:rPr>
            <w:noProof/>
            <w:webHidden/>
          </w:rPr>
          <w:fldChar w:fldCharType="begin"/>
        </w:r>
        <w:r w:rsidR="00AA085B">
          <w:rPr>
            <w:noProof/>
            <w:webHidden/>
          </w:rPr>
          <w:instrText xml:space="preserve"> PAGEREF _Toc405983805 \h </w:instrText>
        </w:r>
        <w:r w:rsidR="00AA085B">
          <w:rPr>
            <w:noProof/>
            <w:webHidden/>
          </w:rPr>
        </w:r>
        <w:r w:rsidR="00AA085B">
          <w:rPr>
            <w:noProof/>
            <w:webHidden/>
          </w:rPr>
          <w:fldChar w:fldCharType="separate"/>
        </w:r>
        <w:r w:rsidR="00C96B0D">
          <w:rPr>
            <w:noProof/>
            <w:webHidden/>
          </w:rPr>
          <w:t>42</w:t>
        </w:r>
        <w:r w:rsidR="00AA085B">
          <w:rPr>
            <w:noProof/>
            <w:webHidden/>
          </w:rPr>
          <w:fldChar w:fldCharType="end"/>
        </w:r>
      </w:hyperlink>
    </w:p>
    <w:p w14:paraId="471794F5" w14:textId="77777777" w:rsidR="002C7F1E" w:rsidRPr="008B1F04" w:rsidRDefault="00AA085B" w:rsidP="00F83AD6">
      <w:pPr>
        <w:rPr>
          <w:rFonts w:cs="Arial"/>
        </w:rPr>
      </w:pPr>
      <w:r>
        <w:rPr>
          <w:rFonts w:cs="Arial"/>
        </w:rPr>
        <w:fldChar w:fldCharType="end"/>
      </w:r>
    </w:p>
    <w:p w14:paraId="6EBA452E" w14:textId="77777777" w:rsidR="00A82C1E" w:rsidRDefault="00A82C1E" w:rsidP="002C7F1E">
      <w:pPr>
        <w:pStyle w:val="NoSpacing"/>
        <w:numPr>
          <w:ilvl w:val="0"/>
          <w:numId w:val="0"/>
        </w:numPr>
        <w:ind w:left="720"/>
      </w:pPr>
    </w:p>
    <w:p w14:paraId="7AFCEF2B" w14:textId="77777777" w:rsidR="007F4779" w:rsidRDefault="007F4779" w:rsidP="00C635C1">
      <w:pPr>
        <w:pStyle w:val="Heading1"/>
      </w:pPr>
      <w:bookmarkStart w:id="0" w:name="_Toc405983772"/>
      <w:r w:rsidRPr="00C635C1">
        <w:t>Introduction</w:t>
      </w:r>
      <w:bookmarkStart w:id="1" w:name="_GoBack"/>
      <w:bookmarkEnd w:id="0"/>
      <w:bookmarkEnd w:id="1"/>
    </w:p>
    <w:p w14:paraId="54702F65" w14:textId="77777777" w:rsidR="00434A9C" w:rsidRPr="008B1F04" w:rsidRDefault="0071551B" w:rsidP="005E6038">
      <w:pPr>
        <w:pStyle w:val="ListParagraph"/>
        <w:numPr>
          <w:ilvl w:val="0"/>
          <w:numId w:val="27"/>
        </w:numPr>
        <w:rPr>
          <w:bCs/>
        </w:rPr>
      </w:pPr>
      <w:bookmarkStart w:id="2" w:name="_Toc405983773"/>
      <w:r w:rsidRPr="00C635C1">
        <w:rPr>
          <w:rStyle w:val="Heading2Char"/>
        </w:rPr>
        <w:t>The Hearsay Rule</w:t>
      </w:r>
      <w:bookmarkEnd w:id="2"/>
      <w:r w:rsidR="007C7756" w:rsidRPr="008B1F04">
        <w:rPr>
          <w:b/>
        </w:rPr>
        <w:t xml:space="preserve">. </w:t>
      </w:r>
      <w:r w:rsidR="00315265" w:rsidRPr="008B1F04">
        <w:t>The</w:t>
      </w:r>
      <w:r w:rsidR="003B5AB5" w:rsidRPr="008B1F04">
        <w:t xml:space="preserve"> evidence rules</w:t>
      </w:r>
      <w:r w:rsidR="00315265" w:rsidRPr="008B1F04">
        <w:t xml:space="preserve"> provide that</w:t>
      </w:r>
      <w:r w:rsidR="003B5AB5" w:rsidRPr="008B1F04">
        <w:t xml:space="preserve"> h</w:t>
      </w:r>
      <w:r w:rsidR="00925E8E" w:rsidRPr="008B1F04">
        <w:t xml:space="preserve">earsay </w:t>
      </w:r>
      <w:r w:rsidR="004C0063" w:rsidRPr="008B1F04">
        <w:t xml:space="preserve">is inadmissible </w:t>
      </w:r>
      <w:r w:rsidR="0086687D" w:rsidRPr="008B1F04">
        <w:t xml:space="preserve">except as provided by statute or the </w:t>
      </w:r>
      <w:r w:rsidR="00315265" w:rsidRPr="008B1F04">
        <w:t>rule themselves</w:t>
      </w:r>
      <w:r w:rsidR="0083038F" w:rsidRPr="008B1F04">
        <w:t xml:space="preserve">. </w:t>
      </w:r>
      <w:r w:rsidR="0083038F" w:rsidRPr="008B1F04">
        <w:rPr>
          <w:smallCaps/>
        </w:rPr>
        <w:t>N.C. R. Evid.</w:t>
      </w:r>
      <w:r w:rsidR="0083038F" w:rsidRPr="008B1F04">
        <w:t xml:space="preserve"> 802; </w:t>
      </w:r>
      <w:r w:rsidR="0083038F" w:rsidRPr="008B1F04">
        <w:rPr>
          <w:i/>
        </w:rPr>
        <w:t xml:space="preserve">see </w:t>
      </w:r>
      <w:r w:rsidR="0083038F" w:rsidRPr="008B1F04">
        <w:t xml:space="preserve">State v. </w:t>
      </w:r>
      <w:proofErr w:type="spellStart"/>
      <w:r w:rsidR="0083038F" w:rsidRPr="008B1F04">
        <w:t>Murvin</w:t>
      </w:r>
      <w:proofErr w:type="spellEnd"/>
      <w:r w:rsidR="0083038F" w:rsidRPr="008B1F04">
        <w:t>, 304 N.C. 523, 529 (1981)</w:t>
      </w:r>
      <w:r w:rsidR="004C0063" w:rsidRPr="008B1F04">
        <w:t>.</w:t>
      </w:r>
      <w:r w:rsidR="00F526B1" w:rsidRPr="008B1F04">
        <w:rPr>
          <w:bCs/>
        </w:rPr>
        <w:t xml:space="preserve"> </w:t>
      </w:r>
    </w:p>
    <w:p w14:paraId="6ED70962" w14:textId="77777777" w:rsidR="00F83AD6" w:rsidRPr="008B1F04" w:rsidRDefault="00F83AD6" w:rsidP="00F83AD6">
      <w:pPr>
        <w:rPr>
          <w:rFonts w:cs="Arial"/>
        </w:rPr>
      </w:pPr>
    </w:p>
    <w:p w14:paraId="4A8FF0AF" w14:textId="77777777" w:rsidR="009D5BDA" w:rsidRPr="008B1F04" w:rsidRDefault="004C0063" w:rsidP="005E6038">
      <w:pPr>
        <w:pStyle w:val="ListParagraph"/>
        <w:numPr>
          <w:ilvl w:val="0"/>
          <w:numId w:val="27"/>
        </w:numPr>
      </w:pPr>
      <w:bookmarkStart w:id="3" w:name="_Toc405983774"/>
      <w:r w:rsidRPr="00C635C1">
        <w:rPr>
          <w:rStyle w:val="Heading2Char"/>
        </w:rPr>
        <w:t>Hearsay</w:t>
      </w:r>
      <w:r w:rsidR="007C7756" w:rsidRPr="00C635C1">
        <w:rPr>
          <w:rStyle w:val="Heading2Char"/>
        </w:rPr>
        <w:t xml:space="preserve"> Defined</w:t>
      </w:r>
      <w:bookmarkEnd w:id="3"/>
      <w:r w:rsidR="007C7756" w:rsidRPr="008B1F04">
        <w:rPr>
          <w:b/>
        </w:rPr>
        <w:t>.</w:t>
      </w:r>
      <w:r w:rsidR="007C7756" w:rsidRPr="008B1F04">
        <w:t xml:space="preserve"> </w:t>
      </w:r>
      <w:r w:rsidR="002A418D" w:rsidRPr="008B1F04">
        <w:t>H</w:t>
      </w:r>
      <w:r w:rsidR="00315265" w:rsidRPr="008B1F04">
        <w:t xml:space="preserve">earsay </w:t>
      </w:r>
      <w:r w:rsidR="002A418D" w:rsidRPr="008B1F04">
        <w:t>i</w:t>
      </w:r>
      <w:r w:rsidR="00315265" w:rsidRPr="008B1F04">
        <w:t>s “</w:t>
      </w:r>
      <w:r w:rsidRPr="008B1F04">
        <w:t>a statement, other than one made by the declarant while testifying at the trial or hearing, offered in evidence to prove the truth of the matter asserted.</w:t>
      </w:r>
      <w:r w:rsidR="00315265" w:rsidRPr="008B1F04">
        <w:t>”</w:t>
      </w:r>
      <w:r w:rsidR="004F076C" w:rsidRPr="008B1F04">
        <w:t xml:space="preserve"> </w:t>
      </w:r>
      <w:r w:rsidR="0083038F" w:rsidRPr="008B1F04">
        <w:rPr>
          <w:smallCaps/>
        </w:rPr>
        <w:t>N.C.</w:t>
      </w:r>
      <w:r w:rsidR="00FA3F79" w:rsidRPr="008B1F04">
        <w:rPr>
          <w:smallCaps/>
        </w:rPr>
        <w:t xml:space="preserve"> </w:t>
      </w:r>
      <w:r w:rsidR="0083038F" w:rsidRPr="008B1F04">
        <w:rPr>
          <w:smallCaps/>
        </w:rPr>
        <w:t>R.</w:t>
      </w:r>
      <w:r w:rsidR="00FA3F79" w:rsidRPr="008B1F04">
        <w:rPr>
          <w:smallCaps/>
        </w:rPr>
        <w:t xml:space="preserve"> </w:t>
      </w:r>
      <w:r w:rsidR="0083038F" w:rsidRPr="008B1F04">
        <w:rPr>
          <w:smallCaps/>
        </w:rPr>
        <w:t>Evid.</w:t>
      </w:r>
      <w:r w:rsidR="0083038F" w:rsidRPr="008B1F04">
        <w:t xml:space="preserve"> 801(c)</w:t>
      </w:r>
      <w:r w:rsidR="004F076C" w:rsidRPr="008B1F04">
        <w:t>.</w:t>
      </w:r>
      <w:r w:rsidR="009D5BDA" w:rsidRPr="008B1F04">
        <w:t xml:space="preserve"> </w:t>
      </w:r>
    </w:p>
    <w:p w14:paraId="0F113BA0" w14:textId="77777777" w:rsidR="00F526B1" w:rsidRPr="008B1F04" w:rsidRDefault="009D5BDA" w:rsidP="005E6038">
      <w:pPr>
        <w:pStyle w:val="ListParagraph"/>
        <w:numPr>
          <w:ilvl w:val="0"/>
          <w:numId w:val="42"/>
        </w:numPr>
      </w:pPr>
      <w:bookmarkStart w:id="4" w:name="_Toc405983775"/>
      <w:r w:rsidRPr="00A2261E">
        <w:rPr>
          <w:rStyle w:val="Heading3Char"/>
        </w:rPr>
        <w:t>Statement</w:t>
      </w:r>
      <w:bookmarkEnd w:id="4"/>
      <w:r w:rsidR="007C7756" w:rsidRPr="008B1F04">
        <w:rPr>
          <w:b/>
        </w:rPr>
        <w:t>.</w:t>
      </w:r>
      <w:r w:rsidR="007C7756" w:rsidRPr="008B1F04">
        <w:t xml:space="preserve"> </w:t>
      </w:r>
      <w:r w:rsidRPr="008B1F04">
        <w:t xml:space="preserve">The hearsay rule applies to statements. </w:t>
      </w:r>
      <w:r w:rsidR="0083038F" w:rsidRPr="008B1F04">
        <w:rPr>
          <w:smallCaps/>
        </w:rPr>
        <w:t>N.C.</w:t>
      </w:r>
      <w:r w:rsidR="00AE198E" w:rsidRPr="008B1F04">
        <w:rPr>
          <w:smallCaps/>
        </w:rPr>
        <w:t xml:space="preserve"> </w:t>
      </w:r>
      <w:r w:rsidR="0083038F" w:rsidRPr="008B1F04">
        <w:rPr>
          <w:smallCaps/>
        </w:rPr>
        <w:t>R.</w:t>
      </w:r>
      <w:r w:rsidR="00AE198E" w:rsidRPr="008B1F04">
        <w:rPr>
          <w:smallCaps/>
        </w:rPr>
        <w:t xml:space="preserve"> </w:t>
      </w:r>
      <w:r w:rsidR="0083038F" w:rsidRPr="008B1F04">
        <w:rPr>
          <w:smallCaps/>
        </w:rPr>
        <w:t>Evid.</w:t>
      </w:r>
      <w:r w:rsidR="0083038F" w:rsidRPr="008B1F04">
        <w:t xml:space="preserve"> 801(c)</w:t>
      </w:r>
      <w:r w:rsidR="003B10E2" w:rsidRPr="008B1F04">
        <w:t xml:space="preserve">. </w:t>
      </w:r>
      <w:r w:rsidRPr="008B1F04">
        <w:t>The covered statements include</w:t>
      </w:r>
      <w:r w:rsidR="00F526B1" w:rsidRPr="008B1F04">
        <w:t>:</w:t>
      </w:r>
    </w:p>
    <w:p w14:paraId="232918A2" w14:textId="77777777" w:rsidR="00786246" w:rsidRPr="008B1F04" w:rsidRDefault="00786246" w:rsidP="00786246">
      <w:pPr>
        <w:pStyle w:val="ListParagraph"/>
        <w:ind w:left="2160"/>
      </w:pPr>
    </w:p>
    <w:p w14:paraId="7AA2B878" w14:textId="77777777" w:rsidR="00F526B1" w:rsidRPr="008B1F04" w:rsidRDefault="009D5BDA" w:rsidP="00676B14">
      <w:pPr>
        <w:pStyle w:val="ListParagraph"/>
        <w:numPr>
          <w:ilvl w:val="0"/>
          <w:numId w:val="11"/>
        </w:numPr>
        <w:ind w:left="2880"/>
        <w:rPr>
          <w:rFonts w:cs="Arial"/>
        </w:rPr>
      </w:pPr>
      <w:r w:rsidRPr="008B1F04">
        <w:rPr>
          <w:rFonts w:cs="Arial"/>
        </w:rPr>
        <w:t xml:space="preserve">oral </w:t>
      </w:r>
      <w:r w:rsidR="00F526B1" w:rsidRPr="008B1F04">
        <w:rPr>
          <w:rFonts w:cs="Arial"/>
        </w:rPr>
        <w:t>assertions,</w:t>
      </w:r>
    </w:p>
    <w:p w14:paraId="4F8BC795" w14:textId="77777777" w:rsidR="00F526B1" w:rsidRPr="008B1F04" w:rsidRDefault="009D5BDA" w:rsidP="00676B14">
      <w:pPr>
        <w:pStyle w:val="ListParagraph"/>
        <w:numPr>
          <w:ilvl w:val="0"/>
          <w:numId w:val="11"/>
        </w:numPr>
        <w:ind w:left="2880"/>
        <w:rPr>
          <w:rFonts w:cs="Arial"/>
        </w:rPr>
      </w:pPr>
      <w:r w:rsidRPr="008B1F04">
        <w:rPr>
          <w:rFonts w:cs="Arial"/>
        </w:rPr>
        <w:t>written assertions</w:t>
      </w:r>
      <w:r w:rsidR="00F526B1" w:rsidRPr="008B1F04">
        <w:rPr>
          <w:rFonts w:cs="Arial"/>
        </w:rPr>
        <w:t>, and</w:t>
      </w:r>
    </w:p>
    <w:p w14:paraId="40747FDD" w14:textId="77777777" w:rsidR="00F526B1" w:rsidRPr="008B1F04" w:rsidRDefault="009D5BDA" w:rsidP="00676B14">
      <w:pPr>
        <w:pStyle w:val="ListParagraph"/>
        <w:numPr>
          <w:ilvl w:val="0"/>
          <w:numId w:val="11"/>
        </w:numPr>
        <w:ind w:left="2880"/>
        <w:rPr>
          <w:rFonts w:cs="Arial"/>
        </w:rPr>
      </w:pPr>
      <w:r w:rsidRPr="008B1F04">
        <w:rPr>
          <w:rFonts w:cs="Arial"/>
        </w:rPr>
        <w:t xml:space="preserve">nonverbal conduct, if intended as an assertion. </w:t>
      </w:r>
    </w:p>
    <w:p w14:paraId="505A07DE" w14:textId="77777777" w:rsidR="00786246" w:rsidRPr="008B1F04" w:rsidRDefault="00786246" w:rsidP="007C7756">
      <w:pPr>
        <w:ind w:left="2160"/>
        <w:rPr>
          <w:rFonts w:cs="Arial"/>
          <w:smallCaps/>
        </w:rPr>
      </w:pPr>
    </w:p>
    <w:p w14:paraId="28ECAD89" w14:textId="77777777" w:rsidR="009D5BDA" w:rsidRPr="008B1F04" w:rsidRDefault="0083038F" w:rsidP="007C7756">
      <w:pPr>
        <w:ind w:left="2160"/>
        <w:rPr>
          <w:rFonts w:cs="Arial"/>
        </w:rPr>
      </w:pPr>
      <w:r w:rsidRPr="008B1F04">
        <w:rPr>
          <w:rFonts w:cs="Arial"/>
          <w:smallCaps/>
        </w:rPr>
        <w:t>N.C. R. Evid. 801(</w:t>
      </w:r>
      <w:r w:rsidRPr="008B1F04">
        <w:rPr>
          <w:rFonts w:cs="Arial"/>
        </w:rPr>
        <w:t>a</w:t>
      </w:r>
      <w:r w:rsidRPr="008B1F04">
        <w:rPr>
          <w:rFonts w:cs="Arial"/>
          <w:smallCaps/>
        </w:rPr>
        <w:t>)</w:t>
      </w:r>
      <w:r w:rsidR="009D5BDA" w:rsidRPr="008B1F04">
        <w:rPr>
          <w:rFonts w:cs="Arial"/>
        </w:rPr>
        <w:t xml:space="preserve">. </w:t>
      </w:r>
      <w:r w:rsidR="00D75A89" w:rsidRPr="008B1F04">
        <w:rPr>
          <w:rFonts w:cs="Arial"/>
        </w:rPr>
        <w:t xml:space="preserve">Oral and written assertions arise </w:t>
      </w:r>
      <w:r w:rsidR="00587A22" w:rsidRPr="008B1F04">
        <w:rPr>
          <w:rFonts w:cs="Arial"/>
        </w:rPr>
        <w:t xml:space="preserve">frequently </w:t>
      </w:r>
      <w:r w:rsidR="00D75A89" w:rsidRPr="008B1F04">
        <w:rPr>
          <w:rFonts w:cs="Arial"/>
        </w:rPr>
        <w:t xml:space="preserve">in criminal cases </w:t>
      </w:r>
      <w:r w:rsidR="00587A22" w:rsidRPr="008B1F04">
        <w:rPr>
          <w:rFonts w:cs="Arial"/>
        </w:rPr>
        <w:t>but</w:t>
      </w:r>
      <w:r w:rsidR="00D75A89" w:rsidRPr="008B1F04">
        <w:rPr>
          <w:rFonts w:cs="Arial"/>
        </w:rPr>
        <w:t xml:space="preserve"> require no explanation. The meaning of nonverbal conduct intended as an assertion, however, is not so apparent.</w:t>
      </w:r>
      <w:r w:rsidR="00493EE6" w:rsidRPr="008B1F04">
        <w:rPr>
          <w:rFonts w:cs="Arial"/>
        </w:rPr>
        <w:t xml:space="preserve"> </w:t>
      </w:r>
      <w:r w:rsidR="009D5BDA" w:rsidRPr="008B1F04">
        <w:rPr>
          <w:rFonts w:cs="Arial"/>
        </w:rPr>
        <w:t xml:space="preserve">An example of </w:t>
      </w:r>
      <w:r w:rsidR="00587A22" w:rsidRPr="008B1F04">
        <w:rPr>
          <w:rFonts w:cs="Arial"/>
        </w:rPr>
        <w:t>such</w:t>
      </w:r>
      <w:r w:rsidR="009D5BDA" w:rsidRPr="008B1F04">
        <w:rPr>
          <w:rFonts w:cs="Arial"/>
        </w:rPr>
        <w:t xml:space="preserve"> conduct is a witness’s act of pointing </w:t>
      </w:r>
      <w:r w:rsidR="00F526B1" w:rsidRPr="008B1F04">
        <w:rPr>
          <w:rFonts w:cs="Arial"/>
        </w:rPr>
        <w:t>out</w:t>
      </w:r>
      <w:r w:rsidR="009D5BDA" w:rsidRPr="008B1F04">
        <w:rPr>
          <w:rFonts w:cs="Arial"/>
        </w:rPr>
        <w:t xml:space="preserve"> the defendant when asked by a law enforcement officer to identify the perpetrator. </w:t>
      </w:r>
      <w:r w:rsidR="00D75A89" w:rsidRPr="008B1F04">
        <w:rPr>
          <w:rFonts w:cs="Arial"/>
          <w:smallCaps/>
        </w:rPr>
        <w:t xml:space="preserve">2 </w:t>
      </w:r>
      <w:r w:rsidR="00587A22" w:rsidRPr="008B1F04">
        <w:rPr>
          <w:rFonts w:cs="Arial"/>
          <w:smallCaps/>
        </w:rPr>
        <w:t>Kenneth</w:t>
      </w:r>
      <w:r w:rsidR="00B666DE" w:rsidRPr="008B1F04">
        <w:rPr>
          <w:rFonts w:cs="Arial"/>
          <w:smallCaps/>
        </w:rPr>
        <w:t xml:space="preserve"> S.</w:t>
      </w:r>
      <w:r w:rsidR="00587A22" w:rsidRPr="008B1F04">
        <w:rPr>
          <w:rFonts w:cs="Arial"/>
          <w:smallCaps/>
        </w:rPr>
        <w:t xml:space="preserve"> Bro</w:t>
      </w:r>
      <w:r w:rsidR="00B666DE" w:rsidRPr="008B1F04">
        <w:rPr>
          <w:rFonts w:cs="Arial"/>
          <w:smallCaps/>
        </w:rPr>
        <w:t>u</w:t>
      </w:r>
      <w:r w:rsidR="00587A22" w:rsidRPr="008B1F04">
        <w:rPr>
          <w:rFonts w:cs="Arial"/>
          <w:smallCaps/>
        </w:rPr>
        <w:t>n et</w:t>
      </w:r>
      <w:r w:rsidR="00F83AD6" w:rsidRPr="008B1F04">
        <w:rPr>
          <w:rFonts w:cs="Arial"/>
          <w:smallCaps/>
        </w:rPr>
        <w:t xml:space="preserve"> </w:t>
      </w:r>
      <w:r w:rsidR="00587A22" w:rsidRPr="008B1F04">
        <w:rPr>
          <w:rFonts w:cs="Arial"/>
          <w:smallCaps/>
        </w:rPr>
        <w:t>al, McCormick on Evidence</w:t>
      </w:r>
      <w:r w:rsidR="00587A22" w:rsidRPr="008B1F04">
        <w:rPr>
          <w:rFonts w:cs="Arial"/>
        </w:rPr>
        <w:t xml:space="preserve"> 199</w:t>
      </w:r>
      <w:r w:rsidR="002A418D" w:rsidRPr="008B1F04">
        <w:rPr>
          <w:rFonts w:cs="Arial"/>
        </w:rPr>
        <w:t xml:space="preserve"> </w:t>
      </w:r>
      <w:r w:rsidR="00587A22" w:rsidRPr="008B1F04">
        <w:rPr>
          <w:rFonts w:cs="Arial"/>
        </w:rPr>
        <w:t>(7</w:t>
      </w:r>
      <w:r w:rsidR="00587A22" w:rsidRPr="008B1F04">
        <w:rPr>
          <w:rFonts w:cs="Arial"/>
          <w:vertAlign w:val="superscript"/>
        </w:rPr>
        <w:t>th</w:t>
      </w:r>
      <w:r w:rsidR="00587A22" w:rsidRPr="008B1F04">
        <w:rPr>
          <w:rFonts w:cs="Arial"/>
        </w:rPr>
        <w:t xml:space="preserve"> ed.</w:t>
      </w:r>
      <w:r w:rsidR="00F83AD6" w:rsidRPr="008B1F04">
        <w:rPr>
          <w:rFonts w:cs="Arial"/>
        </w:rPr>
        <w:t xml:space="preserve"> </w:t>
      </w:r>
      <w:r w:rsidR="00587A22" w:rsidRPr="008B1F04">
        <w:rPr>
          <w:rFonts w:cs="Arial"/>
        </w:rPr>
        <w:t xml:space="preserve">2013) [hereinafter </w:t>
      </w:r>
      <w:r w:rsidR="00587A22" w:rsidRPr="008B1F04">
        <w:rPr>
          <w:rFonts w:cs="Arial"/>
          <w:smallCaps/>
        </w:rPr>
        <w:t>McCormick</w:t>
      </w:r>
      <w:r w:rsidR="00587A22" w:rsidRPr="008B1F04">
        <w:rPr>
          <w:rFonts w:cs="Arial"/>
        </w:rPr>
        <w:t>]</w:t>
      </w:r>
      <w:r w:rsidR="00F83AD6" w:rsidRPr="008B1F04">
        <w:rPr>
          <w:rFonts w:cs="Arial"/>
        </w:rPr>
        <w:t>.</w:t>
      </w:r>
    </w:p>
    <w:p w14:paraId="1ACA2B1A" w14:textId="77777777" w:rsidR="009D5BDA" w:rsidRPr="008B1F04" w:rsidRDefault="009D5BDA" w:rsidP="00E900F9">
      <w:pPr>
        <w:ind w:left="2160" w:firstLine="360"/>
        <w:rPr>
          <w:rFonts w:cs="Arial"/>
        </w:rPr>
      </w:pPr>
      <w:r w:rsidRPr="008B1F04">
        <w:rPr>
          <w:rFonts w:cs="Arial"/>
        </w:rPr>
        <w:t xml:space="preserve">Composite pictures or sketches created by law enforcement with information provided by witnesses are not statements within the meaning of the hearsay rule. </w:t>
      </w:r>
      <w:r w:rsidR="0083038F" w:rsidRPr="008B1F04">
        <w:rPr>
          <w:rFonts w:cs="Arial"/>
        </w:rPr>
        <w:t>State v. Patterson, 332 N.C. 409, 417-18 (1992)</w:t>
      </w:r>
      <w:r w:rsidR="001D1D9A" w:rsidRPr="008B1F04">
        <w:rPr>
          <w:rFonts w:cs="Arial"/>
        </w:rPr>
        <w:t>.</w:t>
      </w:r>
    </w:p>
    <w:p w14:paraId="58E43F1D" w14:textId="77777777" w:rsidR="001D1D9A" w:rsidRPr="008B1F04" w:rsidRDefault="001D1D9A" w:rsidP="00E900F9">
      <w:pPr>
        <w:ind w:left="2160" w:firstLine="360"/>
        <w:rPr>
          <w:rFonts w:cs="Arial"/>
        </w:rPr>
      </w:pPr>
      <w:r w:rsidRPr="008B1F04">
        <w:rPr>
          <w:rFonts w:cs="Arial"/>
        </w:rPr>
        <w:t>Note that verbal acts are not covered.</w:t>
      </w:r>
      <w:r w:rsidR="00F979C9" w:rsidRPr="008B1F04">
        <w:rPr>
          <w:rFonts w:cs="Arial"/>
        </w:rPr>
        <w:t xml:space="preserve"> Verbal acts are </w:t>
      </w:r>
      <w:r w:rsidR="00587A22" w:rsidRPr="008B1F04">
        <w:rPr>
          <w:rFonts w:cs="Arial"/>
        </w:rPr>
        <w:t xml:space="preserve">statements that themselves affect legal rights. </w:t>
      </w:r>
      <w:r w:rsidR="0083038F" w:rsidRPr="008B1F04">
        <w:rPr>
          <w:rFonts w:cs="Arial"/>
        </w:rPr>
        <w:t xml:space="preserve">Official Commentary to </w:t>
      </w:r>
      <w:r w:rsidR="0083038F" w:rsidRPr="008B1F04">
        <w:rPr>
          <w:rFonts w:cs="Arial"/>
          <w:smallCaps/>
        </w:rPr>
        <w:t>N.C. R. Evid. 801</w:t>
      </w:r>
      <w:r w:rsidR="00587A22" w:rsidRPr="008B1F04">
        <w:rPr>
          <w:rFonts w:cs="Arial"/>
        </w:rPr>
        <w:t>.</w:t>
      </w:r>
      <w:r w:rsidR="00493EE6" w:rsidRPr="008B1F04">
        <w:rPr>
          <w:rFonts w:cs="Arial"/>
        </w:rPr>
        <w:t xml:space="preserve"> </w:t>
      </w:r>
      <w:r w:rsidR="00F979C9" w:rsidRPr="008B1F04">
        <w:rPr>
          <w:rFonts w:cs="Arial"/>
        </w:rPr>
        <w:t xml:space="preserve">For example, in a criminal bribery case, the following statement made by an accomplice to a police officer is a verbal act: “I will give you $500 to make this charge go away.” In this instance, the accomplice’s statement is offered not for its truth, but rather to prove that the accomplice spoke words that amounted to an offer of a bribe. When offered for that purpose, the statements </w:t>
      </w:r>
      <w:r w:rsidR="00676B14" w:rsidRPr="008B1F04">
        <w:rPr>
          <w:rFonts w:cs="Arial"/>
        </w:rPr>
        <w:t>are</w:t>
      </w:r>
      <w:r w:rsidR="00F979C9" w:rsidRPr="008B1F04">
        <w:rPr>
          <w:rFonts w:cs="Arial"/>
        </w:rPr>
        <w:t xml:space="preserve"> not hearsay. </w:t>
      </w:r>
      <w:r w:rsidR="0083038F" w:rsidRPr="008B1F04">
        <w:rPr>
          <w:rFonts w:cs="Arial"/>
        </w:rPr>
        <w:t>State v. Weaver, 160 N.C. App. 61, 64-65 (2003)</w:t>
      </w:r>
      <w:r w:rsidR="00F979C9" w:rsidRPr="008B1F04">
        <w:rPr>
          <w:rFonts w:cs="Arial"/>
        </w:rPr>
        <w:t>.</w:t>
      </w:r>
    </w:p>
    <w:p w14:paraId="47561DFE" w14:textId="77777777" w:rsidR="0086687D" w:rsidRPr="008B1F04" w:rsidRDefault="0086687D" w:rsidP="005E6038">
      <w:pPr>
        <w:pStyle w:val="ListParagraph"/>
        <w:numPr>
          <w:ilvl w:val="0"/>
          <w:numId w:val="42"/>
        </w:numPr>
      </w:pPr>
      <w:bookmarkStart w:id="5" w:name="_Toc405983776"/>
      <w:r w:rsidRPr="00A2261E">
        <w:rPr>
          <w:rStyle w:val="Heading3Char"/>
        </w:rPr>
        <w:t>Declarant</w:t>
      </w:r>
      <w:bookmarkEnd w:id="5"/>
      <w:r w:rsidR="00E900F9" w:rsidRPr="008B1F04">
        <w:rPr>
          <w:b/>
        </w:rPr>
        <w:t>.</w:t>
      </w:r>
      <w:r w:rsidR="00E900F9" w:rsidRPr="008B1F04">
        <w:t xml:space="preserve"> </w:t>
      </w:r>
      <w:r w:rsidRPr="008B1F04">
        <w:t xml:space="preserve">A declarant is the person who makes </w:t>
      </w:r>
      <w:r w:rsidR="00B2648C" w:rsidRPr="008B1F04">
        <w:t xml:space="preserve">the statement. </w:t>
      </w:r>
      <w:r w:rsidR="0083038F" w:rsidRPr="008B1F04">
        <w:rPr>
          <w:smallCaps/>
        </w:rPr>
        <w:t>N.C. R. Evid.</w:t>
      </w:r>
      <w:r w:rsidR="0083038F" w:rsidRPr="008B1F04">
        <w:t xml:space="preserve"> 801(b)</w:t>
      </w:r>
      <w:r w:rsidRPr="008B1F04">
        <w:t>.</w:t>
      </w:r>
    </w:p>
    <w:p w14:paraId="4DC966AD" w14:textId="77777777" w:rsidR="003B5AB5" w:rsidRPr="008B1F04" w:rsidRDefault="00676B14" w:rsidP="005E6038">
      <w:pPr>
        <w:pStyle w:val="ListParagraph"/>
        <w:numPr>
          <w:ilvl w:val="0"/>
          <w:numId w:val="42"/>
        </w:numPr>
      </w:pPr>
      <w:bookmarkStart w:id="6" w:name="_Toc405983777"/>
      <w:r w:rsidRPr="00A2261E">
        <w:rPr>
          <w:rStyle w:val="Heading3Char"/>
        </w:rPr>
        <w:t>Out o</w:t>
      </w:r>
      <w:r w:rsidR="003B5AB5" w:rsidRPr="00A2261E">
        <w:rPr>
          <w:rStyle w:val="Heading3Char"/>
        </w:rPr>
        <w:t>f Court</w:t>
      </w:r>
      <w:bookmarkEnd w:id="6"/>
      <w:r w:rsidR="00E900F9" w:rsidRPr="008B1F04">
        <w:rPr>
          <w:b/>
        </w:rPr>
        <w:t>.</w:t>
      </w:r>
      <w:r w:rsidR="00E900F9" w:rsidRPr="008B1F04">
        <w:t xml:space="preserve"> </w:t>
      </w:r>
      <w:r w:rsidR="003B5AB5" w:rsidRPr="008B1F04">
        <w:t xml:space="preserve">A statement is hearsay if it </w:t>
      </w:r>
      <w:r w:rsidR="00D77028" w:rsidRPr="008B1F04">
        <w:t>w</w:t>
      </w:r>
      <w:r w:rsidR="003B5AB5" w:rsidRPr="008B1F04">
        <w:t xml:space="preserve">as made in any context other than while testifying in the current proceeding. </w:t>
      </w:r>
      <w:r w:rsidR="0083038F" w:rsidRPr="008B1F04">
        <w:rPr>
          <w:smallCaps/>
        </w:rPr>
        <w:t>N.C. R. Evid.</w:t>
      </w:r>
      <w:r w:rsidR="0083038F" w:rsidRPr="008B1F04">
        <w:t xml:space="preserve"> 801(c)</w:t>
      </w:r>
      <w:r w:rsidR="00F86895" w:rsidRPr="008B1F04">
        <w:t>.</w:t>
      </w:r>
      <w:r w:rsidR="005712AC" w:rsidRPr="008B1F04">
        <w:t xml:space="preserve"> </w:t>
      </w:r>
      <w:r w:rsidR="003B5AB5" w:rsidRPr="008B1F04">
        <w:t>This includes</w:t>
      </w:r>
      <w:r w:rsidRPr="008B1F04">
        <w:t>,</w:t>
      </w:r>
      <w:r w:rsidR="003B5AB5" w:rsidRPr="008B1F04">
        <w:t xml:space="preserve"> for example</w:t>
      </w:r>
      <w:r w:rsidRPr="008B1F04">
        <w:t>,</w:t>
      </w:r>
      <w:r w:rsidR="003B5AB5" w:rsidRPr="008B1F04">
        <w:t xml:space="preserve"> a statement made by </w:t>
      </w:r>
      <w:r w:rsidR="00D77028" w:rsidRPr="008B1F04">
        <w:t>a</w:t>
      </w:r>
      <w:r w:rsidR="003B5AB5" w:rsidRPr="008B1F04">
        <w:t xml:space="preserve"> declarant </w:t>
      </w:r>
      <w:r w:rsidR="00D77028" w:rsidRPr="008B1F04">
        <w:t xml:space="preserve">at home to </w:t>
      </w:r>
      <w:r w:rsidR="005712AC" w:rsidRPr="008B1F04">
        <w:t xml:space="preserve">a family member or </w:t>
      </w:r>
      <w:r w:rsidR="00D77028" w:rsidRPr="008B1F04">
        <w:t>while testifying in a previous trial.</w:t>
      </w:r>
    </w:p>
    <w:p w14:paraId="4274C6AD" w14:textId="77777777" w:rsidR="00D77028" w:rsidRPr="008B1F04" w:rsidRDefault="00D77028" w:rsidP="005E6038">
      <w:pPr>
        <w:pStyle w:val="ListParagraph"/>
        <w:numPr>
          <w:ilvl w:val="0"/>
          <w:numId w:val="42"/>
        </w:numPr>
      </w:pPr>
      <w:bookmarkStart w:id="7" w:name="_Toc405983778"/>
      <w:r w:rsidRPr="00A2261E">
        <w:rPr>
          <w:rStyle w:val="Heading3Char"/>
        </w:rPr>
        <w:t>For the Truth of the Matter Asserted</w:t>
      </w:r>
      <w:bookmarkEnd w:id="7"/>
      <w:r w:rsidR="00E900F9" w:rsidRPr="008B1F04">
        <w:rPr>
          <w:b/>
        </w:rPr>
        <w:t>.</w:t>
      </w:r>
      <w:r w:rsidR="00E900F9" w:rsidRPr="008B1F04">
        <w:t xml:space="preserve"> </w:t>
      </w:r>
      <w:r w:rsidRPr="008B1F04">
        <w:t>A statement is hearsay only if it is offered for the truth of the matter asserted</w:t>
      </w:r>
      <w:r w:rsidR="00E257C7" w:rsidRPr="008B1F04">
        <w:t xml:space="preserve">, </w:t>
      </w:r>
      <w:r w:rsidR="0083038F" w:rsidRPr="008B1F04">
        <w:t>N.C. R. Evid. 801(c)</w:t>
      </w:r>
      <w:r w:rsidR="002A418D" w:rsidRPr="008B1F04">
        <w:t>;</w:t>
      </w:r>
      <w:r w:rsidRPr="008B1F04">
        <w:t xml:space="preserve"> if it is not offered for </w:t>
      </w:r>
      <w:r w:rsidR="00D4383C" w:rsidRPr="008B1F04">
        <w:t>its truth</w:t>
      </w:r>
      <w:r w:rsidRPr="008B1F04">
        <w:t xml:space="preserve"> </w:t>
      </w:r>
      <w:r w:rsidR="002A418D" w:rsidRPr="008B1F04">
        <w:t xml:space="preserve">the statement </w:t>
      </w:r>
      <w:r w:rsidRPr="008B1F04">
        <w:t xml:space="preserve">is not hearsay. </w:t>
      </w:r>
      <w:r w:rsidR="0083038F" w:rsidRPr="008B1F04">
        <w:t>State v. Chapman, 359 N.C. 328, 354-55 (2005)</w:t>
      </w:r>
      <w:r w:rsidR="00F83AD6" w:rsidRPr="008B1F04">
        <w:t xml:space="preserve"> </w:t>
      </w:r>
      <w:r w:rsidR="00E257C7" w:rsidRPr="008B1F04">
        <w:t>(</w:t>
      </w:r>
      <w:r w:rsidR="0083038F" w:rsidRPr="008B1F04">
        <w:t>a statement offered to explain subsequent conduct was not offered for its truth and thus was not hearsay</w:t>
      </w:r>
      <w:r w:rsidR="00E257C7" w:rsidRPr="008B1F04">
        <w:t xml:space="preserve">); </w:t>
      </w:r>
      <w:r w:rsidR="0083038F" w:rsidRPr="008B1F04">
        <w:t>State v. Anthony, 354 N.C. 372, 403-04 (2001)</w:t>
      </w:r>
      <w:r w:rsidR="002A418D" w:rsidRPr="008B1F04">
        <w:t xml:space="preserve"> (</w:t>
      </w:r>
      <w:r w:rsidR="009A74C6" w:rsidRPr="008B1F04">
        <w:t>statement that children would get upset when they saw</w:t>
      </w:r>
      <w:r w:rsidR="001972D3" w:rsidRPr="008B1F04">
        <w:t xml:space="preserve"> </w:t>
      </w:r>
      <w:r w:rsidR="00676B14" w:rsidRPr="008B1F04">
        <w:t xml:space="preserve">the </w:t>
      </w:r>
      <w:r w:rsidR="001972D3" w:rsidRPr="008B1F04">
        <w:t>defendant was</w:t>
      </w:r>
      <w:r w:rsidR="009A74C6" w:rsidRPr="008B1F04">
        <w:t xml:space="preserve"> offered</w:t>
      </w:r>
      <w:r w:rsidR="001972D3" w:rsidRPr="008B1F04">
        <w:t xml:space="preserve"> not</w:t>
      </w:r>
      <w:r w:rsidR="009A74C6" w:rsidRPr="008B1F04">
        <w:t xml:space="preserve"> for its truth but rather to explain</w:t>
      </w:r>
      <w:r w:rsidR="00AE198E" w:rsidRPr="008B1F04">
        <w:t xml:space="preserve"> the</w:t>
      </w:r>
      <w:r w:rsidR="009A74C6" w:rsidRPr="008B1F04">
        <w:t xml:space="preserve"> w</w:t>
      </w:r>
      <w:r w:rsidR="00D672CA" w:rsidRPr="008B1F04">
        <w:t xml:space="preserve">itness’s attempt to prevent children from seeing </w:t>
      </w:r>
      <w:r w:rsidR="00676B14" w:rsidRPr="008B1F04">
        <w:t xml:space="preserve">the </w:t>
      </w:r>
      <w:r w:rsidR="00D672CA" w:rsidRPr="008B1F04">
        <w:t>defendant</w:t>
      </w:r>
      <w:r w:rsidR="002A418D" w:rsidRPr="008B1F04">
        <w:t>)</w:t>
      </w:r>
      <w:r w:rsidRPr="008B1F04">
        <w:t>. Consider for example the following out of court statement by a witness to her mother: “I saw the defendant enter Neighbor Bob’s house at 10 am.” If the statement is offered by the State to prove its truth—that the defendant entered Bob’s house at 10 am</w:t>
      </w:r>
      <w:r w:rsidR="00F83AD6" w:rsidRPr="008B1F04">
        <w:t>—</w:t>
      </w:r>
      <w:r w:rsidRPr="008B1F04">
        <w:t xml:space="preserve">it is offered for its truth and is hearsay. By contrast, </w:t>
      </w:r>
      <w:r w:rsidR="00E257C7" w:rsidRPr="008B1F04">
        <w:t>if the prosecution</w:t>
      </w:r>
      <w:r w:rsidRPr="008B1F04">
        <w:t xml:space="preserve"> off</w:t>
      </w:r>
      <w:r w:rsidR="00E257C7" w:rsidRPr="008B1F04">
        <w:t>ers the statement to explain why</w:t>
      </w:r>
      <w:r w:rsidRPr="008B1F04">
        <w:t xml:space="preserve"> officers focu</w:t>
      </w:r>
      <w:r w:rsidR="00E257C7" w:rsidRPr="008B1F04">
        <w:t>sed</w:t>
      </w:r>
      <w:r w:rsidRPr="008B1F04">
        <w:t xml:space="preserve"> their investigation on the defendant as the perpetrator in Bob’s murder, it is not offered fo</w:t>
      </w:r>
      <w:r w:rsidR="00D4383C" w:rsidRPr="008B1F04">
        <w:t>r its truth and is not hearsay. Determining whether a statement is offered for its truth can be tricky; one leading treatise offers this helpful rule: “An argument that a statement is not offered for its t</w:t>
      </w:r>
      <w:r w:rsidR="00E257C7" w:rsidRPr="008B1F04">
        <w:t xml:space="preserve">ruth is not tenable . . . if [the statement] </w:t>
      </w:r>
      <w:r w:rsidR="00D4383C" w:rsidRPr="008B1F04">
        <w:t xml:space="preserve">is relevant only if true.” </w:t>
      </w:r>
      <w:r w:rsidR="00F83AD6" w:rsidRPr="008B1F04">
        <w:t xml:space="preserve">2 </w:t>
      </w:r>
      <w:r w:rsidR="00F83AD6" w:rsidRPr="008B1F04">
        <w:rPr>
          <w:smallCaps/>
        </w:rPr>
        <w:t>Mc</w:t>
      </w:r>
      <w:r w:rsidR="008F3951" w:rsidRPr="008B1F04">
        <w:rPr>
          <w:smallCaps/>
        </w:rPr>
        <w:t>C</w:t>
      </w:r>
      <w:r w:rsidR="00F83AD6" w:rsidRPr="008B1F04">
        <w:rPr>
          <w:smallCaps/>
        </w:rPr>
        <w:t>ormick</w:t>
      </w:r>
      <w:r w:rsidR="001D1D9A" w:rsidRPr="008B1F04">
        <w:t xml:space="preserve"> p. 183 n.6.</w:t>
      </w:r>
    </w:p>
    <w:p w14:paraId="14F6ADCC" w14:textId="77777777" w:rsidR="00D77028" w:rsidRPr="008B1F04" w:rsidRDefault="00D77028" w:rsidP="00E900F9">
      <w:pPr>
        <w:ind w:left="2160"/>
        <w:rPr>
          <w:rFonts w:cs="Arial"/>
        </w:rPr>
      </w:pPr>
    </w:p>
    <w:p w14:paraId="56762182" w14:textId="77777777" w:rsidR="00D77028" w:rsidRPr="008B1F04" w:rsidRDefault="00D77028" w:rsidP="00E900F9">
      <w:pPr>
        <w:ind w:left="2160"/>
        <w:rPr>
          <w:rFonts w:cs="Arial"/>
        </w:rPr>
      </w:pPr>
      <w:r w:rsidRPr="008B1F04">
        <w:rPr>
          <w:rFonts w:cs="Arial"/>
        </w:rPr>
        <w:lastRenderedPageBreak/>
        <w:t>The cases hold that a statement is not offered for its truth—and thus is not hearsay—when it is offered to:</w:t>
      </w:r>
    </w:p>
    <w:p w14:paraId="0CF04D20" w14:textId="77777777" w:rsidR="00786246" w:rsidRPr="008B1F04" w:rsidRDefault="00786246" w:rsidP="00E900F9">
      <w:pPr>
        <w:ind w:left="2160"/>
        <w:rPr>
          <w:rFonts w:cs="Arial"/>
        </w:rPr>
      </w:pPr>
    </w:p>
    <w:p w14:paraId="79CB7061" w14:textId="77777777" w:rsidR="00D77028" w:rsidRPr="008B1F04" w:rsidRDefault="00D77028" w:rsidP="00E900F9">
      <w:pPr>
        <w:pStyle w:val="ListParagraph"/>
        <w:numPr>
          <w:ilvl w:val="0"/>
          <w:numId w:val="10"/>
        </w:numPr>
        <w:ind w:left="2880"/>
        <w:rPr>
          <w:rFonts w:cs="Arial"/>
        </w:rPr>
      </w:pPr>
      <w:r w:rsidRPr="008B1F04">
        <w:rPr>
          <w:rFonts w:cs="Arial"/>
        </w:rPr>
        <w:t xml:space="preserve">explain a person’s subsequent conduct, </w:t>
      </w:r>
      <w:r w:rsidR="0083038F" w:rsidRPr="008B1F04">
        <w:rPr>
          <w:rFonts w:cs="Arial"/>
          <w:i/>
        </w:rPr>
        <w:t>Chapman</w:t>
      </w:r>
      <w:r w:rsidR="0083038F" w:rsidRPr="008B1F04">
        <w:rPr>
          <w:rFonts w:cs="Arial"/>
        </w:rPr>
        <w:t>, 359 N.C. at 355</w:t>
      </w:r>
      <w:r w:rsidR="002A418D" w:rsidRPr="008B1F04">
        <w:rPr>
          <w:rFonts w:cs="Arial"/>
        </w:rPr>
        <w:t xml:space="preserve"> (</w:t>
      </w:r>
      <w:r w:rsidR="00A75147" w:rsidRPr="008B1F04">
        <w:rPr>
          <w:rFonts w:cs="Arial"/>
        </w:rPr>
        <w:t xml:space="preserve">statements in </w:t>
      </w:r>
      <w:r w:rsidR="00D672CA" w:rsidRPr="008B1F04">
        <w:rPr>
          <w:rFonts w:cs="Arial"/>
        </w:rPr>
        <w:t xml:space="preserve">phone call </w:t>
      </w:r>
      <w:r w:rsidR="005D1D8A" w:rsidRPr="008B1F04">
        <w:rPr>
          <w:rFonts w:cs="Arial"/>
        </w:rPr>
        <w:t>threatening</w:t>
      </w:r>
      <w:r w:rsidR="00D672CA" w:rsidRPr="008B1F04">
        <w:rPr>
          <w:rFonts w:cs="Arial"/>
        </w:rPr>
        <w:t xml:space="preserve"> anyone who would be at a</w:t>
      </w:r>
      <w:r w:rsidR="005D1D8A" w:rsidRPr="008B1F04">
        <w:rPr>
          <w:rFonts w:cs="Arial"/>
        </w:rPr>
        <w:t xml:space="preserve"> particular</w:t>
      </w:r>
      <w:r w:rsidR="00D672CA" w:rsidRPr="008B1F04">
        <w:rPr>
          <w:rFonts w:cs="Arial"/>
        </w:rPr>
        <w:t xml:space="preserve"> house </w:t>
      </w:r>
      <w:r w:rsidR="00A75147" w:rsidRPr="008B1F04">
        <w:rPr>
          <w:rFonts w:cs="Arial"/>
        </w:rPr>
        <w:t>upon</w:t>
      </w:r>
      <w:r w:rsidR="00D672CA" w:rsidRPr="008B1F04">
        <w:rPr>
          <w:rFonts w:cs="Arial"/>
        </w:rPr>
        <w:t xml:space="preserve"> the caller’s</w:t>
      </w:r>
      <w:r w:rsidR="00A75147" w:rsidRPr="008B1F04">
        <w:rPr>
          <w:rFonts w:cs="Arial"/>
        </w:rPr>
        <w:t xml:space="preserve"> impending</w:t>
      </w:r>
      <w:r w:rsidR="00D672CA" w:rsidRPr="008B1F04">
        <w:rPr>
          <w:rFonts w:cs="Arial"/>
        </w:rPr>
        <w:t xml:space="preserve"> arrival explained</w:t>
      </w:r>
      <w:r w:rsidR="00A75147" w:rsidRPr="008B1F04">
        <w:rPr>
          <w:rFonts w:cs="Arial"/>
        </w:rPr>
        <w:t xml:space="preserve"> defendant’s subsequent departure from the house</w:t>
      </w:r>
      <w:r w:rsidR="002A418D" w:rsidRPr="008B1F04">
        <w:rPr>
          <w:rFonts w:cs="Arial"/>
        </w:rPr>
        <w:t>)</w:t>
      </w:r>
      <w:r w:rsidR="00F83AD6" w:rsidRPr="008B1F04">
        <w:rPr>
          <w:rFonts w:cs="Arial"/>
        </w:rPr>
        <w:t>;</w:t>
      </w:r>
      <w:r w:rsidR="002A418D" w:rsidRPr="008B1F04">
        <w:rPr>
          <w:rFonts w:cs="Arial"/>
        </w:rPr>
        <w:t xml:space="preserve"> </w:t>
      </w:r>
      <w:r w:rsidR="0083038F" w:rsidRPr="008B1F04">
        <w:rPr>
          <w:rFonts w:cs="Arial"/>
        </w:rPr>
        <w:t>State v. Holden, 321 N.C. 125, 142 (1987) (offered to explain why officers procured a search warrant)</w:t>
      </w:r>
      <w:r w:rsidRPr="008B1F04">
        <w:rPr>
          <w:rFonts w:cs="Arial"/>
        </w:rPr>
        <w:t>;</w:t>
      </w:r>
      <w:r w:rsidR="002A418D" w:rsidRPr="008B1F04">
        <w:rPr>
          <w:rFonts w:cs="Arial"/>
        </w:rPr>
        <w:t xml:space="preserve"> </w:t>
      </w:r>
      <w:r w:rsidR="0083038F" w:rsidRPr="008B1F04">
        <w:rPr>
          <w:rFonts w:cs="Arial"/>
        </w:rPr>
        <w:t>State v. Hagans, 177 N.C. App. 17, 27-28 (2006)</w:t>
      </w:r>
      <w:r w:rsidRPr="008B1F04">
        <w:rPr>
          <w:rFonts w:cs="Arial"/>
        </w:rPr>
        <w:t xml:space="preserve"> (</w:t>
      </w:r>
      <w:r w:rsidR="009622E7" w:rsidRPr="008B1F04">
        <w:rPr>
          <w:rFonts w:cs="Arial"/>
        </w:rPr>
        <w:t xml:space="preserve">third party’s statements to </w:t>
      </w:r>
      <w:r w:rsidR="00676B14" w:rsidRPr="008B1F04">
        <w:rPr>
          <w:rFonts w:cs="Arial"/>
        </w:rPr>
        <w:t xml:space="preserve">the </w:t>
      </w:r>
      <w:r w:rsidR="009622E7" w:rsidRPr="008B1F04">
        <w:rPr>
          <w:rFonts w:cs="Arial"/>
        </w:rPr>
        <w:t xml:space="preserve">defendant and </w:t>
      </w:r>
      <w:r w:rsidR="00676B14" w:rsidRPr="008B1F04">
        <w:rPr>
          <w:rFonts w:cs="Arial"/>
        </w:rPr>
        <w:t xml:space="preserve">an </w:t>
      </w:r>
      <w:r w:rsidR="009622E7" w:rsidRPr="008B1F04">
        <w:rPr>
          <w:rFonts w:cs="Arial"/>
        </w:rPr>
        <w:t>accomplice identifying</w:t>
      </w:r>
      <w:r w:rsidR="00BC03B8" w:rsidRPr="008B1F04">
        <w:rPr>
          <w:rFonts w:cs="Arial"/>
        </w:rPr>
        <w:t xml:space="preserve"> an opportunity to commit a robbe</w:t>
      </w:r>
      <w:r w:rsidR="009622E7" w:rsidRPr="008B1F04">
        <w:rPr>
          <w:rFonts w:cs="Arial"/>
        </w:rPr>
        <w:t xml:space="preserve">ry </w:t>
      </w:r>
      <w:r w:rsidR="00676B14" w:rsidRPr="008B1F04">
        <w:rPr>
          <w:rFonts w:cs="Arial"/>
        </w:rPr>
        <w:t xml:space="preserve">were </w:t>
      </w:r>
      <w:r w:rsidR="009622E7" w:rsidRPr="008B1F04">
        <w:rPr>
          <w:rFonts w:cs="Arial"/>
        </w:rPr>
        <w:t>offered to</w:t>
      </w:r>
      <w:r w:rsidR="00BC03B8" w:rsidRPr="008B1F04">
        <w:rPr>
          <w:rFonts w:cs="Arial"/>
        </w:rPr>
        <w:t xml:space="preserve"> explain </w:t>
      </w:r>
      <w:r w:rsidR="00676B14" w:rsidRPr="008B1F04">
        <w:rPr>
          <w:rFonts w:cs="Arial"/>
        </w:rPr>
        <w:t xml:space="preserve">the </w:t>
      </w:r>
      <w:r w:rsidR="00BC03B8" w:rsidRPr="008B1F04">
        <w:rPr>
          <w:rFonts w:cs="Arial"/>
        </w:rPr>
        <w:t xml:space="preserve">defendant’s </w:t>
      </w:r>
      <w:r w:rsidR="009622E7" w:rsidRPr="008B1F04">
        <w:rPr>
          <w:rFonts w:cs="Arial"/>
        </w:rPr>
        <w:t>subsequent conduct</w:t>
      </w:r>
      <w:r w:rsidRPr="008B1F04">
        <w:rPr>
          <w:rFonts w:cs="Arial"/>
        </w:rPr>
        <w:t xml:space="preserve">); </w:t>
      </w:r>
      <w:r w:rsidR="0083038F" w:rsidRPr="008B1F04">
        <w:rPr>
          <w:rFonts w:cs="Arial"/>
        </w:rPr>
        <w:t>State v. Reed, 153 N.C. App. 462, 465 (2002) (offered to explain a detective’s subsequent conduct)</w:t>
      </w:r>
      <w:r w:rsidRPr="008B1F04">
        <w:rPr>
          <w:rFonts w:cs="Arial"/>
        </w:rPr>
        <w:t>;</w:t>
      </w:r>
    </w:p>
    <w:p w14:paraId="0CA33C71" w14:textId="77777777" w:rsidR="00D77028" w:rsidRPr="008B1F04" w:rsidRDefault="00D77028" w:rsidP="00E900F9">
      <w:pPr>
        <w:pStyle w:val="ListParagraph"/>
        <w:numPr>
          <w:ilvl w:val="0"/>
          <w:numId w:val="10"/>
        </w:numPr>
        <w:ind w:left="2880"/>
        <w:rPr>
          <w:rFonts w:cs="Arial"/>
        </w:rPr>
      </w:pPr>
      <w:r w:rsidRPr="008B1F04">
        <w:rPr>
          <w:rFonts w:cs="Arial"/>
        </w:rPr>
        <w:t xml:space="preserve">for corroboration, </w:t>
      </w:r>
      <w:r w:rsidR="0083038F" w:rsidRPr="008B1F04">
        <w:rPr>
          <w:rFonts w:cs="Arial"/>
          <w:i/>
        </w:rPr>
        <w:t>Holden</w:t>
      </w:r>
      <w:r w:rsidR="0083038F" w:rsidRPr="008B1F04">
        <w:rPr>
          <w:rFonts w:cs="Arial"/>
        </w:rPr>
        <w:t>, 321 N.C. at 142-44 (offered to corroborate prior testimony)</w:t>
      </w:r>
      <w:r w:rsidR="009066E8" w:rsidRPr="008B1F04">
        <w:rPr>
          <w:rFonts w:cs="Arial"/>
        </w:rPr>
        <w:t xml:space="preserve">; </w:t>
      </w:r>
      <w:r w:rsidR="0083038F" w:rsidRPr="008B1F04">
        <w:rPr>
          <w:rFonts w:cs="Arial"/>
        </w:rPr>
        <w:t>State v. Locklear, 320 N.C. 754, 762 (1987) (same)</w:t>
      </w:r>
      <w:r w:rsidR="009066E8" w:rsidRPr="008B1F04">
        <w:rPr>
          <w:rFonts w:cs="Arial"/>
        </w:rPr>
        <w:t>;</w:t>
      </w:r>
      <w:r w:rsidRPr="008B1F04">
        <w:rPr>
          <w:rFonts w:cs="Arial"/>
        </w:rPr>
        <w:t xml:space="preserve"> </w:t>
      </w:r>
      <w:r w:rsidR="0083038F" w:rsidRPr="008B1F04">
        <w:rPr>
          <w:rFonts w:cs="Arial"/>
        </w:rPr>
        <w:t>State v. Riddle, 316 N.C. 152, 159 (1986)</w:t>
      </w:r>
      <w:r w:rsidR="002A418D" w:rsidRPr="008B1F04">
        <w:rPr>
          <w:rFonts w:cs="Arial"/>
        </w:rPr>
        <w:t xml:space="preserve"> (</w:t>
      </w:r>
      <w:r w:rsidR="00F50F08" w:rsidRPr="008B1F04">
        <w:rPr>
          <w:rFonts w:cs="Arial"/>
        </w:rPr>
        <w:t>offered to co</w:t>
      </w:r>
      <w:r w:rsidR="00526CCD" w:rsidRPr="008B1F04">
        <w:rPr>
          <w:rFonts w:cs="Arial"/>
        </w:rPr>
        <w:t>rroborate</w:t>
      </w:r>
      <w:r w:rsidR="00AE198E" w:rsidRPr="008B1F04">
        <w:rPr>
          <w:rFonts w:cs="Arial"/>
        </w:rPr>
        <w:t xml:space="preserve"> an</w:t>
      </w:r>
      <w:r w:rsidR="00526CCD" w:rsidRPr="008B1F04">
        <w:rPr>
          <w:rFonts w:cs="Arial"/>
        </w:rPr>
        <w:t xml:space="preserve"> </w:t>
      </w:r>
      <w:r w:rsidR="001E088A" w:rsidRPr="008B1F04">
        <w:rPr>
          <w:rFonts w:cs="Arial"/>
        </w:rPr>
        <w:t>implicit assertion</w:t>
      </w:r>
      <w:r w:rsidR="00526CCD" w:rsidRPr="008B1F04">
        <w:rPr>
          <w:rFonts w:cs="Arial"/>
        </w:rPr>
        <w:t xml:space="preserve"> in victim’s testimony</w:t>
      </w:r>
      <w:r w:rsidR="002A418D" w:rsidRPr="008B1F04">
        <w:rPr>
          <w:rFonts w:cs="Arial"/>
        </w:rPr>
        <w:t>)</w:t>
      </w:r>
      <w:r w:rsidRPr="008B1F04">
        <w:rPr>
          <w:rFonts w:cs="Arial"/>
        </w:rPr>
        <w:t xml:space="preserve">; </w:t>
      </w:r>
      <w:r w:rsidR="0083038F" w:rsidRPr="008B1F04">
        <w:rPr>
          <w:rFonts w:cs="Arial"/>
        </w:rPr>
        <w:t xml:space="preserve">State v. </w:t>
      </w:r>
      <w:proofErr w:type="spellStart"/>
      <w:r w:rsidR="0083038F" w:rsidRPr="008B1F04">
        <w:rPr>
          <w:rFonts w:cs="Arial"/>
        </w:rPr>
        <w:t>Guice</w:t>
      </w:r>
      <w:proofErr w:type="spellEnd"/>
      <w:r w:rsidR="0083038F" w:rsidRPr="008B1F04">
        <w:rPr>
          <w:rFonts w:cs="Arial"/>
        </w:rPr>
        <w:t>, 141 N.C. App. 177, 201 (2000)</w:t>
      </w:r>
      <w:r w:rsidR="002A418D" w:rsidRPr="008B1F04">
        <w:rPr>
          <w:rFonts w:cs="Arial"/>
        </w:rPr>
        <w:t xml:space="preserve"> (</w:t>
      </w:r>
      <w:r w:rsidR="00081112" w:rsidRPr="008B1F04">
        <w:rPr>
          <w:rFonts w:cs="Arial"/>
        </w:rPr>
        <w:t xml:space="preserve">witness’s </w:t>
      </w:r>
      <w:r w:rsidR="002F1EC7" w:rsidRPr="008B1F04">
        <w:rPr>
          <w:rFonts w:cs="Arial"/>
        </w:rPr>
        <w:t xml:space="preserve">prior consistent statement </w:t>
      </w:r>
      <w:r w:rsidR="00081112" w:rsidRPr="008B1F04">
        <w:rPr>
          <w:rFonts w:cs="Arial"/>
        </w:rPr>
        <w:t>offered to corroborate</w:t>
      </w:r>
      <w:r w:rsidR="002901E0" w:rsidRPr="008B1F04">
        <w:rPr>
          <w:rFonts w:cs="Arial"/>
        </w:rPr>
        <w:t xml:space="preserve"> her</w:t>
      </w:r>
      <w:r w:rsidR="00081112" w:rsidRPr="008B1F04">
        <w:rPr>
          <w:rFonts w:cs="Arial"/>
        </w:rPr>
        <w:t xml:space="preserve"> in-court testimony</w:t>
      </w:r>
      <w:r w:rsidR="002A418D" w:rsidRPr="008B1F04">
        <w:rPr>
          <w:rFonts w:cs="Arial"/>
        </w:rPr>
        <w:t>)</w:t>
      </w:r>
      <w:r w:rsidRPr="008B1F04">
        <w:rPr>
          <w:rFonts w:cs="Arial"/>
        </w:rPr>
        <w:t xml:space="preserve">; </w:t>
      </w:r>
      <w:r w:rsidR="00676B14" w:rsidRPr="008B1F04">
        <w:rPr>
          <w:rFonts w:cs="Arial"/>
        </w:rPr>
        <w:t>or</w:t>
      </w:r>
    </w:p>
    <w:p w14:paraId="6D52709F" w14:textId="77777777" w:rsidR="00D77028" w:rsidRPr="008B1F04" w:rsidRDefault="00D77028" w:rsidP="00E900F9">
      <w:pPr>
        <w:pStyle w:val="ListParagraph"/>
        <w:numPr>
          <w:ilvl w:val="0"/>
          <w:numId w:val="10"/>
        </w:numPr>
        <w:ind w:left="2880"/>
        <w:rPr>
          <w:rFonts w:cs="Arial"/>
        </w:rPr>
      </w:pPr>
      <w:r w:rsidRPr="008B1F04">
        <w:rPr>
          <w:rFonts w:cs="Arial"/>
        </w:rPr>
        <w:t xml:space="preserve">for impeachment, </w:t>
      </w:r>
      <w:r w:rsidR="0083038F" w:rsidRPr="008B1F04">
        <w:rPr>
          <w:rFonts w:cs="Arial"/>
        </w:rPr>
        <w:t>State v. Smith, 324 N.C. 343, 348 (1989)</w:t>
      </w:r>
      <w:r w:rsidR="005C7E7D" w:rsidRPr="008B1F04">
        <w:rPr>
          <w:rFonts w:cs="Arial"/>
        </w:rPr>
        <w:t>.</w:t>
      </w:r>
    </w:p>
    <w:p w14:paraId="0EB77F19" w14:textId="77777777" w:rsidR="00D35326" w:rsidRPr="008B1F04" w:rsidRDefault="00D35326" w:rsidP="00D35326">
      <w:pPr>
        <w:pStyle w:val="ListParagraph"/>
        <w:ind w:left="2880"/>
        <w:rPr>
          <w:rFonts w:cs="Arial"/>
        </w:rPr>
      </w:pPr>
    </w:p>
    <w:p w14:paraId="309394F6" w14:textId="77777777" w:rsidR="00596C07" w:rsidRPr="008B1F04" w:rsidRDefault="00A82C1E" w:rsidP="005E6038">
      <w:pPr>
        <w:pStyle w:val="ListParagraph"/>
        <w:numPr>
          <w:ilvl w:val="0"/>
          <w:numId w:val="27"/>
        </w:numPr>
      </w:pPr>
      <w:bookmarkStart w:id="8" w:name="_Toc405983779"/>
      <w:r w:rsidRPr="00C635C1">
        <w:rPr>
          <w:rStyle w:val="Heading2Char"/>
        </w:rPr>
        <w:t xml:space="preserve">Attacking and Supporting a </w:t>
      </w:r>
      <w:r w:rsidR="009066E8" w:rsidRPr="00C635C1">
        <w:rPr>
          <w:rStyle w:val="Heading2Char"/>
        </w:rPr>
        <w:t>Hearsay Declarant’s Credibility</w:t>
      </w:r>
      <w:bookmarkEnd w:id="8"/>
      <w:r w:rsidR="007D780D" w:rsidRPr="008B1F04">
        <w:rPr>
          <w:b/>
        </w:rPr>
        <w:t>.</w:t>
      </w:r>
      <w:r w:rsidR="007D780D" w:rsidRPr="008B1F04">
        <w:t xml:space="preserve"> </w:t>
      </w:r>
      <w:r w:rsidR="00596C07" w:rsidRPr="008B1F04">
        <w:t xml:space="preserve">When a hearsay statement </w:t>
      </w:r>
      <w:r w:rsidRPr="008B1F04">
        <w:t xml:space="preserve">is </w:t>
      </w:r>
      <w:r w:rsidR="00596C07" w:rsidRPr="008B1F04">
        <w:t>admitted in evidence, the credibility of the declarant may be attacked</w:t>
      </w:r>
      <w:r w:rsidR="00925E8E" w:rsidRPr="008B1F04">
        <w:t xml:space="preserve"> and supported as if the declarant had </w:t>
      </w:r>
      <w:r w:rsidR="00596C07" w:rsidRPr="008B1F04">
        <w:t xml:space="preserve">testified as a witness. </w:t>
      </w:r>
      <w:r w:rsidR="0083038F" w:rsidRPr="008B1F04">
        <w:rPr>
          <w:smallCaps/>
        </w:rPr>
        <w:t>N.C. R. Evid. 806</w:t>
      </w:r>
      <w:r w:rsidR="00925E8E" w:rsidRPr="008B1F04">
        <w:t>. For the rules about impeachment, see</w:t>
      </w:r>
      <w:r w:rsidR="007D780D" w:rsidRPr="008B1F04">
        <w:t xml:space="preserve"> </w:t>
      </w:r>
      <w:hyperlink r:id="rId8" w:history="1">
        <w:r w:rsidR="007D780D" w:rsidRPr="00AA085B">
          <w:rPr>
            <w:rStyle w:val="Hyperlink"/>
            <w:rFonts w:cs="Arial"/>
          </w:rPr>
          <w:t>Impeachment</w:t>
        </w:r>
      </w:hyperlink>
      <w:r w:rsidR="00925E8E" w:rsidRPr="008B1F04">
        <w:t>, in this Guide under Evidence. Note that with regard to impeachment with a prior inconsistent statement,</w:t>
      </w:r>
      <w:r w:rsidR="00596C07" w:rsidRPr="008B1F04">
        <w:t xml:space="preserve"> </w:t>
      </w:r>
      <w:r w:rsidR="00E63FC1" w:rsidRPr="008B1F04">
        <w:t>there is no</w:t>
      </w:r>
      <w:r w:rsidR="00596C07" w:rsidRPr="008B1F04">
        <w:t xml:space="preserve"> requirement that </w:t>
      </w:r>
      <w:r w:rsidR="00925E8E" w:rsidRPr="008B1F04">
        <w:t xml:space="preserve">the </w:t>
      </w:r>
      <w:r w:rsidR="00E63FC1" w:rsidRPr="008B1F04">
        <w:t>declarant be</w:t>
      </w:r>
      <w:r w:rsidR="00596C07" w:rsidRPr="008B1F04">
        <w:t xml:space="preserve"> afforded an opportunity to deny or explain</w:t>
      </w:r>
      <w:r w:rsidR="002A418D" w:rsidRPr="008B1F04">
        <w:t xml:space="preserve"> the statement</w:t>
      </w:r>
      <w:r w:rsidR="00596C07" w:rsidRPr="008B1F04">
        <w:t xml:space="preserve">. </w:t>
      </w:r>
      <w:r w:rsidR="0083038F" w:rsidRPr="008B1F04">
        <w:rPr>
          <w:smallCaps/>
        </w:rPr>
        <w:t>N.C.</w:t>
      </w:r>
      <w:r w:rsidR="001D1584" w:rsidRPr="008B1F04">
        <w:rPr>
          <w:smallCaps/>
        </w:rPr>
        <w:t xml:space="preserve"> </w:t>
      </w:r>
      <w:r w:rsidR="0083038F" w:rsidRPr="008B1F04">
        <w:rPr>
          <w:smallCaps/>
        </w:rPr>
        <w:t>R.</w:t>
      </w:r>
      <w:r w:rsidR="001D1584" w:rsidRPr="008B1F04">
        <w:rPr>
          <w:smallCaps/>
        </w:rPr>
        <w:t xml:space="preserve"> </w:t>
      </w:r>
      <w:r w:rsidR="0083038F" w:rsidRPr="008B1F04">
        <w:rPr>
          <w:smallCaps/>
        </w:rPr>
        <w:t>Evid. 806</w:t>
      </w:r>
      <w:r w:rsidR="00925E8E" w:rsidRPr="008B1F04">
        <w:t xml:space="preserve">. </w:t>
      </w:r>
    </w:p>
    <w:p w14:paraId="28C661A8" w14:textId="77777777" w:rsidR="00434A9C" w:rsidRPr="008B1F04" w:rsidRDefault="00434A9C" w:rsidP="007D780D">
      <w:pPr>
        <w:ind w:left="720"/>
        <w:rPr>
          <w:rFonts w:cs="Arial"/>
        </w:rPr>
      </w:pPr>
    </w:p>
    <w:p w14:paraId="5D9D3E06" w14:textId="77777777" w:rsidR="003B5AB5" w:rsidRPr="008B1F04" w:rsidRDefault="00F83AD6" w:rsidP="005E6038">
      <w:pPr>
        <w:pStyle w:val="ListParagraph"/>
        <w:numPr>
          <w:ilvl w:val="0"/>
          <w:numId w:val="27"/>
        </w:numPr>
      </w:pPr>
      <w:r w:rsidRPr="008B1F04">
        <w:rPr>
          <w:b/>
        </w:rPr>
        <w:t xml:space="preserve"> </w:t>
      </w:r>
      <w:bookmarkStart w:id="9" w:name="_Toc405983780"/>
      <w:r w:rsidR="003B5AB5" w:rsidRPr="00C635C1">
        <w:rPr>
          <w:rStyle w:val="Heading2Char"/>
        </w:rPr>
        <w:t>Double Hearsay</w:t>
      </w:r>
      <w:bookmarkEnd w:id="9"/>
      <w:r w:rsidR="00680EB8" w:rsidRPr="008B1F04">
        <w:rPr>
          <w:b/>
        </w:rPr>
        <w:t>.</w:t>
      </w:r>
      <w:r w:rsidR="00680EB8" w:rsidRPr="008B1F04">
        <w:t xml:space="preserve"> </w:t>
      </w:r>
      <w:r w:rsidR="003B5AB5" w:rsidRPr="008B1F04">
        <w:t>When dealing with hearsay within hearsay—sometimes referred to as double hearsay—each statement must fall within a hearsay exception</w:t>
      </w:r>
      <w:r w:rsidR="00676B14" w:rsidRPr="008B1F04">
        <w:t xml:space="preserve"> for the double hearsay to be admissible</w:t>
      </w:r>
      <w:r w:rsidR="003B5AB5" w:rsidRPr="008B1F04">
        <w:t xml:space="preserve">. </w:t>
      </w:r>
      <w:r w:rsidR="0083038F" w:rsidRPr="008B1F04">
        <w:rPr>
          <w:smallCaps/>
        </w:rPr>
        <w:t>N.C. R. Evid. 805</w:t>
      </w:r>
      <w:r w:rsidR="003B5AB5" w:rsidRPr="008B1F04">
        <w:t xml:space="preserve">; </w:t>
      </w:r>
      <w:r w:rsidR="003B5AB5" w:rsidRPr="008B1F04">
        <w:rPr>
          <w:i/>
        </w:rPr>
        <w:t xml:space="preserve">see, e.g., </w:t>
      </w:r>
      <w:r w:rsidR="0083038F" w:rsidRPr="008B1F04">
        <w:t>State v. Chapman, 359 N.C. 328, 355 (2005) (hearsay within hearsay is not excluded if each part of the statement satisfies a hearsay exception)</w:t>
      </w:r>
      <w:r w:rsidR="003B5AB5" w:rsidRPr="008B1F04">
        <w:t xml:space="preserve">; </w:t>
      </w:r>
      <w:r w:rsidR="0083038F" w:rsidRPr="008B1F04">
        <w:t>State v. Larrimore, 340 N.C. 119, 147 (1995) (hearsay within hearsay is admissible if both statements are admissible under an exception)</w:t>
      </w:r>
      <w:r w:rsidR="003B5AB5" w:rsidRPr="008B1F04">
        <w:t>.</w:t>
      </w:r>
    </w:p>
    <w:p w14:paraId="74615DC5" w14:textId="77777777" w:rsidR="003B5AB5" w:rsidRPr="008B1F04" w:rsidRDefault="003B5AB5" w:rsidP="007D780D">
      <w:pPr>
        <w:ind w:left="720"/>
        <w:rPr>
          <w:rFonts w:cs="Arial"/>
        </w:rPr>
      </w:pPr>
    </w:p>
    <w:p w14:paraId="5657367E" w14:textId="77777777" w:rsidR="00434A9C" w:rsidRPr="008B1F04" w:rsidRDefault="00434A9C" w:rsidP="005E6038">
      <w:pPr>
        <w:pStyle w:val="ListParagraph"/>
        <w:numPr>
          <w:ilvl w:val="0"/>
          <w:numId w:val="27"/>
        </w:numPr>
      </w:pPr>
      <w:bookmarkStart w:id="10" w:name="_Toc405983781"/>
      <w:r w:rsidRPr="00C635C1">
        <w:rPr>
          <w:rStyle w:val="Heading2Char"/>
        </w:rPr>
        <w:t>Confrontation Clause Issues</w:t>
      </w:r>
      <w:bookmarkEnd w:id="10"/>
      <w:r w:rsidR="00680EB8" w:rsidRPr="008B1F04">
        <w:rPr>
          <w:b/>
        </w:rPr>
        <w:t>.</w:t>
      </w:r>
      <w:r w:rsidR="00680EB8" w:rsidRPr="008B1F04">
        <w:t xml:space="preserve"> </w:t>
      </w:r>
      <w:r w:rsidRPr="008B1F04">
        <w:t xml:space="preserve">All hearsay issues raise potential confrontation clause issues under both </w:t>
      </w:r>
      <w:r w:rsidRPr="008B1F04">
        <w:rPr>
          <w:i/>
        </w:rPr>
        <w:t xml:space="preserve">Crawford </w:t>
      </w:r>
      <w:r w:rsidRPr="008B1F04">
        <w:t xml:space="preserve">and </w:t>
      </w:r>
      <w:proofErr w:type="spellStart"/>
      <w:r w:rsidRPr="008B1F04">
        <w:rPr>
          <w:i/>
        </w:rPr>
        <w:t>Bruton</w:t>
      </w:r>
      <w:proofErr w:type="spellEnd"/>
      <w:r w:rsidRPr="008B1F04">
        <w:rPr>
          <w:i/>
        </w:rPr>
        <w:t xml:space="preserve">. </w:t>
      </w:r>
      <w:r w:rsidRPr="008B1F04">
        <w:t xml:space="preserve">For a discussion of those issues, see </w:t>
      </w:r>
      <w:hyperlink r:id="rId9" w:history="1">
        <w:r w:rsidR="002A418D" w:rsidRPr="00AA085B">
          <w:rPr>
            <w:rStyle w:val="Hyperlink"/>
            <w:rFonts w:cs="Arial"/>
          </w:rPr>
          <w:t>Guide to Crawford &amp; the Confrontation Clause</w:t>
        </w:r>
      </w:hyperlink>
      <w:r w:rsidRPr="008B1F04">
        <w:t xml:space="preserve"> </w:t>
      </w:r>
      <w:r w:rsidR="002A418D" w:rsidRPr="008B1F04">
        <w:t xml:space="preserve">and </w:t>
      </w:r>
      <w:hyperlink r:id="rId10" w:history="1">
        <w:r w:rsidR="002A418D" w:rsidRPr="00AA085B">
          <w:rPr>
            <w:rStyle w:val="Hyperlink"/>
            <w:rFonts w:cs="Arial"/>
          </w:rPr>
          <w:t xml:space="preserve">The </w:t>
        </w:r>
        <w:proofErr w:type="spellStart"/>
        <w:r w:rsidR="002A418D" w:rsidRPr="00AA085B">
          <w:rPr>
            <w:rStyle w:val="Hyperlink"/>
            <w:rFonts w:cs="Arial"/>
            <w:i/>
          </w:rPr>
          <w:t>Bruton</w:t>
        </w:r>
        <w:proofErr w:type="spellEnd"/>
        <w:r w:rsidR="002A418D" w:rsidRPr="00AA085B">
          <w:rPr>
            <w:rStyle w:val="Hyperlink"/>
            <w:rFonts w:cs="Arial"/>
          </w:rPr>
          <w:t xml:space="preserve"> Rule: Joint Trials &amp; Codefendants' Confessions</w:t>
        </w:r>
      </w:hyperlink>
      <w:r w:rsidR="002A418D" w:rsidRPr="008B1F04">
        <w:t xml:space="preserve">, both </w:t>
      </w:r>
      <w:r w:rsidRPr="008B1F04">
        <w:t>in this Guide under Evidence.</w:t>
      </w:r>
    </w:p>
    <w:p w14:paraId="6AD25736" w14:textId="77777777" w:rsidR="00596C07" w:rsidRPr="008B1F04" w:rsidRDefault="00596C07" w:rsidP="002C7F1E">
      <w:pPr>
        <w:pStyle w:val="NoSpacing"/>
        <w:numPr>
          <w:ilvl w:val="0"/>
          <w:numId w:val="0"/>
        </w:numPr>
        <w:ind w:left="720"/>
      </w:pPr>
    </w:p>
    <w:p w14:paraId="2268B1D9" w14:textId="77777777" w:rsidR="00680EB8" w:rsidRPr="002C7F1E" w:rsidRDefault="00925E8E" w:rsidP="00C635C1">
      <w:pPr>
        <w:pStyle w:val="Heading1"/>
      </w:pPr>
      <w:bookmarkStart w:id="11" w:name="_Toc405983782"/>
      <w:r w:rsidRPr="002C7F1E">
        <w:t xml:space="preserve">Hearsay </w:t>
      </w:r>
      <w:r w:rsidR="004C0063" w:rsidRPr="002C7F1E">
        <w:t>Exceptions</w:t>
      </w:r>
      <w:bookmarkEnd w:id="11"/>
    </w:p>
    <w:p w14:paraId="257B95CB" w14:textId="77777777" w:rsidR="004C0063" w:rsidRPr="008B1F04" w:rsidRDefault="00266FF6" w:rsidP="00D35326">
      <w:pPr>
        <w:pStyle w:val="ListParagraph"/>
        <w:numPr>
          <w:ilvl w:val="0"/>
          <w:numId w:val="43"/>
        </w:numPr>
      </w:pPr>
      <w:bookmarkStart w:id="12" w:name="_Toc405983783"/>
      <w:r w:rsidRPr="00C635C1">
        <w:rPr>
          <w:rStyle w:val="Heading2Char"/>
        </w:rPr>
        <w:t>Admissions by</w:t>
      </w:r>
      <w:r w:rsidR="004D2A3F" w:rsidRPr="00C635C1">
        <w:rPr>
          <w:rStyle w:val="Heading2Char"/>
        </w:rPr>
        <w:t xml:space="preserve"> Party-Opponents</w:t>
      </w:r>
      <w:bookmarkEnd w:id="12"/>
      <w:r w:rsidR="00680EB8" w:rsidRPr="008B1F04">
        <w:rPr>
          <w:b/>
        </w:rPr>
        <w:t>.</w:t>
      </w:r>
      <w:r w:rsidR="00680EB8" w:rsidRPr="008B1F04">
        <w:t xml:space="preserve"> </w:t>
      </w:r>
      <w:r w:rsidR="004D2A3F" w:rsidRPr="008B1F04">
        <w:t>R</w:t>
      </w:r>
      <w:r w:rsidR="004C0063" w:rsidRPr="008B1F04">
        <w:t xml:space="preserve">ule 801(d) </w:t>
      </w:r>
      <w:r w:rsidR="005C7E7D" w:rsidRPr="008B1F04">
        <w:t>se</w:t>
      </w:r>
      <w:r w:rsidRPr="008B1F04">
        <w:t>ts out a hearsay exception</w:t>
      </w:r>
      <w:r w:rsidR="005C7E7D" w:rsidRPr="008B1F04">
        <w:t xml:space="preserve"> for “Admissions by a Party-Opponent.” It </w:t>
      </w:r>
      <w:r w:rsidR="004C0063" w:rsidRPr="008B1F04">
        <w:t xml:space="preserve">provides that a statement is admissible as an exception to the hearsay rule if it </w:t>
      </w:r>
      <w:r w:rsidR="004A7664" w:rsidRPr="008B1F04">
        <w:t>“</w:t>
      </w:r>
      <w:r w:rsidR="004C0063" w:rsidRPr="008B1F04">
        <w:t>is offered against a party</w:t>
      </w:r>
      <w:r w:rsidR="004A7664" w:rsidRPr="008B1F04">
        <w:t>”</w:t>
      </w:r>
      <w:r w:rsidR="004C0063" w:rsidRPr="008B1F04">
        <w:t xml:space="preserve"> and it is</w:t>
      </w:r>
    </w:p>
    <w:p w14:paraId="112E5CEC" w14:textId="77777777" w:rsidR="004C0063" w:rsidRPr="008B1F04" w:rsidRDefault="004C0063" w:rsidP="00F83AD6">
      <w:pPr>
        <w:rPr>
          <w:rFonts w:cs="Arial"/>
        </w:rPr>
      </w:pPr>
    </w:p>
    <w:p w14:paraId="3AAF8AD9" w14:textId="77777777" w:rsidR="004C0063" w:rsidRPr="008B1F04" w:rsidRDefault="004C0063" w:rsidP="00676B14">
      <w:pPr>
        <w:pStyle w:val="ListParagraph"/>
        <w:numPr>
          <w:ilvl w:val="0"/>
          <w:numId w:val="1"/>
        </w:numPr>
        <w:ind w:left="2160"/>
        <w:rPr>
          <w:rFonts w:cs="Arial"/>
        </w:rPr>
      </w:pPr>
      <w:r w:rsidRPr="008B1F04">
        <w:rPr>
          <w:rFonts w:cs="Arial"/>
        </w:rPr>
        <w:t>his or her own statement, in an individual or representative capacity</w:t>
      </w:r>
      <w:r w:rsidR="00B2290E" w:rsidRPr="008B1F04">
        <w:rPr>
          <w:rFonts w:cs="Arial"/>
        </w:rPr>
        <w:t>;</w:t>
      </w:r>
      <w:r w:rsidRPr="008B1F04">
        <w:rPr>
          <w:rFonts w:cs="Arial"/>
        </w:rPr>
        <w:t xml:space="preserve"> </w:t>
      </w:r>
    </w:p>
    <w:p w14:paraId="7B6E7AC0" w14:textId="77777777" w:rsidR="004C0063" w:rsidRPr="008B1F04" w:rsidRDefault="004C0063" w:rsidP="00676B14">
      <w:pPr>
        <w:pStyle w:val="ListParagraph"/>
        <w:numPr>
          <w:ilvl w:val="0"/>
          <w:numId w:val="1"/>
        </w:numPr>
        <w:ind w:left="2160"/>
        <w:rPr>
          <w:rFonts w:cs="Arial"/>
        </w:rPr>
      </w:pPr>
      <w:r w:rsidRPr="008B1F04">
        <w:rPr>
          <w:rFonts w:cs="Arial"/>
        </w:rPr>
        <w:t xml:space="preserve">a statement </w:t>
      </w:r>
      <w:r w:rsidR="00B243D5" w:rsidRPr="008B1F04">
        <w:rPr>
          <w:rFonts w:cs="Arial"/>
        </w:rPr>
        <w:t xml:space="preserve">that </w:t>
      </w:r>
      <w:r w:rsidRPr="008B1F04">
        <w:rPr>
          <w:rFonts w:cs="Arial"/>
        </w:rPr>
        <w:t xml:space="preserve">he or she has manifested </w:t>
      </w:r>
      <w:r w:rsidR="00B243D5" w:rsidRPr="008B1F04">
        <w:rPr>
          <w:rFonts w:cs="Arial"/>
        </w:rPr>
        <w:t xml:space="preserve">an adoption of </w:t>
      </w:r>
      <w:r w:rsidRPr="008B1F04">
        <w:rPr>
          <w:rFonts w:cs="Arial"/>
        </w:rPr>
        <w:t xml:space="preserve">or </w:t>
      </w:r>
      <w:r w:rsidR="00B243D5" w:rsidRPr="008B1F04">
        <w:rPr>
          <w:rFonts w:cs="Arial"/>
        </w:rPr>
        <w:t xml:space="preserve">a </w:t>
      </w:r>
      <w:r w:rsidR="00B2290E" w:rsidRPr="008B1F04">
        <w:rPr>
          <w:rFonts w:cs="Arial"/>
        </w:rPr>
        <w:t>belief in its truth;</w:t>
      </w:r>
    </w:p>
    <w:p w14:paraId="5868025F" w14:textId="77777777" w:rsidR="004C0063" w:rsidRPr="008B1F04" w:rsidRDefault="004C0063" w:rsidP="00676B14">
      <w:pPr>
        <w:pStyle w:val="ListParagraph"/>
        <w:numPr>
          <w:ilvl w:val="0"/>
          <w:numId w:val="1"/>
        </w:numPr>
        <w:ind w:left="2160"/>
        <w:rPr>
          <w:rFonts w:cs="Arial"/>
        </w:rPr>
      </w:pPr>
      <w:r w:rsidRPr="008B1F04">
        <w:rPr>
          <w:rFonts w:cs="Arial"/>
        </w:rPr>
        <w:lastRenderedPageBreak/>
        <w:t>a statement by a person authorized by him or her to make a state</w:t>
      </w:r>
      <w:r w:rsidR="00B2290E" w:rsidRPr="008B1F04">
        <w:rPr>
          <w:rFonts w:cs="Arial"/>
        </w:rPr>
        <w:t>ment concerning the subject;</w:t>
      </w:r>
    </w:p>
    <w:p w14:paraId="292FE2A3" w14:textId="77777777" w:rsidR="004C0063" w:rsidRPr="008B1F04" w:rsidRDefault="004C0063" w:rsidP="00676B14">
      <w:pPr>
        <w:pStyle w:val="ListParagraph"/>
        <w:numPr>
          <w:ilvl w:val="0"/>
          <w:numId w:val="1"/>
        </w:numPr>
        <w:ind w:left="2160"/>
        <w:rPr>
          <w:rFonts w:cs="Arial"/>
        </w:rPr>
      </w:pPr>
      <w:r w:rsidRPr="008B1F04">
        <w:rPr>
          <w:rFonts w:cs="Arial"/>
        </w:rPr>
        <w:t xml:space="preserve">a statement by his or her agent or servant concerning a matter within the scope of agency or employment, made during the existence of the relationship; or </w:t>
      </w:r>
    </w:p>
    <w:p w14:paraId="2D163ED0" w14:textId="77777777" w:rsidR="004C0063" w:rsidRPr="008B1F04" w:rsidRDefault="004C0063" w:rsidP="00676B14">
      <w:pPr>
        <w:pStyle w:val="ListParagraph"/>
        <w:numPr>
          <w:ilvl w:val="0"/>
          <w:numId w:val="1"/>
        </w:numPr>
        <w:ind w:left="2160"/>
        <w:rPr>
          <w:rFonts w:cs="Arial"/>
        </w:rPr>
      </w:pPr>
      <w:r w:rsidRPr="008B1F04">
        <w:rPr>
          <w:rFonts w:cs="Arial"/>
        </w:rPr>
        <w:t>a statement by a co</w:t>
      </w:r>
      <w:r w:rsidR="00B243D5" w:rsidRPr="008B1F04">
        <w:rPr>
          <w:rFonts w:cs="Arial"/>
        </w:rPr>
        <w:t>-</w:t>
      </w:r>
      <w:r w:rsidRPr="008B1F04">
        <w:rPr>
          <w:rFonts w:cs="Arial"/>
        </w:rPr>
        <w:t>conspirator of such party during the course and in furtherance of the conspiracy.</w:t>
      </w:r>
    </w:p>
    <w:p w14:paraId="497482DC" w14:textId="77777777" w:rsidR="00434A9C" w:rsidRPr="008B1F04" w:rsidRDefault="00434A9C" w:rsidP="00F83AD6">
      <w:pPr>
        <w:rPr>
          <w:rFonts w:cs="Arial"/>
        </w:rPr>
      </w:pPr>
    </w:p>
    <w:p w14:paraId="15CD0ED6" w14:textId="77777777" w:rsidR="009A30AB" w:rsidRPr="008B1F04" w:rsidRDefault="00C00A66" w:rsidP="00680EB8">
      <w:pPr>
        <w:ind w:left="1440"/>
        <w:rPr>
          <w:rFonts w:cs="Arial"/>
        </w:rPr>
      </w:pPr>
      <w:r w:rsidRPr="008B1F04">
        <w:rPr>
          <w:rFonts w:cs="Arial"/>
          <w:smallCaps/>
        </w:rPr>
        <w:t xml:space="preserve">N.C. R. Evid. </w:t>
      </w:r>
      <w:r w:rsidRPr="008B1F04">
        <w:rPr>
          <w:rFonts w:cs="Arial"/>
        </w:rPr>
        <w:t xml:space="preserve">801(d). </w:t>
      </w:r>
      <w:r w:rsidR="009A30AB" w:rsidRPr="008B1F04">
        <w:rPr>
          <w:rFonts w:cs="Arial"/>
        </w:rPr>
        <w:t>This except</w:t>
      </w:r>
      <w:r w:rsidR="00376E8C" w:rsidRPr="008B1F04">
        <w:rPr>
          <w:rFonts w:cs="Arial"/>
        </w:rPr>
        <w:t>ion is understood to apply to</w:t>
      </w:r>
      <w:r w:rsidR="009A30AB" w:rsidRPr="008B1F04">
        <w:rPr>
          <w:rFonts w:cs="Arial"/>
        </w:rPr>
        <w:t xml:space="preserve"> admission</w:t>
      </w:r>
      <w:r w:rsidR="00376E8C" w:rsidRPr="008B1F04">
        <w:rPr>
          <w:rFonts w:cs="Arial"/>
        </w:rPr>
        <w:t xml:space="preserve">s, </w:t>
      </w:r>
      <w:r w:rsidR="002A418D" w:rsidRPr="008B1F04">
        <w:rPr>
          <w:rFonts w:cs="Arial"/>
        </w:rPr>
        <w:t>define</w:t>
      </w:r>
      <w:r w:rsidR="000357EC" w:rsidRPr="008B1F04">
        <w:rPr>
          <w:rFonts w:cs="Arial"/>
        </w:rPr>
        <w:t>d</w:t>
      </w:r>
      <w:r w:rsidR="002A418D" w:rsidRPr="008B1F04">
        <w:rPr>
          <w:rFonts w:cs="Arial"/>
        </w:rPr>
        <w:t xml:space="preserve"> as “</w:t>
      </w:r>
      <w:r w:rsidR="009A30AB" w:rsidRPr="008B1F04">
        <w:rPr>
          <w:rFonts w:cs="Arial"/>
        </w:rPr>
        <w:t>statement</w:t>
      </w:r>
      <w:r w:rsidR="000357EC" w:rsidRPr="008B1F04">
        <w:rPr>
          <w:rFonts w:cs="Arial"/>
        </w:rPr>
        <w:t>[</w:t>
      </w:r>
      <w:r w:rsidR="00376E8C" w:rsidRPr="008B1F04">
        <w:rPr>
          <w:rFonts w:cs="Arial"/>
        </w:rPr>
        <w:t>s</w:t>
      </w:r>
      <w:r w:rsidR="000357EC" w:rsidRPr="008B1F04">
        <w:rPr>
          <w:rFonts w:cs="Arial"/>
        </w:rPr>
        <w:t>]</w:t>
      </w:r>
      <w:r w:rsidR="009A30AB" w:rsidRPr="008B1F04">
        <w:rPr>
          <w:rFonts w:cs="Arial"/>
        </w:rPr>
        <w:t xml:space="preserve"> of pertinent facts which</w:t>
      </w:r>
      <w:r w:rsidR="00376E8C" w:rsidRPr="008B1F04">
        <w:rPr>
          <w:rFonts w:cs="Arial"/>
        </w:rPr>
        <w:t xml:space="preserve">, in light of other evidence, </w:t>
      </w:r>
      <w:r w:rsidR="000357EC" w:rsidRPr="008B1F04">
        <w:rPr>
          <w:rFonts w:cs="Arial"/>
        </w:rPr>
        <w:t>[</w:t>
      </w:r>
      <w:r w:rsidR="00376E8C" w:rsidRPr="008B1F04">
        <w:rPr>
          <w:rFonts w:cs="Arial"/>
        </w:rPr>
        <w:t>are</w:t>
      </w:r>
      <w:r w:rsidR="000357EC" w:rsidRPr="008B1F04">
        <w:rPr>
          <w:rFonts w:cs="Arial"/>
        </w:rPr>
        <w:t>]</w:t>
      </w:r>
      <w:r w:rsidR="009A30AB" w:rsidRPr="008B1F04">
        <w:rPr>
          <w:rFonts w:cs="Arial"/>
        </w:rPr>
        <w:t xml:space="preserve"> incriminating.” </w:t>
      </w:r>
      <w:r w:rsidR="0083038F" w:rsidRPr="008B1F04">
        <w:rPr>
          <w:rFonts w:cs="Arial"/>
        </w:rPr>
        <w:t>State v. Al-</w:t>
      </w:r>
      <w:proofErr w:type="spellStart"/>
      <w:r w:rsidR="0083038F" w:rsidRPr="008B1F04">
        <w:rPr>
          <w:rFonts w:cs="Arial"/>
        </w:rPr>
        <w:t>Bayyinah</w:t>
      </w:r>
      <w:proofErr w:type="spellEnd"/>
      <w:r w:rsidR="0083038F" w:rsidRPr="008B1F04">
        <w:rPr>
          <w:rFonts w:cs="Arial"/>
        </w:rPr>
        <w:t>, 359 N.C. 741, 748 (2005) (quotation omitted)</w:t>
      </w:r>
      <w:r w:rsidR="009A30AB" w:rsidRPr="008B1F04">
        <w:rPr>
          <w:rFonts w:cs="Arial"/>
        </w:rPr>
        <w:t xml:space="preserve">; </w:t>
      </w:r>
      <w:r w:rsidR="0083038F" w:rsidRPr="008B1F04">
        <w:rPr>
          <w:rFonts w:cs="Arial"/>
        </w:rPr>
        <w:t>State v. Lambert, 341 N.C. 36, 50 (1995)</w:t>
      </w:r>
      <w:r w:rsidR="009066E8" w:rsidRPr="008B1F04">
        <w:rPr>
          <w:rFonts w:cs="Arial"/>
        </w:rPr>
        <w:t>;</w:t>
      </w:r>
      <w:r w:rsidR="00F83AD6" w:rsidRPr="008B1F04">
        <w:rPr>
          <w:rFonts w:cs="Arial"/>
        </w:rPr>
        <w:t xml:space="preserve"> </w:t>
      </w:r>
      <w:r w:rsidR="00F83AD6" w:rsidRPr="008B1F04">
        <w:rPr>
          <w:rFonts w:cs="Arial"/>
          <w:i/>
        </w:rPr>
        <w:t>see also</w:t>
      </w:r>
      <w:r w:rsidR="00F83AD6" w:rsidRPr="008B1F04">
        <w:rPr>
          <w:rFonts w:cs="Arial"/>
        </w:rPr>
        <w:t xml:space="preserve"> </w:t>
      </w:r>
      <w:r w:rsidR="0083038F" w:rsidRPr="008B1F04">
        <w:rPr>
          <w:rFonts w:cs="Arial"/>
        </w:rPr>
        <w:t>State v. Smith, 157 N.C. App. 493, 496 (2003)</w:t>
      </w:r>
      <w:r w:rsidR="00F83AD6" w:rsidRPr="008B1F04">
        <w:rPr>
          <w:rFonts w:cs="Arial"/>
        </w:rPr>
        <w:t>.</w:t>
      </w:r>
    </w:p>
    <w:p w14:paraId="76BEE435" w14:textId="77777777" w:rsidR="00B2290E" w:rsidRPr="008B1F04" w:rsidRDefault="00B2290E" w:rsidP="00680EB8">
      <w:pPr>
        <w:ind w:left="1440" w:firstLine="360"/>
        <w:rPr>
          <w:rFonts w:cs="Arial"/>
        </w:rPr>
      </w:pPr>
      <w:r w:rsidRPr="008B1F04">
        <w:rPr>
          <w:rFonts w:cs="Arial"/>
        </w:rPr>
        <w:t>This exception should not be confused with the sta</w:t>
      </w:r>
      <w:r w:rsidR="00376E8C" w:rsidRPr="008B1F04">
        <w:rPr>
          <w:rFonts w:cs="Arial"/>
        </w:rPr>
        <w:t>tements against interest</w:t>
      </w:r>
      <w:r w:rsidRPr="008B1F04">
        <w:rPr>
          <w:rFonts w:cs="Arial"/>
        </w:rPr>
        <w:t xml:space="preserve"> </w:t>
      </w:r>
      <w:r w:rsidR="00676B14" w:rsidRPr="008B1F04">
        <w:rPr>
          <w:rFonts w:cs="Arial"/>
        </w:rPr>
        <w:t xml:space="preserve">hearsay </w:t>
      </w:r>
      <w:r w:rsidRPr="008B1F04">
        <w:rPr>
          <w:rFonts w:cs="Arial"/>
        </w:rPr>
        <w:t>exception</w:t>
      </w:r>
      <w:r w:rsidR="00376E8C" w:rsidRPr="008B1F04">
        <w:rPr>
          <w:rFonts w:cs="Arial"/>
        </w:rPr>
        <w:t xml:space="preserve"> in Rule 804(b)(3)</w:t>
      </w:r>
      <w:r w:rsidR="004A7664" w:rsidRPr="008B1F04">
        <w:rPr>
          <w:rFonts w:cs="Arial"/>
        </w:rPr>
        <w:t xml:space="preserve">. </w:t>
      </w:r>
      <w:r w:rsidR="004A7664" w:rsidRPr="008B1F04">
        <w:rPr>
          <w:rFonts w:cs="Arial"/>
          <w:i/>
        </w:rPr>
        <w:t>See</w:t>
      </w:r>
      <w:r w:rsidR="004A7664" w:rsidRPr="008B1F04">
        <w:rPr>
          <w:rFonts w:cs="Arial"/>
        </w:rPr>
        <w:t xml:space="preserve"> Section </w:t>
      </w:r>
      <w:r w:rsidR="002A418D" w:rsidRPr="008B1F04">
        <w:rPr>
          <w:rFonts w:cs="Arial"/>
        </w:rPr>
        <w:t>II.C.4</w:t>
      </w:r>
      <w:r w:rsidR="004A7664" w:rsidRPr="008B1F04">
        <w:rPr>
          <w:rFonts w:cs="Arial"/>
        </w:rPr>
        <w:t xml:space="preserve"> below. The statement against interest</w:t>
      </w:r>
      <w:r w:rsidR="00376E8C" w:rsidRPr="008B1F04">
        <w:rPr>
          <w:rFonts w:cs="Arial"/>
        </w:rPr>
        <w:t xml:space="preserve"> exception</w:t>
      </w:r>
      <w:r w:rsidR="004A7664" w:rsidRPr="008B1F04">
        <w:rPr>
          <w:rFonts w:cs="Arial"/>
        </w:rPr>
        <w:t xml:space="preserve"> differs from this exception in several ways. First, the statement against interest exception </w:t>
      </w:r>
      <w:r w:rsidRPr="008B1F04">
        <w:rPr>
          <w:rFonts w:cs="Arial"/>
        </w:rPr>
        <w:t>requires unavailability of the declarant</w:t>
      </w:r>
      <w:r w:rsidR="004A7664" w:rsidRPr="008B1F04">
        <w:rPr>
          <w:rFonts w:cs="Arial"/>
        </w:rPr>
        <w:t>; this one does not. Second, the statement against interest exception applies to statements by any</w:t>
      </w:r>
      <w:r w:rsidR="00376E8C" w:rsidRPr="008B1F04">
        <w:rPr>
          <w:rFonts w:cs="Arial"/>
        </w:rPr>
        <w:t xml:space="preserve"> declarant</w:t>
      </w:r>
      <w:r w:rsidR="004A7664" w:rsidRPr="008B1F04">
        <w:rPr>
          <w:rFonts w:cs="Arial"/>
        </w:rPr>
        <w:t xml:space="preserve">; this one applies only to statements </w:t>
      </w:r>
      <w:r w:rsidR="002A418D" w:rsidRPr="008B1F04">
        <w:rPr>
          <w:rFonts w:cs="Arial"/>
        </w:rPr>
        <w:t xml:space="preserve">made directly or indirectly </w:t>
      </w:r>
      <w:r w:rsidR="004A7664" w:rsidRPr="008B1F04">
        <w:rPr>
          <w:rFonts w:cs="Arial"/>
        </w:rPr>
        <w:t>by</w:t>
      </w:r>
      <w:r w:rsidR="00376E8C" w:rsidRPr="008B1F04">
        <w:rPr>
          <w:rFonts w:cs="Arial"/>
        </w:rPr>
        <w:t xml:space="preserve"> a party-opponent</w:t>
      </w:r>
      <w:r w:rsidR="004A7664" w:rsidRPr="008B1F04">
        <w:rPr>
          <w:rFonts w:cs="Arial"/>
        </w:rPr>
        <w:t xml:space="preserve">. Third, for the statement against interest exception to apply, the statement must have been against the declarant’s interest when made; no such requirement exists for this exception. And finally, </w:t>
      </w:r>
      <w:r w:rsidR="00376E8C" w:rsidRPr="008B1F04">
        <w:rPr>
          <w:rFonts w:cs="Arial"/>
        </w:rPr>
        <w:t>this</w:t>
      </w:r>
      <w:r w:rsidR="004A7664" w:rsidRPr="008B1F04">
        <w:rPr>
          <w:rFonts w:cs="Arial"/>
        </w:rPr>
        <w:t xml:space="preserve"> exception applies only when the statement is offered against a party; the statement against interest exception contains no such requirement.</w:t>
      </w:r>
    </w:p>
    <w:p w14:paraId="1445B580" w14:textId="77777777" w:rsidR="00CE6792" w:rsidRPr="008B1F04" w:rsidRDefault="00CE6792" w:rsidP="00680EB8">
      <w:pPr>
        <w:ind w:left="1440" w:firstLine="360"/>
        <w:rPr>
          <w:rFonts w:cs="Arial"/>
        </w:rPr>
      </w:pPr>
      <w:r w:rsidRPr="008B1F04">
        <w:rPr>
          <w:rFonts w:cs="Arial"/>
        </w:rPr>
        <w:t xml:space="preserve">When a defendant’s admission is part of a plea or plea negotiations, Rule 410 becomes relevant. </w:t>
      </w:r>
      <w:r w:rsidRPr="008B1F04">
        <w:rPr>
          <w:rFonts w:cs="Arial"/>
          <w:i/>
        </w:rPr>
        <w:t>See</w:t>
      </w:r>
      <w:r w:rsidRPr="008B1F04">
        <w:rPr>
          <w:rFonts w:cs="Arial"/>
        </w:rPr>
        <w:t xml:space="preserve"> </w:t>
      </w:r>
      <w:hyperlink r:id="rId11" w:history="1">
        <w:r w:rsidRPr="008B1F04">
          <w:rPr>
            <w:rStyle w:val="Hyperlink"/>
            <w:rFonts w:cs="Arial"/>
          </w:rPr>
          <w:t>Pleas and Plea Discussions</w:t>
        </w:r>
      </w:hyperlink>
      <w:r w:rsidRPr="008B1F04">
        <w:rPr>
          <w:rFonts w:cs="Arial"/>
        </w:rPr>
        <w:t xml:space="preserve"> in this Guide under Evidence.</w:t>
      </w:r>
    </w:p>
    <w:p w14:paraId="5150A6DF" w14:textId="77777777" w:rsidR="00AD2453" w:rsidRPr="008B1F04" w:rsidRDefault="00003C1E" w:rsidP="00AD2453">
      <w:pPr>
        <w:ind w:left="1440" w:firstLine="360"/>
        <w:rPr>
          <w:rFonts w:cs="Arial"/>
        </w:rPr>
      </w:pPr>
      <w:r w:rsidRPr="008B1F04">
        <w:rPr>
          <w:rFonts w:cs="Arial"/>
        </w:rPr>
        <w:t xml:space="preserve">In the criminal context, the </w:t>
      </w:r>
      <w:r w:rsidR="00DF503C" w:rsidRPr="008B1F04">
        <w:rPr>
          <w:rFonts w:cs="Arial"/>
        </w:rPr>
        <w:t xml:space="preserve">Rule </w:t>
      </w:r>
      <w:r w:rsidRPr="008B1F04">
        <w:rPr>
          <w:rFonts w:cs="Arial"/>
        </w:rPr>
        <w:t xml:space="preserve">801(d)(C) </w:t>
      </w:r>
      <w:r w:rsidR="00E15ED1" w:rsidRPr="008B1F04">
        <w:rPr>
          <w:rFonts w:cs="Arial"/>
        </w:rPr>
        <w:t xml:space="preserve">and (D) </w:t>
      </w:r>
      <w:r w:rsidRPr="008B1F04">
        <w:rPr>
          <w:rFonts w:cs="Arial"/>
        </w:rPr>
        <w:t>exception</w:t>
      </w:r>
      <w:r w:rsidR="00E15ED1" w:rsidRPr="008B1F04">
        <w:rPr>
          <w:rFonts w:cs="Arial"/>
        </w:rPr>
        <w:t>s</w:t>
      </w:r>
      <w:r w:rsidRPr="008B1F04">
        <w:rPr>
          <w:rFonts w:cs="Arial"/>
        </w:rPr>
        <w:t xml:space="preserve"> rarely appl</w:t>
      </w:r>
      <w:r w:rsidR="00224B08" w:rsidRPr="008B1F04">
        <w:rPr>
          <w:rFonts w:cs="Arial"/>
        </w:rPr>
        <w:t>y and are</w:t>
      </w:r>
      <w:r w:rsidRPr="008B1F04">
        <w:rPr>
          <w:rFonts w:cs="Arial"/>
        </w:rPr>
        <w:t xml:space="preserve"> not addressed here. </w:t>
      </w:r>
      <w:r w:rsidR="00E15ED1" w:rsidRPr="008B1F04">
        <w:rPr>
          <w:rFonts w:cs="Arial"/>
          <w:i/>
        </w:rPr>
        <w:t xml:space="preserve">But see </w:t>
      </w:r>
      <w:r w:rsidRPr="008B1F04">
        <w:rPr>
          <w:rFonts w:cs="Arial"/>
        </w:rPr>
        <w:t>State v. McLemore</w:t>
      </w:r>
      <w:r w:rsidRPr="008B1F04">
        <w:rPr>
          <w:rFonts w:cs="Arial"/>
          <w:i/>
        </w:rPr>
        <w:t xml:space="preserve">, </w:t>
      </w:r>
      <w:r w:rsidR="00DF503C" w:rsidRPr="008B1F04">
        <w:rPr>
          <w:rFonts w:cs="Arial"/>
        </w:rPr>
        <w:t>343 N.C. 240, 248</w:t>
      </w:r>
      <w:r w:rsidRPr="008B1F04">
        <w:rPr>
          <w:rFonts w:cs="Arial"/>
        </w:rPr>
        <w:t xml:space="preserve"> (1996) (</w:t>
      </w:r>
      <w:r w:rsidR="00B06C10" w:rsidRPr="008B1F04">
        <w:rPr>
          <w:rFonts w:cs="Arial"/>
        </w:rPr>
        <w:t>holding that a statement fell within</w:t>
      </w:r>
      <w:r w:rsidRPr="008B1F04">
        <w:rPr>
          <w:rFonts w:cs="Arial"/>
        </w:rPr>
        <w:t xml:space="preserve"> th</w:t>
      </w:r>
      <w:r w:rsidR="00E15ED1" w:rsidRPr="008B1F04">
        <w:rPr>
          <w:rFonts w:cs="Arial"/>
        </w:rPr>
        <w:t>e</w:t>
      </w:r>
      <w:r w:rsidR="00B06C10" w:rsidRPr="008B1F04">
        <w:rPr>
          <w:rFonts w:cs="Arial"/>
        </w:rPr>
        <w:t xml:space="preserve"> Rule</w:t>
      </w:r>
      <w:r w:rsidR="00E15ED1" w:rsidRPr="008B1F04">
        <w:rPr>
          <w:rFonts w:cs="Arial"/>
        </w:rPr>
        <w:t xml:space="preserve"> 801(d)(C)</w:t>
      </w:r>
      <w:r w:rsidRPr="008B1F04">
        <w:rPr>
          <w:rFonts w:cs="Arial"/>
        </w:rPr>
        <w:t xml:space="preserve"> exception)</w:t>
      </w:r>
      <w:r w:rsidR="00E15ED1" w:rsidRPr="008B1F04">
        <w:rPr>
          <w:rFonts w:cs="Arial"/>
        </w:rPr>
        <w:t>;</w:t>
      </w:r>
      <w:r w:rsidR="00F83AD6" w:rsidRPr="008B1F04">
        <w:rPr>
          <w:rFonts w:cs="Arial"/>
        </w:rPr>
        <w:t xml:space="preserve"> </w:t>
      </w:r>
      <w:r w:rsidR="00E15ED1" w:rsidRPr="008B1F04">
        <w:rPr>
          <w:rFonts w:cs="Arial"/>
        </w:rPr>
        <w:t>State v. Villeda, 165 N.C. App. 431, 437 (2004) (applying the 801(d)(D) exception and holding that</w:t>
      </w:r>
      <w:r w:rsidR="00B06C10" w:rsidRPr="008B1F04">
        <w:rPr>
          <w:rFonts w:cs="Arial"/>
        </w:rPr>
        <w:t xml:space="preserve"> a</w:t>
      </w:r>
      <w:r w:rsidR="00E15ED1" w:rsidRPr="008B1F04">
        <w:rPr>
          <w:rFonts w:cs="Arial"/>
        </w:rPr>
        <w:t xml:space="preserve"> law enforcement officer’s statement</w:t>
      </w:r>
      <w:r w:rsidR="00B06C10" w:rsidRPr="008B1F04">
        <w:rPr>
          <w:rFonts w:cs="Arial"/>
        </w:rPr>
        <w:t>s</w:t>
      </w:r>
      <w:r w:rsidR="00E15ED1" w:rsidRPr="008B1F04">
        <w:rPr>
          <w:rFonts w:cs="Arial"/>
        </w:rPr>
        <w:t xml:space="preserve"> were ad</w:t>
      </w:r>
      <w:r w:rsidR="00B06C10" w:rsidRPr="008B1F04">
        <w:rPr>
          <w:rFonts w:cs="Arial"/>
        </w:rPr>
        <w:t xml:space="preserve">missible against the State as </w:t>
      </w:r>
      <w:r w:rsidR="00E15ED1" w:rsidRPr="008B1F04">
        <w:rPr>
          <w:rFonts w:cs="Arial"/>
        </w:rPr>
        <w:t>statement</w:t>
      </w:r>
      <w:r w:rsidR="00B06C10" w:rsidRPr="008B1F04">
        <w:rPr>
          <w:rFonts w:cs="Arial"/>
        </w:rPr>
        <w:t>s</w:t>
      </w:r>
      <w:r w:rsidR="00E15ED1" w:rsidRPr="008B1F04">
        <w:rPr>
          <w:rFonts w:cs="Arial"/>
        </w:rPr>
        <w:t xml:space="preserve"> by a party-opponent). </w:t>
      </w:r>
      <w:r w:rsidRPr="008B1F04">
        <w:rPr>
          <w:rFonts w:cs="Arial"/>
        </w:rPr>
        <w:t xml:space="preserve">The </w:t>
      </w:r>
      <w:r w:rsidR="002A418D" w:rsidRPr="008B1F04">
        <w:rPr>
          <w:rFonts w:cs="Arial"/>
        </w:rPr>
        <w:t>Rule 801</w:t>
      </w:r>
      <w:r w:rsidR="00B06C10" w:rsidRPr="008B1F04">
        <w:rPr>
          <w:rFonts w:cs="Arial"/>
        </w:rPr>
        <w:t>(d)(A),(B), and (E)</w:t>
      </w:r>
      <w:r w:rsidRPr="008B1F04">
        <w:rPr>
          <w:rFonts w:cs="Arial"/>
        </w:rPr>
        <w:t xml:space="preserve"> exceptions are discussed in the subsections that follow.</w:t>
      </w:r>
    </w:p>
    <w:p w14:paraId="1E1E9BC5" w14:textId="77777777" w:rsidR="00F379CA" w:rsidRPr="008B1F04" w:rsidRDefault="00E81F25" w:rsidP="00AD2453">
      <w:pPr>
        <w:pStyle w:val="ListParagraph"/>
        <w:numPr>
          <w:ilvl w:val="0"/>
          <w:numId w:val="33"/>
        </w:numPr>
        <w:rPr>
          <w:i/>
        </w:rPr>
      </w:pPr>
      <w:bookmarkStart w:id="13" w:name="_Toc405983784"/>
      <w:r w:rsidRPr="00A2261E">
        <w:rPr>
          <w:rStyle w:val="Heading3Char"/>
        </w:rPr>
        <w:t>Defendant’s Own Statement</w:t>
      </w:r>
      <w:bookmarkEnd w:id="13"/>
      <w:r w:rsidR="00886D7A" w:rsidRPr="008B1F04">
        <w:rPr>
          <w:b/>
        </w:rPr>
        <w:t>.</w:t>
      </w:r>
      <w:r w:rsidR="00886D7A" w:rsidRPr="008B1F04">
        <w:t xml:space="preserve"> </w:t>
      </w:r>
      <w:r w:rsidR="003A024C" w:rsidRPr="008B1F04">
        <w:t>In criminal cases, Rule 801(d)</w:t>
      </w:r>
      <w:r w:rsidR="000D73DB" w:rsidRPr="008B1F04">
        <w:t xml:space="preserve"> </w:t>
      </w:r>
      <w:r w:rsidR="00934D1F" w:rsidRPr="008B1F04">
        <w:t>typically arises with regard to the first category of statements—</w:t>
      </w:r>
      <w:r w:rsidR="000D73DB" w:rsidRPr="008B1F04">
        <w:t xml:space="preserve">when the defendant </w:t>
      </w:r>
      <w:r w:rsidR="00934D1F" w:rsidRPr="008B1F04">
        <w:t>himself or herself made the statement at issue.</w:t>
      </w:r>
      <w:r w:rsidR="000D73DB" w:rsidRPr="008B1F04">
        <w:t xml:space="preserve"> </w:t>
      </w:r>
      <w:r w:rsidR="0083038F" w:rsidRPr="008B1F04">
        <w:rPr>
          <w:i/>
        </w:rPr>
        <w:t>See</w:t>
      </w:r>
      <w:r w:rsidR="0083038F" w:rsidRPr="008B1F04">
        <w:t xml:space="preserve"> State v. Al-</w:t>
      </w:r>
      <w:proofErr w:type="spellStart"/>
      <w:r w:rsidR="0083038F" w:rsidRPr="008B1F04">
        <w:t>Bayyinah</w:t>
      </w:r>
      <w:proofErr w:type="spellEnd"/>
      <w:r w:rsidR="0083038F" w:rsidRPr="008B1F04">
        <w:t>, 359 N.C. 741, 747-48 (2005) (defendant’s statements to an officer after his arrest were admissible as admissions of a party-opponent; the defendant said that he “couldn't understand being released . . . from prison, how they could send him out here with no job and expect him to make a living,” that he did the robbery with an accomplice, and that “he wanted to go back to the correctional facility. He didn't belong out here,” meaning “in society”)</w:t>
      </w:r>
      <w:r w:rsidR="00B2290E" w:rsidRPr="008B1F04">
        <w:t xml:space="preserve">; </w:t>
      </w:r>
      <w:r w:rsidR="0083038F" w:rsidRPr="008B1F04">
        <w:t>State v. Lambert, 341 N.C. 36, 49-50 (1995) (in a murder trial, the defendant’s statement, “honey, why did you make me do it?” made while she was standing over her husband's dead body at a funeral home was admissible under this exception to prove that she murdered her husband)</w:t>
      </w:r>
      <w:r w:rsidR="00496C09" w:rsidRPr="008B1F04">
        <w:t>;</w:t>
      </w:r>
      <w:r w:rsidR="00493EE6" w:rsidRPr="008B1F04">
        <w:t xml:space="preserve"> </w:t>
      </w:r>
      <w:r w:rsidR="0083038F" w:rsidRPr="008B1F04">
        <w:t>State v. Graham, __ N.C. App. __, 733 S.E.2d 100, 106 (2012) (in a child sex case, the defendant’s statement that he touched five to ten other boys was admissible under this exception)</w:t>
      </w:r>
      <w:r w:rsidR="009A30AB" w:rsidRPr="008B1F04">
        <w:t xml:space="preserve">; </w:t>
      </w:r>
      <w:r w:rsidR="0083038F" w:rsidRPr="008B1F04">
        <w:t xml:space="preserve">State v. Smith, 157 N.C. App. 493, 496 (2003) (the defendant’s statement to a </w:t>
      </w:r>
      <w:r w:rsidR="0083038F" w:rsidRPr="008B1F04">
        <w:lastRenderedPageBreak/>
        <w:t>nurse that he was driving the vehicle and had been drinking was admissible under this exception)</w:t>
      </w:r>
      <w:r w:rsidR="009A30AB" w:rsidRPr="008B1F04">
        <w:t xml:space="preserve">; </w:t>
      </w:r>
      <w:r w:rsidR="0083038F" w:rsidRPr="008B1F04">
        <w:t>State v. White, 131 N.C. App. 734, 742-43 (1998) (the defendant’s statements that he sold drugs to “stay afloat” and that “he was going to have to cap someone” were admissible under this exception)</w:t>
      </w:r>
      <w:r w:rsidR="00496C09" w:rsidRPr="008B1F04">
        <w:t>.</w:t>
      </w:r>
      <w:r w:rsidR="009A30AB" w:rsidRPr="008B1F04">
        <w:t xml:space="preserve"> </w:t>
      </w:r>
    </w:p>
    <w:p w14:paraId="174A977B" w14:textId="77777777" w:rsidR="00E81F25" w:rsidRPr="008B1F04" w:rsidRDefault="00E81F25" w:rsidP="00714B26">
      <w:pPr>
        <w:ind w:left="2160" w:firstLine="360"/>
        <w:rPr>
          <w:b/>
        </w:rPr>
      </w:pPr>
      <w:r w:rsidRPr="008B1F04">
        <w:t xml:space="preserve">When the </w:t>
      </w:r>
      <w:r w:rsidR="000D73DB" w:rsidRPr="008B1F04">
        <w:t xml:space="preserve">hearsay </w:t>
      </w:r>
      <w:r w:rsidRPr="008B1F04">
        <w:t xml:space="preserve">statement is a writing, threshold issues may arise about whether </w:t>
      </w:r>
      <w:r w:rsidR="002A418D" w:rsidRPr="008B1F04">
        <w:t>i</w:t>
      </w:r>
      <w:r w:rsidRPr="008B1F04">
        <w:t xml:space="preserve">t can be attributed to the defendant. This is a matter of authentication and may be addressed by the trial court pursuant to Rule 104. See, e.g., </w:t>
      </w:r>
      <w:r w:rsidR="0083038F" w:rsidRPr="008B1F04">
        <w:t>State v. Reed, 153 N.C. App. 462, 466-67 (2002) (business card representing that the defendant's house was open for alcohol, food, and fun was properly authenticated as an admission by defendant)</w:t>
      </w:r>
      <w:r w:rsidRPr="008B1F04">
        <w:t>.</w:t>
      </w:r>
    </w:p>
    <w:p w14:paraId="23A20507" w14:textId="77777777" w:rsidR="00886D7A" w:rsidRPr="008B1F04" w:rsidRDefault="00981C7B" w:rsidP="00DD627F">
      <w:pPr>
        <w:pStyle w:val="ListParagraph"/>
        <w:numPr>
          <w:ilvl w:val="0"/>
          <w:numId w:val="33"/>
        </w:numPr>
      </w:pPr>
      <w:bookmarkStart w:id="14" w:name="_Toc405983785"/>
      <w:r w:rsidRPr="00A2261E">
        <w:rPr>
          <w:rStyle w:val="Heading3Char"/>
        </w:rPr>
        <w:t>Adopted</w:t>
      </w:r>
      <w:r w:rsidR="00D93BE4" w:rsidRPr="00A2261E">
        <w:rPr>
          <w:rStyle w:val="Heading3Char"/>
        </w:rPr>
        <w:t xml:space="preserve"> Admission</w:t>
      </w:r>
      <w:r w:rsidRPr="00A2261E">
        <w:rPr>
          <w:rStyle w:val="Heading3Char"/>
        </w:rPr>
        <w:t>s</w:t>
      </w:r>
      <w:bookmarkEnd w:id="14"/>
      <w:r w:rsidR="00886D7A" w:rsidRPr="008B1F04">
        <w:rPr>
          <w:b/>
        </w:rPr>
        <w:t>.</w:t>
      </w:r>
      <w:r w:rsidR="00886D7A" w:rsidRPr="008B1F04">
        <w:t xml:space="preserve"> </w:t>
      </w:r>
      <w:r w:rsidR="00D93BE4" w:rsidRPr="008B1F04">
        <w:t>Rule 801(d)</w:t>
      </w:r>
      <w:r w:rsidR="00003C1E" w:rsidRPr="008B1F04">
        <w:t>(B)</w:t>
      </w:r>
      <w:r w:rsidR="00D93BE4" w:rsidRPr="008B1F04">
        <w:t xml:space="preserve"> provides that a </w:t>
      </w:r>
      <w:r w:rsidR="00A500A9" w:rsidRPr="008B1F04">
        <w:t xml:space="preserve">hearsay </w:t>
      </w:r>
      <w:r w:rsidR="00D93BE4" w:rsidRPr="008B1F04">
        <w:t>statement is admissible if it i</w:t>
      </w:r>
      <w:r w:rsidR="00A500A9" w:rsidRPr="008B1F04">
        <w:t>s offered against a party and is</w:t>
      </w:r>
      <w:r w:rsidR="00D93BE4" w:rsidRPr="008B1F04">
        <w:t xml:space="preserve"> a statement that he or she has manifested an adoption of or a belief in its truth. </w:t>
      </w:r>
      <w:r w:rsidR="00003C1E" w:rsidRPr="008B1F04">
        <w:t xml:space="preserve">This is sometimes referred to </w:t>
      </w:r>
      <w:r w:rsidR="00C23F0F" w:rsidRPr="008B1F04">
        <w:t xml:space="preserve">as the </w:t>
      </w:r>
      <w:r w:rsidR="00003C1E" w:rsidRPr="008B1F04">
        <w:t xml:space="preserve">“adoptive admission” </w:t>
      </w:r>
      <w:r w:rsidR="00C23F0F" w:rsidRPr="008B1F04">
        <w:t>rule.</w:t>
      </w:r>
      <w:r w:rsidR="00003C1E" w:rsidRPr="008B1F04">
        <w:t xml:space="preserve"> As a general </w:t>
      </w:r>
      <w:r w:rsidR="00C64CEB" w:rsidRPr="008B1F04">
        <w:t>matter</w:t>
      </w:r>
      <w:r w:rsidR="00003C1E" w:rsidRPr="008B1F04">
        <w:t>, adop</w:t>
      </w:r>
      <w:r w:rsidR="00A500A9" w:rsidRPr="008B1F04">
        <w:t>tive admissions fall into</w:t>
      </w:r>
      <w:r w:rsidR="00003C1E" w:rsidRPr="008B1F04">
        <w:t xml:space="preserve"> two categories: (1) those adopted through an affirmative act and (2) those inferred from silence or a failure to respond in circumstances that call for a response. </w:t>
      </w:r>
      <w:r w:rsidR="0083038F" w:rsidRPr="008B1F04">
        <w:t>State v. Weaver, 160 N.C. App. 61, 65 (2003) (the defendant’s conduct constituted an adoptive admission of his accomplice’s offer to bribe an officer)</w:t>
      </w:r>
      <w:r w:rsidR="00003C1E" w:rsidRPr="008B1F04">
        <w:t>. However, an adoptive admission “</w:t>
      </w:r>
      <w:r w:rsidR="00D93BE4" w:rsidRPr="008B1F04">
        <w:t xml:space="preserve">may be manifested in any appropriate manner.” </w:t>
      </w:r>
      <w:r w:rsidR="0083038F" w:rsidRPr="008B1F04">
        <w:t xml:space="preserve">State v. </w:t>
      </w:r>
      <w:proofErr w:type="spellStart"/>
      <w:r w:rsidR="0083038F" w:rsidRPr="008B1F04">
        <w:t>Marecek</w:t>
      </w:r>
      <w:proofErr w:type="spellEnd"/>
      <w:r w:rsidR="0083038F" w:rsidRPr="008B1F04">
        <w:t>, 152 N.C. App. 479, 502</w:t>
      </w:r>
      <w:r w:rsidR="00322FD9" w:rsidRPr="008B1F04">
        <w:t>-04</w:t>
      </w:r>
      <w:r w:rsidR="0083038F" w:rsidRPr="008B1F04">
        <w:t xml:space="preserve"> (2002) (quotation omitted) (the defendant’s failure to deny that he killed the victim in the face of another’s statements to that effect and his comments that the evidence could not be found because he burned the body and that he was too smart to be caught constituted an implied admission)</w:t>
      </w:r>
      <w:r w:rsidR="00A500A9" w:rsidRPr="008B1F04">
        <w:t>.</w:t>
      </w:r>
      <w:r w:rsidR="00493EE6" w:rsidRPr="008B1F04">
        <w:t xml:space="preserve"> </w:t>
      </w:r>
    </w:p>
    <w:p w14:paraId="19A7B1FD" w14:textId="77777777" w:rsidR="00934D1F" w:rsidRPr="008B1F04" w:rsidRDefault="00003C1E" w:rsidP="00714B26">
      <w:pPr>
        <w:ind w:left="2160" w:firstLine="360"/>
      </w:pPr>
      <w:r w:rsidRPr="008B1F04">
        <w:t>An example of the first category of adoption—through affirmative act—</w:t>
      </w:r>
      <w:r w:rsidR="00C23F0F" w:rsidRPr="008B1F04">
        <w:t xml:space="preserve">occurred in </w:t>
      </w:r>
      <w:r w:rsidR="0083038F" w:rsidRPr="008B1F04">
        <w:t>State v. Thompson, 332 N.C. 204 (1992)</w:t>
      </w:r>
      <w:r w:rsidR="00C23F0F" w:rsidRPr="008B1F04">
        <w:t xml:space="preserve">. In that murder case, Sanchez, </w:t>
      </w:r>
      <w:r w:rsidR="00B173C7" w:rsidRPr="008B1F04">
        <w:t xml:space="preserve">a hit man hired by the defendant called the defendant </w:t>
      </w:r>
      <w:r w:rsidR="00C23F0F" w:rsidRPr="008B1F04">
        <w:t xml:space="preserve">asking </w:t>
      </w:r>
      <w:r w:rsidR="00B173C7" w:rsidRPr="008B1F04">
        <w:t>f</w:t>
      </w:r>
      <w:r w:rsidR="00C23F0F" w:rsidRPr="008B1F04">
        <w:t>or his money. Sanchez stated, in part, “You told me, me go to North Carolina kill a Raymond, I kill him, now I need . . . my money for me leave.” Sanchez continued, asking the defendant whether he had his money “for killing Raymond.” The defendant responded: “Yeah.” The North Carolina Supreme Court found that the convers</w:t>
      </w:r>
      <w:r w:rsidR="00B173C7" w:rsidRPr="008B1F04">
        <w:t>ation constituted an implied adm</w:t>
      </w:r>
      <w:r w:rsidR="00C23F0F" w:rsidRPr="008B1F04">
        <w:t>ission by the defendant.</w:t>
      </w:r>
      <w:r w:rsidR="00951DCE" w:rsidRPr="008B1F04">
        <w:t xml:space="preserve"> </w:t>
      </w:r>
      <w:r w:rsidR="0083038F" w:rsidRPr="008B1F04">
        <w:rPr>
          <w:i/>
        </w:rPr>
        <w:t>Id.</w:t>
      </w:r>
      <w:r w:rsidR="0083038F" w:rsidRPr="008B1F04">
        <w:t xml:space="preserve"> at 217-18</w:t>
      </w:r>
      <w:r w:rsidR="00676B14" w:rsidRPr="008B1F04">
        <w:t xml:space="preserve">; </w:t>
      </w:r>
      <w:r w:rsidR="00676B14" w:rsidRPr="008B1F04">
        <w:rPr>
          <w:i/>
        </w:rPr>
        <w:t>s</w:t>
      </w:r>
      <w:r w:rsidR="00C23F0F" w:rsidRPr="008B1F04">
        <w:rPr>
          <w:i/>
        </w:rPr>
        <w:t>ee also</w:t>
      </w:r>
      <w:r w:rsidR="00C23F0F" w:rsidRPr="008B1F04">
        <w:t xml:space="preserve"> </w:t>
      </w:r>
      <w:r w:rsidR="0083038F" w:rsidRPr="008B1F04">
        <w:t>State v. Hunt, 325 N.C. 187, 193-94 (1989) (defendant’s affirmative conduct of indicating to an accomplice, who was talking about the crime, that he should “hush” and “shut up” constituted an adoptive admission)</w:t>
      </w:r>
      <w:r w:rsidR="004F0621" w:rsidRPr="008B1F04">
        <w:t>.</w:t>
      </w:r>
    </w:p>
    <w:p w14:paraId="51640596" w14:textId="77777777" w:rsidR="00C23F0F" w:rsidRPr="008B1F04" w:rsidRDefault="00D93BE4" w:rsidP="00714B26">
      <w:pPr>
        <w:ind w:left="2160" w:firstLine="360"/>
      </w:pPr>
      <w:r w:rsidRPr="008B1F04">
        <w:t>Sometimes a</w:t>
      </w:r>
      <w:r w:rsidR="00934D1F" w:rsidRPr="008B1F04">
        <w:t xml:space="preserve"> </w:t>
      </w:r>
      <w:r w:rsidRPr="008B1F04">
        <w:t>party will argue that a person</w:t>
      </w:r>
      <w:r w:rsidR="0003684F" w:rsidRPr="008B1F04">
        <w:t>’s</w:t>
      </w:r>
      <w:r w:rsidRPr="008B1F04">
        <w:t xml:space="preserve"> silence constitutes an implied admission. </w:t>
      </w:r>
      <w:r w:rsidR="00951DCE" w:rsidRPr="008B1F04">
        <w:t xml:space="preserve">The cases hold that </w:t>
      </w:r>
    </w:p>
    <w:p w14:paraId="05371AB2" w14:textId="77777777" w:rsidR="002220CD" w:rsidRPr="008B1F04" w:rsidRDefault="002220CD" w:rsidP="00DD627F">
      <w:pPr>
        <w:ind w:left="1080"/>
      </w:pPr>
    </w:p>
    <w:p w14:paraId="2E07D1EB" w14:textId="77777777" w:rsidR="00C23F0F" w:rsidRPr="008B1F04" w:rsidRDefault="00C23F0F" w:rsidP="00DD627F">
      <w:pPr>
        <w:ind w:left="2880"/>
      </w:pPr>
      <w:r w:rsidRPr="008B1F04">
        <w:t>if the statement is made in a person's presence by a person having firsthand knowledge under such circumstances that a denial would be naturally expected if the statement were untrue and it is shown that he was in a position to hear and understand what was said and had the opportunity to speak, then his silence or failure to deny renders the statement admissible against him as an implied admission</w:t>
      </w:r>
      <w:r w:rsidR="009D2F56" w:rsidRPr="008B1F04">
        <w:t>)</w:t>
      </w:r>
      <w:r w:rsidRPr="008B1F04">
        <w:t>.</w:t>
      </w:r>
    </w:p>
    <w:p w14:paraId="7D0CE122" w14:textId="77777777" w:rsidR="00C23F0F" w:rsidRPr="008B1F04" w:rsidRDefault="00C23F0F" w:rsidP="00DD627F">
      <w:pPr>
        <w:ind w:left="1080"/>
      </w:pPr>
    </w:p>
    <w:p w14:paraId="7225E177" w14:textId="77777777" w:rsidR="00D93BE4" w:rsidRPr="008B1F04" w:rsidRDefault="0083038F" w:rsidP="00DD627F">
      <w:pPr>
        <w:ind w:left="2160"/>
      </w:pPr>
      <w:r w:rsidRPr="008B1F04">
        <w:lastRenderedPageBreak/>
        <w:t>State v. Williams, 333 N.C. 719, 725-26 (1993) (statement properly admitted as an implied admission where the defendant was silent in the face of his accomplice’s statements that “both of them shot both men” and “one shot one and one shot the other”) (quotation omitted)</w:t>
      </w:r>
      <w:r w:rsidR="00D93BE4" w:rsidRPr="008B1F04">
        <w:t>.</w:t>
      </w:r>
    </w:p>
    <w:p w14:paraId="324785D9" w14:textId="77777777" w:rsidR="00E81F25" w:rsidRPr="008B1F04" w:rsidRDefault="00E81F25" w:rsidP="00C635C1">
      <w:pPr>
        <w:pStyle w:val="ListParagraph"/>
        <w:numPr>
          <w:ilvl w:val="0"/>
          <w:numId w:val="33"/>
        </w:numPr>
      </w:pPr>
      <w:bookmarkStart w:id="15" w:name="_Toc405983786"/>
      <w:r w:rsidRPr="00A2261E">
        <w:rPr>
          <w:rStyle w:val="Heading3Char"/>
        </w:rPr>
        <w:t>Co-Conspirator’s Statement</w:t>
      </w:r>
      <w:bookmarkEnd w:id="15"/>
      <w:r w:rsidR="00133A34" w:rsidRPr="008B1F04">
        <w:t xml:space="preserve">. </w:t>
      </w:r>
      <w:r w:rsidR="000D73DB" w:rsidRPr="008B1F04">
        <w:t>Rule 801(d)</w:t>
      </w:r>
      <w:r w:rsidR="00E15ED1" w:rsidRPr="008B1F04">
        <w:t>(E)</w:t>
      </w:r>
      <w:r w:rsidR="000D73DB" w:rsidRPr="008B1F04">
        <w:t xml:space="preserve"> provides that a statement is admissible as an exception to the hearsay rule if it is</w:t>
      </w:r>
      <w:r w:rsidR="00676B14" w:rsidRPr="008B1F04">
        <w:t xml:space="preserve"> offered against a party and </w:t>
      </w:r>
      <w:r w:rsidR="000D73DB" w:rsidRPr="008B1F04">
        <w:t xml:space="preserve">is </w:t>
      </w:r>
      <w:r w:rsidR="005A6716" w:rsidRPr="008B1F04">
        <w:t>“</w:t>
      </w:r>
      <w:r w:rsidR="000D73DB" w:rsidRPr="008B1F04">
        <w:t>a statement by a coconspirator of such party during the course and in furtherance of the conspiracy.</w:t>
      </w:r>
      <w:r w:rsidR="005A6716" w:rsidRPr="008B1F04">
        <w:t>”</w:t>
      </w:r>
      <w:r w:rsidR="00493EE6" w:rsidRPr="008B1F04">
        <w:t xml:space="preserve"> </w:t>
      </w:r>
      <w:r w:rsidRPr="008B1F04">
        <w:t xml:space="preserve">In order for the statements or acts of a co-conspirator to be admissible, </w:t>
      </w:r>
      <w:r w:rsidR="005A6716" w:rsidRPr="008B1F04">
        <w:t>the proponent must make a prima facie showing that</w:t>
      </w:r>
      <w:r w:rsidRPr="008B1F04">
        <w:t xml:space="preserve"> </w:t>
      </w:r>
    </w:p>
    <w:p w14:paraId="7CE693CB" w14:textId="77777777" w:rsidR="00786246" w:rsidRPr="008B1F04" w:rsidRDefault="00786246" w:rsidP="00786246"/>
    <w:p w14:paraId="34C0DB44" w14:textId="77777777" w:rsidR="00E81F25" w:rsidRPr="008B1F04" w:rsidRDefault="005A6716" w:rsidP="00F83AD6">
      <w:pPr>
        <w:pStyle w:val="ListParagraph"/>
        <w:numPr>
          <w:ilvl w:val="0"/>
          <w:numId w:val="4"/>
        </w:numPr>
        <w:rPr>
          <w:rFonts w:cs="Arial"/>
        </w:rPr>
      </w:pPr>
      <w:r w:rsidRPr="008B1F04">
        <w:rPr>
          <w:rFonts w:cs="Arial"/>
        </w:rPr>
        <w:t>a conspiracy existed,</w:t>
      </w:r>
      <w:r w:rsidR="00E81F25" w:rsidRPr="008B1F04">
        <w:rPr>
          <w:rFonts w:cs="Arial"/>
        </w:rPr>
        <w:t xml:space="preserve"> </w:t>
      </w:r>
    </w:p>
    <w:p w14:paraId="65A897BE" w14:textId="77777777" w:rsidR="00E81F25" w:rsidRPr="008B1F04" w:rsidRDefault="00E81F25" w:rsidP="00F83AD6">
      <w:pPr>
        <w:pStyle w:val="ListParagraph"/>
        <w:numPr>
          <w:ilvl w:val="0"/>
          <w:numId w:val="4"/>
        </w:numPr>
        <w:rPr>
          <w:rFonts w:cs="Arial"/>
        </w:rPr>
      </w:pPr>
      <w:r w:rsidRPr="008B1F04">
        <w:rPr>
          <w:rFonts w:cs="Arial"/>
        </w:rPr>
        <w:t>the acts or declara</w:t>
      </w:r>
      <w:r w:rsidR="005A6716" w:rsidRPr="008B1F04">
        <w:rPr>
          <w:rFonts w:cs="Arial"/>
        </w:rPr>
        <w:t xml:space="preserve">tions were made by a party </w:t>
      </w:r>
      <w:r w:rsidR="002220CD" w:rsidRPr="008B1F04">
        <w:rPr>
          <w:rFonts w:cs="Arial"/>
        </w:rPr>
        <w:t xml:space="preserve">to </w:t>
      </w:r>
      <w:r w:rsidR="005A6716" w:rsidRPr="008B1F04">
        <w:rPr>
          <w:rFonts w:cs="Arial"/>
        </w:rPr>
        <w:t>the conspiracy</w:t>
      </w:r>
      <w:r w:rsidRPr="008B1F04">
        <w:rPr>
          <w:rFonts w:cs="Arial"/>
        </w:rPr>
        <w:t xml:space="preserve"> and in pursuance of its objectives</w:t>
      </w:r>
      <w:r w:rsidR="002A418D" w:rsidRPr="008B1F04">
        <w:rPr>
          <w:rFonts w:cs="Arial"/>
        </w:rPr>
        <w:t>,</w:t>
      </w:r>
      <w:r w:rsidRPr="008B1F04">
        <w:rPr>
          <w:rFonts w:cs="Arial"/>
        </w:rPr>
        <w:t xml:space="preserve"> </w:t>
      </w:r>
      <w:r w:rsidR="000B5816" w:rsidRPr="008B1F04">
        <w:rPr>
          <w:rFonts w:cs="Arial"/>
        </w:rPr>
        <w:t xml:space="preserve">and </w:t>
      </w:r>
    </w:p>
    <w:p w14:paraId="0FD23E46" w14:textId="77777777" w:rsidR="00E81F25" w:rsidRPr="008B1F04" w:rsidRDefault="005A6716" w:rsidP="00F83AD6">
      <w:pPr>
        <w:pStyle w:val="ListParagraph"/>
        <w:numPr>
          <w:ilvl w:val="0"/>
          <w:numId w:val="4"/>
        </w:numPr>
        <w:rPr>
          <w:rFonts w:cs="Arial"/>
        </w:rPr>
      </w:pPr>
      <w:r w:rsidRPr="008B1F04">
        <w:rPr>
          <w:rFonts w:cs="Arial"/>
        </w:rPr>
        <w:t xml:space="preserve">the statement was made </w:t>
      </w:r>
      <w:r w:rsidR="00E81F25" w:rsidRPr="008B1F04">
        <w:rPr>
          <w:rFonts w:cs="Arial"/>
        </w:rPr>
        <w:t xml:space="preserve">while the conspiracy was active, that is, after it was formed and before it ended. </w:t>
      </w:r>
    </w:p>
    <w:p w14:paraId="0FABCCA3" w14:textId="77777777" w:rsidR="00786246" w:rsidRPr="008B1F04" w:rsidRDefault="00786246" w:rsidP="00786246">
      <w:pPr>
        <w:pStyle w:val="ListParagraph"/>
        <w:ind w:left="2880"/>
        <w:rPr>
          <w:rFonts w:cs="Arial"/>
        </w:rPr>
      </w:pPr>
    </w:p>
    <w:p w14:paraId="4CD64E73" w14:textId="77777777" w:rsidR="000B5816" w:rsidRPr="008B1F04" w:rsidRDefault="00AD6426" w:rsidP="00D2521F">
      <w:pPr>
        <w:ind w:left="2160"/>
        <w:rPr>
          <w:rFonts w:cs="Arial"/>
        </w:rPr>
      </w:pPr>
      <w:r w:rsidRPr="008B1F04">
        <w:rPr>
          <w:rFonts w:cs="Arial"/>
          <w:i/>
        </w:rPr>
        <w:t>See,</w:t>
      </w:r>
      <w:r w:rsidR="008B1F04">
        <w:rPr>
          <w:rFonts w:cs="Arial"/>
          <w:i/>
        </w:rPr>
        <w:t xml:space="preserve"> </w:t>
      </w:r>
      <w:r w:rsidRPr="008B1F04">
        <w:rPr>
          <w:rFonts w:cs="Arial"/>
          <w:i/>
        </w:rPr>
        <w:t>e.g</w:t>
      </w:r>
      <w:r w:rsidRPr="008B1F04">
        <w:rPr>
          <w:rFonts w:cs="Arial"/>
        </w:rPr>
        <w:t xml:space="preserve">., </w:t>
      </w:r>
      <w:r w:rsidR="0083038F" w:rsidRPr="008B1F04">
        <w:rPr>
          <w:rFonts w:cs="Arial"/>
        </w:rPr>
        <w:t xml:space="preserve">State v. Williams, 345 N.C. 137, 141 (1996) (State made the required showing); State v. </w:t>
      </w:r>
      <w:proofErr w:type="spellStart"/>
      <w:r w:rsidR="0083038F" w:rsidRPr="008B1F04">
        <w:rPr>
          <w:rFonts w:cs="Arial"/>
        </w:rPr>
        <w:t>Bonnett</w:t>
      </w:r>
      <w:proofErr w:type="spellEnd"/>
      <w:r w:rsidR="0083038F" w:rsidRPr="008B1F04">
        <w:rPr>
          <w:rFonts w:cs="Arial"/>
        </w:rPr>
        <w:t xml:space="preserve">, 348 N.C. 417, 438 (1998) (same); State v. </w:t>
      </w:r>
      <w:proofErr w:type="spellStart"/>
      <w:r w:rsidR="0083038F" w:rsidRPr="008B1F04">
        <w:rPr>
          <w:rFonts w:cs="Arial"/>
        </w:rPr>
        <w:t>Mahaley</w:t>
      </w:r>
      <w:proofErr w:type="spellEnd"/>
      <w:r w:rsidR="0083038F" w:rsidRPr="008B1F04">
        <w:rPr>
          <w:rFonts w:cs="Arial"/>
        </w:rPr>
        <w:t>, 332 N.C. 583, 593-94 (1992) (same)</w:t>
      </w:r>
      <w:r w:rsidRPr="008B1F04">
        <w:rPr>
          <w:rFonts w:cs="Arial"/>
        </w:rPr>
        <w:t>.</w:t>
      </w:r>
      <w:r w:rsidR="00981C7B" w:rsidRPr="008B1F04">
        <w:rPr>
          <w:rFonts w:cs="Arial"/>
        </w:rPr>
        <w:t xml:space="preserve"> </w:t>
      </w:r>
    </w:p>
    <w:p w14:paraId="548C6552" w14:textId="77777777" w:rsidR="00E15ED1" w:rsidRPr="008B1F04" w:rsidRDefault="000B5816" w:rsidP="00D2521F">
      <w:pPr>
        <w:ind w:left="2160" w:firstLine="360"/>
        <w:rPr>
          <w:rFonts w:cs="Arial"/>
        </w:rPr>
      </w:pPr>
      <w:r w:rsidRPr="008B1F04">
        <w:rPr>
          <w:rFonts w:cs="Arial"/>
        </w:rPr>
        <w:t xml:space="preserve">In order to prove a conspiracy, the State must show that the defendant entered into an agreement with at least one other person to commit an unlawful act with intent that the agreement be carried out. </w:t>
      </w:r>
      <w:r w:rsidR="0083038F" w:rsidRPr="008B1F04">
        <w:rPr>
          <w:rFonts w:cs="Arial"/>
          <w:smallCaps/>
        </w:rPr>
        <w:t>Jessica Smith, North Carolina Crimes: A Guidebook on the Elements of Crime 72</w:t>
      </w:r>
      <w:r w:rsidR="0083038F" w:rsidRPr="008B1F04">
        <w:rPr>
          <w:rFonts w:cs="Arial"/>
        </w:rPr>
        <w:t xml:space="preserve"> (7</w:t>
      </w:r>
      <w:r w:rsidR="0083038F" w:rsidRPr="008B1F04">
        <w:rPr>
          <w:rFonts w:cs="Arial"/>
          <w:vertAlign w:val="superscript"/>
        </w:rPr>
        <w:t>th</w:t>
      </w:r>
      <w:r w:rsidR="0083038F" w:rsidRPr="008B1F04">
        <w:rPr>
          <w:rFonts w:cs="Arial"/>
        </w:rPr>
        <w:t xml:space="preserve"> ed. 2012)</w:t>
      </w:r>
      <w:r w:rsidRPr="008B1F04">
        <w:rPr>
          <w:rFonts w:cs="Arial"/>
        </w:rPr>
        <w:t xml:space="preserve">. The State must </w:t>
      </w:r>
      <w:r w:rsidR="005B5859" w:rsidRPr="008B1F04">
        <w:rPr>
          <w:rFonts w:cs="Arial"/>
        </w:rPr>
        <w:t xml:space="preserve">establish a prima facie case that a </w:t>
      </w:r>
      <w:r w:rsidRPr="008B1F04">
        <w:rPr>
          <w:rFonts w:cs="Arial"/>
        </w:rPr>
        <w:t>conspiracy</w:t>
      </w:r>
      <w:r w:rsidR="0077196B" w:rsidRPr="008B1F04">
        <w:rPr>
          <w:rFonts w:cs="Arial"/>
        </w:rPr>
        <w:t xml:space="preserve"> existed</w:t>
      </w:r>
      <w:r w:rsidRPr="008B1F04">
        <w:rPr>
          <w:rFonts w:cs="Arial"/>
        </w:rPr>
        <w:t xml:space="preserve"> </w:t>
      </w:r>
      <w:r w:rsidR="00981C7B" w:rsidRPr="008B1F04">
        <w:rPr>
          <w:rFonts w:cs="Arial"/>
        </w:rPr>
        <w:t xml:space="preserve">independently of the statement sought to be admitted. </w:t>
      </w:r>
      <w:r w:rsidR="002220CD" w:rsidRPr="008B1F04">
        <w:rPr>
          <w:rFonts w:cs="Arial"/>
          <w:i/>
        </w:rPr>
        <w:t xml:space="preserve">See, e.g., </w:t>
      </w:r>
      <w:r w:rsidR="0083038F" w:rsidRPr="008B1F04">
        <w:rPr>
          <w:rFonts w:cs="Arial"/>
        </w:rPr>
        <w:t>State v. Valentine, 357 N.C. 512, 521-23 (2003) (State made showing)</w:t>
      </w:r>
      <w:r w:rsidR="002220CD" w:rsidRPr="008B1F04">
        <w:rPr>
          <w:rFonts w:cs="Arial"/>
        </w:rPr>
        <w:t>;</w:t>
      </w:r>
      <w:r w:rsidR="0077196B" w:rsidRPr="008B1F04">
        <w:rPr>
          <w:rFonts w:cs="Arial"/>
        </w:rPr>
        <w:t xml:space="preserve"> </w:t>
      </w:r>
      <w:r w:rsidR="0083038F" w:rsidRPr="008B1F04">
        <w:rPr>
          <w:rFonts w:cs="Arial"/>
          <w:i/>
        </w:rPr>
        <w:t xml:space="preserve">Williams, </w:t>
      </w:r>
      <w:r w:rsidR="0083038F" w:rsidRPr="008B1F04">
        <w:rPr>
          <w:rFonts w:cs="Arial"/>
        </w:rPr>
        <w:t>345 N.C.at 141</w:t>
      </w:r>
      <w:r w:rsidR="00981C7B" w:rsidRPr="008B1F04">
        <w:rPr>
          <w:rFonts w:cs="Arial"/>
        </w:rPr>
        <w:t xml:space="preserve">; </w:t>
      </w:r>
      <w:r w:rsidR="0083038F" w:rsidRPr="008B1F04">
        <w:rPr>
          <w:rFonts w:cs="Arial"/>
        </w:rPr>
        <w:t>State v. Hagans, 177 N.C. App.17, 27 (2006)</w:t>
      </w:r>
      <w:r w:rsidR="00091C63" w:rsidRPr="008B1F04">
        <w:rPr>
          <w:rFonts w:cs="Arial"/>
        </w:rPr>
        <w:t xml:space="preserve">. </w:t>
      </w:r>
      <w:r w:rsidRPr="008B1F04">
        <w:rPr>
          <w:rFonts w:cs="Arial"/>
        </w:rPr>
        <w:t xml:space="preserve">However, </w:t>
      </w:r>
      <w:r w:rsidR="00981C7B" w:rsidRPr="008B1F04">
        <w:rPr>
          <w:rFonts w:cs="Arial"/>
        </w:rPr>
        <w:t xml:space="preserve">in establishing the prima facie case, the State is granted wide latitude and the evidence is viewed in a light most favorable to the State. </w:t>
      </w:r>
      <w:r w:rsidR="0077196B" w:rsidRPr="008B1F04">
        <w:rPr>
          <w:rFonts w:cs="Arial"/>
          <w:i/>
        </w:rPr>
        <w:t>See, e.g</w:t>
      </w:r>
      <w:r w:rsidR="0077196B" w:rsidRPr="008B1F04">
        <w:rPr>
          <w:rFonts w:cs="Arial"/>
        </w:rPr>
        <w:t xml:space="preserve">., </w:t>
      </w:r>
      <w:r w:rsidR="0083038F" w:rsidRPr="008B1F04">
        <w:rPr>
          <w:rFonts w:cs="Arial"/>
          <w:i/>
        </w:rPr>
        <w:t>Valentine</w:t>
      </w:r>
      <w:r w:rsidR="0083038F" w:rsidRPr="008B1F04">
        <w:rPr>
          <w:rFonts w:cs="Arial"/>
        </w:rPr>
        <w:t>, 357 N.C. at 521</w:t>
      </w:r>
      <w:r w:rsidR="00981C7B" w:rsidRPr="008B1F04">
        <w:rPr>
          <w:rFonts w:cs="Arial"/>
        </w:rPr>
        <w:t xml:space="preserve">; </w:t>
      </w:r>
      <w:r w:rsidR="0083038F" w:rsidRPr="008B1F04">
        <w:rPr>
          <w:rFonts w:cs="Arial"/>
          <w:i/>
        </w:rPr>
        <w:t>Williams</w:t>
      </w:r>
      <w:r w:rsidR="0083038F" w:rsidRPr="008B1F04">
        <w:rPr>
          <w:rFonts w:cs="Arial"/>
        </w:rPr>
        <w:t>, 345 N.C. at 142</w:t>
      </w:r>
      <w:r w:rsidR="00091C63" w:rsidRPr="008B1F04">
        <w:rPr>
          <w:rFonts w:cs="Arial"/>
        </w:rPr>
        <w:t>.</w:t>
      </w:r>
    </w:p>
    <w:p w14:paraId="2917E8EF" w14:textId="77777777" w:rsidR="00E15ED1" w:rsidRPr="008B1F04" w:rsidRDefault="00E15ED1" w:rsidP="00D2521F">
      <w:pPr>
        <w:ind w:left="2160" w:firstLine="360"/>
        <w:rPr>
          <w:rFonts w:cs="Arial"/>
        </w:rPr>
      </w:pPr>
      <w:r w:rsidRPr="008B1F04">
        <w:rPr>
          <w:rFonts w:cs="Arial"/>
        </w:rPr>
        <w:t>The statement must be made in furtherance of the conspiracy, as opposed to</w:t>
      </w:r>
      <w:r w:rsidR="0027604D" w:rsidRPr="008B1F04">
        <w:rPr>
          <w:rFonts w:cs="Arial"/>
        </w:rPr>
        <w:t>,</w:t>
      </w:r>
      <w:r w:rsidRPr="008B1F04">
        <w:rPr>
          <w:rFonts w:cs="Arial"/>
        </w:rPr>
        <w:t xml:space="preserve"> for example, a statement that describes an act previously done. 2 </w:t>
      </w:r>
      <w:r w:rsidR="0027604D" w:rsidRPr="008B1F04">
        <w:rPr>
          <w:rFonts w:cs="Arial"/>
          <w:smallCaps/>
        </w:rPr>
        <w:t>Kenneth</w:t>
      </w:r>
      <w:r w:rsidR="00A10645" w:rsidRPr="008B1F04">
        <w:rPr>
          <w:rFonts w:cs="Arial"/>
          <w:smallCaps/>
        </w:rPr>
        <w:t xml:space="preserve"> S.</w:t>
      </w:r>
      <w:r w:rsidR="0027604D" w:rsidRPr="008B1F04">
        <w:rPr>
          <w:rFonts w:cs="Arial"/>
          <w:smallCaps/>
        </w:rPr>
        <w:t xml:space="preserve"> Bro</w:t>
      </w:r>
      <w:r w:rsidR="00A10645" w:rsidRPr="008B1F04">
        <w:rPr>
          <w:rFonts w:cs="Arial"/>
          <w:smallCaps/>
        </w:rPr>
        <w:t>u</w:t>
      </w:r>
      <w:r w:rsidR="0027604D" w:rsidRPr="008B1F04">
        <w:rPr>
          <w:rFonts w:cs="Arial"/>
          <w:smallCaps/>
        </w:rPr>
        <w:t>n, Brandis &amp; Bro</w:t>
      </w:r>
      <w:r w:rsidR="00A10645" w:rsidRPr="008B1F04">
        <w:rPr>
          <w:rFonts w:cs="Arial"/>
          <w:smallCaps/>
        </w:rPr>
        <w:t>u</w:t>
      </w:r>
      <w:r w:rsidR="0027604D" w:rsidRPr="008B1F04">
        <w:rPr>
          <w:rFonts w:cs="Arial"/>
          <w:smallCaps/>
        </w:rPr>
        <w:t xml:space="preserve">n on North Carolina Evidence 808 </w:t>
      </w:r>
      <w:r w:rsidR="0027604D" w:rsidRPr="008B1F04">
        <w:rPr>
          <w:rFonts w:cs="Arial"/>
        </w:rPr>
        <w:t>(7</w:t>
      </w:r>
      <w:r w:rsidR="0027604D" w:rsidRPr="008B1F04">
        <w:rPr>
          <w:rFonts w:cs="Arial"/>
          <w:vertAlign w:val="superscript"/>
        </w:rPr>
        <w:t>th</w:t>
      </w:r>
      <w:r w:rsidR="0027604D" w:rsidRPr="008B1F04">
        <w:rPr>
          <w:rFonts w:cs="Arial"/>
        </w:rPr>
        <w:t xml:space="preserve"> ed.</w:t>
      </w:r>
      <w:r w:rsidR="002A418D" w:rsidRPr="008B1F04">
        <w:rPr>
          <w:rFonts w:cs="Arial"/>
        </w:rPr>
        <w:t xml:space="preserve"> </w:t>
      </w:r>
      <w:r w:rsidR="0027604D" w:rsidRPr="008B1F04">
        <w:rPr>
          <w:rFonts w:cs="Arial"/>
        </w:rPr>
        <w:t>2011)</w:t>
      </w:r>
      <w:r w:rsidR="00D066F0" w:rsidRPr="008B1F04">
        <w:rPr>
          <w:rFonts w:cs="Arial"/>
        </w:rPr>
        <w:t xml:space="preserve"> [hereinafter </w:t>
      </w:r>
      <w:r w:rsidR="00D066F0" w:rsidRPr="008B1F04">
        <w:rPr>
          <w:rFonts w:cs="Arial"/>
          <w:smallCaps/>
        </w:rPr>
        <w:t>Brandis &amp; Broun]</w:t>
      </w:r>
      <w:r w:rsidR="002A418D" w:rsidRPr="008B1F04">
        <w:rPr>
          <w:rFonts w:cs="Arial"/>
        </w:rPr>
        <w:t>.</w:t>
      </w:r>
    </w:p>
    <w:p w14:paraId="154FF31E" w14:textId="77777777" w:rsidR="00B173C7" w:rsidRPr="008B1F04" w:rsidRDefault="00E81F25" w:rsidP="00D2521F">
      <w:pPr>
        <w:ind w:left="2160" w:firstLine="360"/>
        <w:rPr>
          <w:rFonts w:cs="Arial"/>
        </w:rPr>
      </w:pPr>
      <w:r w:rsidRPr="008B1F04">
        <w:rPr>
          <w:rFonts w:cs="Arial"/>
        </w:rPr>
        <w:t xml:space="preserve">Statements made prior to or subsequent to the conspiracy are not admissible under this exception. </w:t>
      </w:r>
      <w:r w:rsidR="004C4106" w:rsidRPr="008B1F04">
        <w:rPr>
          <w:rFonts w:cs="Arial"/>
          <w:i/>
        </w:rPr>
        <w:t>Compare</w:t>
      </w:r>
      <w:r w:rsidR="004C4106" w:rsidRPr="008B1F04">
        <w:rPr>
          <w:rFonts w:cs="Arial"/>
        </w:rPr>
        <w:t xml:space="preserve"> </w:t>
      </w:r>
      <w:r w:rsidR="0083038F" w:rsidRPr="008B1F04">
        <w:rPr>
          <w:rFonts w:cs="Arial"/>
        </w:rPr>
        <w:t>State v. Stephens, 175 N.C. App. 328, 334 (2006) (statements made prior to the conspiracy were inadmissible)</w:t>
      </w:r>
      <w:r w:rsidR="004C4106" w:rsidRPr="008B1F04">
        <w:rPr>
          <w:rFonts w:cs="Arial"/>
        </w:rPr>
        <w:t xml:space="preserve">, </w:t>
      </w:r>
      <w:r w:rsidR="004C4106" w:rsidRPr="008B1F04">
        <w:rPr>
          <w:rFonts w:cs="Arial"/>
          <w:i/>
        </w:rPr>
        <w:t>and</w:t>
      </w:r>
      <w:r w:rsidR="00981C7B" w:rsidRPr="008B1F04">
        <w:rPr>
          <w:rFonts w:cs="Arial"/>
        </w:rPr>
        <w:t xml:space="preserve"> </w:t>
      </w:r>
      <w:r w:rsidR="0083038F" w:rsidRPr="008B1F04">
        <w:rPr>
          <w:rFonts w:cs="Arial"/>
        </w:rPr>
        <w:t>State v. Gary, 78 N.C. App. 29, 36 (1985) (trial court erred by admitting statements made after the conspiracy ended)</w:t>
      </w:r>
      <w:r w:rsidR="004C4106" w:rsidRPr="008B1F04">
        <w:rPr>
          <w:rFonts w:cs="Arial"/>
        </w:rPr>
        <w:t xml:space="preserve">, </w:t>
      </w:r>
      <w:r w:rsidR="004C4106" w:rsidRPr="008B1F04">
        <w:rPr>
          <w:rFonts w:cs="Arial"/>
          <w:i/>
        </w:rPr>
        <w:t>with</w:t>
      </w:r>
      <w:r w:rsidR="004C4106" w:rsidRPr="008B1F04">
        <w:rPr>
          <w:rFonts w:cs="Arial"/>
        </w:rPr>
        <w:t xml:space="preserve"> </w:t>
      </w:r>
      <w:r w:rsidR="0083038F" w:rsidRPr="008B1F04">
        <w:rPr>
          <w:rFonts w:cs="Arial"/>
        </w:rPr>
        <w:t>State v. Collins, 81 N.C. App. 346, 351-52 (1986) (trial court did not err by finding that statements were made during the conspiracy)</w:t>
      </w:r>
      <w:r w:rsidR="004C4106" w:rsidRPr="008B1F04">
        <w:rPr>
          <w:rFonts w:cs="Arial"/>
        </w:rPr>
        <w:t xml:space="preserve">. </w:t>
      </w:r>
      <w:r w:rsidR="00B173C7" w:rsidRPr="008B1F04">
        <w:rPr>
          <w:rFonts w:cs="Arial"/>
        </w:rPr>
        <w:t xml:space="preserve">It is generally understood that a conspiracy ends when the co-conspirators either achieve or fail in obtaining their primary objective. 2 </w:t>
      </w:r>
      <w:r w:rsidR="00B173C7" w:rsidRPr="008B1F04">
        <w:rPr>
          <w:rFonts w:cs="Arial"/>
          <w:smallCaps/>
        </w:rPr>
        <w:t>McCormick</w:t>
      </w:r>
      <w:r w:rsidR="00B173C7" w:rsidRPr="008B1F04">
        <w:rPr>
          <w:rFonts w:cs="Arial"/>
        </w:rPr>
        <w:t xml:space="preserve"> at 291.</w:t>
      </w:r>
    </w:p>
    <w:p w14:paraId="372E74A8" w14:textId="77777777" w:rsidR="004C0063" w:rsidRPr="008B1F04" w:rsidRDefault="004C0063" w:rsidP="00F83AD6">
      <w:pPr>
        <w:rPr>
          <w:rFonts w:cs="Arial"/>
        </w:rPr>
      </w:pPr>
    </w:p>
    <w:p w14:paraId="0C3E11B3" w14:textId="77777777" w:rsidR="00645591" w:rsidRPr="008B1F04" w:rsidRDefault="00645591" w:rsidP="00D35326">
      <w:pPr>
        <w:pStyle w:val="ListParagraph"/>
        <w:numPr>
          <w:ilvl w:val="0"/>
          <w:numId w:val="44"/>
        </w:numPr>
      </w:pPr>
      <w:bookmarkStart w:id="16" w:name="_Toc405983787"/>
      <w:r w:rsidRPr="00C635C1">
        <w:rPr>
          <w:rStyle w:val="Heading2Char"/>
        </w:rPr>
        <w:t>Rule 803 Exceptions: Avail</w:t>
      </w:r>
      <w:r w:rsidR="002A418D" w:rsidRPr="00C635C1">
        <w:rPr>
          <w:rStyle w:val="Heading2Char"/>
        </w:rPr>
        <w:t>ability of Declarant Immaterial</w:t>
      </w:r>
      <w:bookmarkEnd w:id="16"/>
      <w:r w:rsidR="00A67729" w:rsidRPr="008B1F04">
        <w:rPr>
          <w:b/>
        </w:rPr>
        <w:t>.</w:t>
      </w:r>
      <w:r w:rsidR="00A67729" w:rsidRPr="008B1F04">
        <w:t xml:space="preserve"> </w:t>
      </w:r>
      <w:r w:rsidR="003C36D0" w:rsidRPr="008B1F04">
        <w:t>Rule 803 sets out twenty-three</w:t>
      </w:r>
      <w:r w:rsidRPr="008B1F04">
        <w:t xml:space="preserve"> hearsay exceptions that apply regardless of the declarant’s availability.</w:t>
      </w:r>
      <w:r w:rsidR="00952922" w:rsidRPr="008B1F04">
        <w:t xml:space="preserve"> </w:t>
      </w:r>
      <w:r w:rsidR="000D73DB" w:rsidRPr="008B1F04">
        <w:t xml:space="preserve">Most of these exceptions arise only rarely in </w:t>
      </w:r>
      <w:r w:rsidR="00952922" w:rsidRPr="008B1F04">
        <w:t xml:space="preserve">published cases and virtually never in the criminal context. Although mentioned in the accompanying </w:t>
      </w:r>
      <w:r w:rsidR="00952922" w:rsidRPr="008B1F04">
        <w:lastRenderedPageBreak/>
        <w:t>footnote,</w:t>
      </w:r>
      <w:r w:rsidR="00952922" w:rsidRPr="008B1F04">
        <w:rPr>
          <w:rStyle w:val="FootnoteReference"/>
          <w:rFonts w:cs="Arial"/>
        </w:rPr>
        <w:footnoteReference w:id="1"/>
      </w:r>
      <w:r w:rsidR="003C36D0" w:rsidRPr="008B1F04">
        <w:t xml:space="preserve"> exceptions that arise infrequently</w:t>
      </w:r>
      <w:r w:rsidR="00952922" w:rsidRPr="008B1F04">
        <w:t xml:space="preserve"> receive no extended discussion in this section.</w:t>
      </w:r>
      <w:r w:rsidR="00ED2AAB" w:rsidRPr="008B1F04">
        <w:t xml:space="preserve"> The Rule 803 exceptions that commonly arise in </w:t>
      </w:r>
      <w:r w:rsidR="002A418D" w:rsidRPr="008B1F04">
        <w:t xml:space="preserve">North Carolina </w:t>
      </w:r>
      <w:r w:rsidR="00ED2AAB" w:rsidRPr="008B1F04">
        <w:t xml:space="preserve">criminal cases are discussed </w:t>
      </w:r>
      <w:r w:rsidR="003C36D0" w:rsidRPr="008B1F04">
        <w:t xml:space="preserve">in the sections </w:t>
      </w:r>
      <w:r w:rsidR="00ED2AAB" w:rsidRPr="008B1F04">
        <w:t>below.</w:t>
      </w:r>
    </w:p>
    <w:p w14:paraId="4439AA23" w14:textId="77777777" w:rsidR="008F5145" w:rsidRPr="008B1F04" w:rsidRDefault="004C0063" w:rsidP="00F83AD6">
      <w:pPr>
        <w:pStyle w:val="ListParagraph"/>
        <w:numPr>
          <w:ilvl w:val="3"/>
          <w:numId w:val="33"/>
        </w:numPr>
        <w:rPr>
          <w:rFonts w:cs="Arial"/>
        </w:rPr>
      </w:pPr>
      <w:bookmarkStart w:id="17" w:name="_Toc405983788"/>
      <w:r w:rsidRPr="00A2261E">
        <w:rPr>
          <w:rStyle w:val="Heading3Char"/>
        </w:rPr>
        <w:t>Present Sense Impression</w:t>
      </w:r>
      <w:bookmarkEnd w:id="17"/>
      <w:r w:rsidR="00A67729" w:rsidRPr="008B1F04">
        <w:rPr>
          <w:b/>
        </w:rPr>
        <w:t xml:space="preserve">. </w:t>
      </w:r>
      <w:r w:rsidR="00645591" w:rsidRPr="008B1F04">
        <w:rPr>
          <w:rFonts w:cs="Arial"/>
        </w:rPr>
        <w:t xml:space="preserve">Rule 803(1) </w:t>
      </w:r>
      <w:r w:rsidR="00194D4A" w:rsidRPr="008B1F04">
        <w:rPr>
          <w:rFonts w:cs="Arial"/>
        </w:rPr>
        <w:t xml:space="preserve">contains </w:t>
      </w:r>
      <w:r w:rsidR="00645591" w:rsidRPr="008B1F04">
        <w:rPr>
          <w:rFonts w:cs="Arial"/>
        </w:rPr>
        <w:t xml:space="preserve">a hearsay exception for </w:t>
      </w:r>
      <w:r w:rsidR="00B243D5" w:rsidRPr="008B1F04">
        <w:rPr>
          <w:rFonts w:cs="Arial"/>
        </w:rPr>
        <w:t>present sense impressions. Specifically</w:t>
      </w:r>
      <w:r w:rsidR="006F1495" w:rsidRPr="008B1F04">
        <w:rPr>
          <w:rFonts w:cs="Arial"/>
        </w:rPr>
        <w:t>,</w:t>
      </w:r>
      <w:r w:rsidR="00B243D5" w:rsidRPr="008B1F04">
        <w:rPr>
          <w:rFonts w:cs="Arial"/>
        </w:rPr>
        <w:t xml:space="preserve"> it </w:t>
      </w:r>
      <w:r w:rsidR="008F5145" w:rsidRPr="008B1F04">
        <w:rPr>
          <w:rFonts w:cs="Arial"/>
        </w:rPr>
        <w:t>provides a</w:t>
      </w:r>
      <w:r w:rsidR="006F1495" w:rsidRPr="008B1F04">
        <w:rPr>
          <w:rFonts w:cs="Arial"/>
        </w:rPr>
        <w:t>n</w:t>
      </w:r>
      <w:r w:rsidR="008F5145" w:rsidRPr="008B1F04">
        <w:rPr>
          <w:rFonts w:cs="Arial"/>
        </w:rPr>
        <w:t xml:space="preserve"> exception for </w:t>
      </w:r>
      <w:r w:rsidR="00B243D5" w:rsidRPr="008B1F04">
        <w:rPr>
          <w:rFonts w:cs="Arial"/>
        </w:rPr>
        <w:t>“</w:t>
      </w:r>
      <w:r w:rsidR="001B3A2B" w:rsidRPr="008B1F04">
        <w:rPr>
          <w:rFonts w:cs="Arial"/>
        </w:rPr>
        <w:t>[</w:t>
      </w:r>
      <w:r w:rsidR="00645591" w:rsidRPr="008B1F04">
        <w:rPr>
          <w:rFonts w:cs="Arial"/>
        </w:rPr>
        <w:t>a</w:t>
      </w:r>
      <w:r w:rsidR="001B3A2B" w:rsidRPr="008B1F04">
        <w:rPr>
          <w:rFonts w:cs="Arial"/>
        </w:rPr>
        <w:t>]</w:t>
      </w:r>
      <w:r w:rsidR="00645591" w:rsidRPr="008B1F04">
        <w:rPr>
          <w:rFonts w:cs="Arial"/>
        </w:rPr>
        <w:t xml:space="preserve"> </w:t>
      </w:r>
      <w:r w:rsidRPr="008B1F04">
        <w:rPr>
          <w:rFonts w:cs="Arial"/>
        </w:rPr>
        <w:t>statement describing or explaining an event or condition made while the declarant was perceiving the event or condition, or immediately thereafter.</w:t>
      </w:r>
      <w:r w:rsidR="00B243D5" w:rsidRPr="008B1F04">
        <w:rPr>
          <w:rFonts w:cs="Arial"/>
        </w:rPr>
        <w:t>”</w:t>
      </w:r>
      <w:r w:rsidR="00493EE6" w:rsidRPr="008B1F04">
        <w:rPr>
          <w:rFonts w:cs="Arial"/>
        </w:rPr>
        <w:t xml:space="preserve"> </w:t>
      </w:r>
      <w:r w:rsidR="001B3A2B" w:rsidRPr="008B1F04">
        <w:rPr>
          <w:rFonts w:cs="Arial"/>
        </w:rPr>
        <w:t xml:space="preserve">The basis for this exception is that the </w:t>
      </w:r>
      <w:r w:rsidR="0051210D" w:rsidRPr="008B1F04">
        <w:rPr>
          <w:rFonts w:cs="Arial"/>
        </w:rPr>
        <w:t>“</w:t>
      </w:r>
      <w:r w:rsidR="001B3A2B" w:rsidRPr="008B1F04">
        <w:rPr>
          <w:rFonts w:cs="Arial"/>
        </w:rPr>
        <w:t>closeness in time between the event and the declarant’s statement reduces the likelihood of deliberate or conscious misrepresentation.</w:t>
      </w:r>
      <w:r w:rsidR="0051210D" w:rsidRPr="008B1F04">
        <w:rPr>
          <w:rFonts w:cs="Arial"/>
        </w:rPr>
        <w:t>”</w:t>
      </w:r>
      <w:r w:rsidR="001B3A2B" w:rsidRPr="008B1F04">
        <w:rPr>
          <w:rFonts w:cs="Arial"/>
        </w:rPr>
        <w:t xml:space="preserve"> </w:t>
      </w:r>
      <w:r w:rsidR="0083038F" w:rsidRPr="008B1F04">
        <w:rPr>
          <w:rFonts w:cs="Arial"/>
        </w:rPr>
        <w:t>State v. Morgan, 359 N.C. 131, 154 (2004)</w:t>
      </w:r>
      <w:r w:rsidR="001B3A2B" w:rsidRPr="008B1F04">
        <w:rPr>
          <w:rFonts w:cs="Arial"/>
        </w:rPr>
        <w:t xml:space="preserve">. </w:t>
      </w:r>
    </w:p>
    <w:p w14:paraId="7340DDB3" w14:textId="77777777" w:rsidR="00E5076F" w:rsidRPr="008B1F04" w:rsidRDefault="008F5145" w:rsidP="00CF2018">
      <w:pPr>
        <w:pStyle w:val="ListParagraph"/>
        <w:numPr>
          <w:ilvl w:val="0"/>
          <w:numId w:val="34"/>
        </w:numPr>
        <w:rPr>
          <w:b/>
        </w:rPr>
      </w:pPr>
      <w:r w:rsidRPr="008B1F04">
        <w:rPr>
          <w:b/>
        </w:rPr>
        <w:t>“Describing or Explaining an Event or Condition</w:t>
      </w:r>
      <w:r w:rsidR="00D63315" w:rsidRPr="008B1F04">
        <w:rPr>
          <w:b/>
        </w:rPr>
        <w:t>.</w:t>
      </w:r>
      <w:r w:rsidRPr="008B1F04">
        <w:rPr>
          <w:b/>
        </w:rPr>
        <w:t>”</w:t>
      </w:r>
      <w:r w:rsidR="00CF2018" w:rsidRPr="008B1F04">
        <w:rPr>
          <w:b/>
        </w:rPr>
        <w:t xml:space="preserve"> </w:t>
      </w:r>
      <w:r w:rsidRPr="008B1F04">
        <w:t>To be admissible under this exception, the statement must</w:t>
      </w:r>
      <w:r w:rsidR="004A4005" w:rsidRPr="008B1F04">
        <w:t xml:space="preserve"> describe or explain an event or</w:t>
      </w:r>
      <w:r w:rsidRPr="008B1F04">
        <w:t xml:space="preserve"> condition.</w:t>
      </w:r>
      <w:r w:rsidR="00554782" w:rsidRPr="008B1F04">
        <w:t xml:space="preserve"> </w:t>
      </w:r>
      <w:r w:rsidR="0083038F" w:rsidRPr="008B1F04">
        <w:rPr>
          <w:smallCaps/>
        </w:rPr>
        <w:t>N.C. R. Evid. 803(1)</w:t>
      </w:r>
      <w:r w:rsidR="004A4005" w:rsidRPr="008B1F04">
        <w:t xml:space="preserve">. </w:t>
      </w:r>
      <w:r w:rsidR="00194D4A" w:rsidRPr="008B1F04">
        <w:t>Examples o</w:t>
      </w:r>
      <w:r w:rsidR="00E5076F" w:rsidRPr="008B1F04">
        <w:t xml:space="preserve">f statements held to </w:t>
      </w:r>
      <w:r w:rsidR="006F1495" w:rsidRPr="008B1F04">
        <w:t>meet this requirement in</w:t>
      </w:r>
      <w:r w:rsidR="00E5076F" w:rsidRPr="008B1F04">
        <w:t>clude:</w:t>
      </w:r>
    </w:p>
    <w:p w14:paraId="1A8605D4" w14:textId="77777777" w:rsidR="00786246" w:rsidRPr="008B1F04" w:rsidRDefault="00786246" w:rsidP="00786246">
      <w:pPr>
        <w:pStyle w:val="ListParagraph"/>
        <w:ind w:left="2880"/>
        <w:rPr>
          <w:b/>
        </w:rPr>
      </w:pPr>
    </w:p>
    <w:p w14:paraId="229A5BC7" w14:textId="77777777" w:rsidR="00E5076F" w:rsidRPr="008B1F04" w:rsidRDefault="00E5076F" w:rsidP="00676B14">
      <w:pPr>
        <w:pStyle w:val="ListParagraph"/>
        <w:numPr>
          <w:ilvl w:val="0"/>
          <w:numId w:val="4"/>
        </w:numPr>
        <w:ind w:left="3600"/>
        <w:rPr>
          <w:rFonts w:eastAsia="Times New Roman"/>
        </w:rPr>
      </w:pPr>
      <w:r w:rsidRPr="008B1F04">
        <w:t xml:space="preserve">A </w:t>
      </w:r>
      <w:r w:rsidR="00194D4A" w:rsidRPr="008B1F04">
        <w:t xml:space="preserve">declarant’s </w:t>
      </w:r>
      <w:r w:rsidR="00554782" w:rsidRPr="008B1F04">
        <w:t>statement to the defendant’s brother that the declarant needed help because the defendant was “tripping</w:t>
      </w:r>
      <w:r w:rsidR="00372E03" w:rsidRPr="008B1F04">
        <w:t>.</w:t>
      </w:r>
      <w:r w:rsidR="00554782" w:rsidRPr="008B1F04">
        <w:t xml:space="preserve">” </w:t>
      </w:r>
      <w:r w:rsidR="0083038F" w:rsidRPr="008B1F04">
        <w:rPr>
          <w:rFonts w:eastAsia="Times New Roman"/>
        </w:rPr>
        <w:t>State v. Morgan, 359 N.C. 131, 155 (2004) (explaining the defendant’s condition)</w:t>
      </w:r>
      <w:r w:rsidR="00554782" w:rsidRPr="008B1F04">
        <w:rPr>
          <w:rFonts w:eastAsia="Times New Roman"/>
        </w:rPr>
        <w:t xml:space="preserve">. </w:t>
      </w:r>
    </w:p>
    <w:p w14:paraId="16BF98E5" w14:textId="77777777" w:rsidR="00E5076F" w:rsidRPr="008B1F04" w:rsidRDefault="00E5076F" w:rsidP="00676B14">
      <w:pPr>
        <w:pStyle w:val="ListParagraph"/>
        <w:numPr>
          <w:ilvl w:val="0"/>
          <w:numId w:val="4"/>
        </w:numPr>
        <w:ind w:left="3600"/>
        <w:rPr>
          <w:rFonts w:eastAsia="Times New Roman"/>
        </w:rPr>
      </w:pPr>
      <w:r w:rsidRPr="008B1F04">
        <w:t>A</w:t>
      </w:r>
      <w:r w:rsidR="00554782" w:rsidRPr="008B1F04">
        <w:rPr>
          <w:rFonts w:eastAsia="Times New Roman"/>
        </w:rPr>
        <w:t xml:space="preserve"> declarant’s statement to her mother that the defendant was “not after me. He’s after Bryan and Jermaine</w:t>
      </w:r>
      <w:r w:rsidRPr="008B1F04">
        <w:rPr>
          <w:rFonts w:eastAsia="Times New Roman"/>
        </w:rPr>
        <w:t xml:space="preserve">,” made </w:t>
      </w:r>
      <w:r w:rsidR="008B2A42" w:rsidRPr="008B1F04">
        <w:rPr>
          <w:rFonts w:eastAsia="Times New Roman"/>
        </w:rPr>
        <w:t xml:space="preserve">after the </w:t>
      </w:r>
      <w:r w:rsidR="00D76079" w:rsidRPr="008B1F04">
        <w:rPr>
          <w:rFonts w:eastAsia="Times New Roman"/>
        </w:rPr>
        <w:t xml:space="preserve">declarant’s </w:t>
      </w:r>
      <w:r w:rsidR="008B2A42" w:rsidRPr="008B1F04">
        <w:rPr>
          <w:rFonts w:eastAsia="Times New Roman"/>
        </w:rPr>
        <w:t xml:space="preserve">mother </w:t>
      </w:r>
      <w:r w:rsidRPr="008B1F04">
        <w:rPr>
          <w:rFonts w:eastAsia="Times New Roman"/>
        </w:rPr>
        <w:t xml:space="preserve">told the declarant that she saw the defendant with a sawed-off shotgun. </w:t>
      </w:r>
      <w:r w:rsidR="0083038F" w:rsidRPr="008B1F04">
        <w:rPr>
          <w:rFonts w:eastAsia="Times New Roman"/>
        </w:rPr>
        <w:t>State v. Taylor, 344 N.C. 31, 47 (1996)</w:t>
      </w:r>
      <w:r w:rsidRPr="008B1F04">
        <w:rPr>
          <w:rFonts w:eastAsia="Times New Roman"/>
        </w:rPr>
        <w:t>.</w:t>
      </w:r>
      <w:r w:rsidR="008F5145" w:rsidRPr="008B1F04">
        <w:rPr>
          <w:rFonts w:eastAsia="Times New Roman"/>
        </w:rPr>
        <w:t xml:space="preserve"> </w:t>
      </w:r>
    </w:p>
    <w:p w14:paraId="4F593420" w14:textId="77777777" w:rsidR="008B2A42" w:rsidRPr="008B1F04" w:rsidRDefault="00E5076F" w:rsidP="00676B14">
      <w:pPr>
        <w:pStyle w:val="ListParagraph"/>
        <w:numPr>
          <w:ilvl w:val="0"/>
          <w:numId w:val="4"/>
        </w:numPr>
        <w:ind w:left="3600"/>
        <w:rPr>
          <w:rFonts w:eastAsia="Times New Roman"/>
        </w:rPr>
      </w:pPr>
      <w:r w:rsidRPr="008B1F04">
        <w:t xml:space="preserve">A </w:t>
      </w:r>
      <w:r w:rsidRPr="008B1F04">
        <w:rPr>
          <w:rFonts w:eastAsia="Times New Roman"/>
        </w:rPr>
        <w:t xml:space="preserve">declarant’s statement that he was destroying a rape kit because he “he did not feel that it would be of sufficient value after that period of time,” made simultaneously with the </w:t>
      </w:r>
      <w:r w:rsidR="008B2A42" w:rsidRPr="008B1F04">
        <w:rPr>
          <w:rFonts w:eastAsia="Times New Roman"/>
        </w:rPr>
        <w:t xml:space="preserve">kit’s </w:t>
      </w:r>
      <w:r w:rsidRPr="008B1F04">
        <w:rPr>
          <w:rFonts w:eastAsia="Times New Roman"/>
        </w:rPr>
        <w:t>destruction</w:t>
      </w:r>
      <w:r w:rsidR="008B2A42" w:rsidRPr="008B1F04">
        <w:rPr>
          <w:rFonts w:eastAsia="Times New Roman"/>
        </w:rPr>
        <w:t>.</w:t>
      </w:r>
      <w:r w:rsidRPr="008B1F04">
        <w:rPr>
          <w:rFonts w:eastAsia="Times New Roman"/>
        </w:rPr>
        <w:t xml:space="preserve"> </w:t>
      </w:r>
      <w:r w:rsidR="0083038F" w:rsidRPr="008B1F04">
        <w:rPr>
          <w:rFonts w:eastAsia="Times New Roman"/>
        </w:rPr>
        <w:t>State v. Reid, 322 N.C. 309, 315 (1988)</w:t>
      </w:r>
      <w:r w:rsidRPr="008B1F04">
        <w:rPr>
          <w:rFonts w:eastAsia="Times New Roman"/>
        </w:rPr>
        <w:t xml:space="preserve">. </w:t>
      </w:r>
    </w:p>
    <w:p w14:paraId="2C318C8A" w14:textId="77777777" w:rsidR="008F5145" w:rsidRPr="008B1F04" w:rsidRDefault="008B2A42" w:rsidP="00676B14">
      <w:pPr>
        <w:pStyle w:val="ListParagraph"/>
        <w:numPr>
          <w:ilvl w:val="0"/>
          <w:numId w:val="4"/>
        </w:numPr>
        <w:ind w:left="3600"/>
        <w:rPr>
          <w:rFonts w:eastAsia="Times New Roman"/>
        </w:rPr>
      </w:pPr>
      <w:r w:rsidRPr="008B1F04">
        <w:rPr>
          <w:rFonts w:eastAsia="Times New Roman"/>
        </w:rPr>
        <w:t xml:space="preserve">An eyewitness’s statement to an officer describing an abduction. </w:t>
      </w:r>
      <w:r w:rsidR="0083038F" w:rsidRPr="008B1F04">
        <w:rPr>
          <w:rFonts w:eastAsia="Times New Roman"/>
        </w:rPr>
        <w:t>State v. Odom, 316 N.C. 306, 312-13 (1986)</w:t>
      </w:r>
      <w:r w:rsidRPr="008B1F04">
        <w:rPr>
          <w:rFonts w:eastAsia="Times New Roman"/>
        </w:rPr>
        <w:t>.</w:t>
      </w:r>
      <w:r w:rsidR="008F5145" w:rsidRPr="008B1F04">
        <w:rPr>
          <w:rFonts w:eastAsia="Times New Roman"/>
        </w:rPr>
        <w:t xml:space="preserve"> </w:t>
      </w:r>
    </w:p>
    <w:p w14:paraId="03E9469B" w14:textId="77777777" w:rsidR="00CF2018" w:rsidRPr="008B1F04" w:rsidRDefault="00CF2018" w:rsidP="00CF2018">
      <w:pPr>
        <w:rPr>
          <w:rFonts w:eastAsia="Times New Roman"/>
        </w:rPr>
      </w:pPr>
    </w:p>
    <w:p w14:paraId="27464BD4" w14:textId="77777777" w:rsidR="00D72D55" w:rsidRPr="008B1F04" w:rsidRDefault="00194D4A" w:rsidP="00CF2018">
      <w:pPr>
        <w:pStyle w:val="ListParagraph"/>
        <w:numPr>
          <w:ilvl w:val="0"/>
          <w:numId w:val="34"/>
        </w:numPr>
        <w:rPr>
          <w:rFonts w:eastAsia="Times New Roman"/>
        </w:rPr>
      </w:pPr>
      <w:r w:rsidRPr="008B1F04">
        <w:rPr>
          <w:b/>
        </w:rPr>
        <w:t xml:space="preserve">Contemporaneous </w:t>
      </w:r>
      <w:r w:rsidR="00676B14" w:rsidRPr="008B1F04">
        <w:rPr>
          <w:b/>
        </w:rPr>
        <w:t>w</w:t>
      </w:r>
      <w:r w:rsidR="002A418D" w:rsidRPr="008B1F04">
        <w:rPr>
          <w:b/>
        </w:rPr>
        <w:t xml:space="preserve">ith </w:t>
      </w:r>
      <w:r w:rsidR="00797EF8" w:rsidRPr="008B1F04">
        <w:rPr>
          <w:b/>
        </w:rPr>
        <w:t>or Immediately Thereafter</w:t>
      </w:r>
      <w:r w:rsidR="00D63315" w:rsidRPr="008B1F04">
        <w:rPr>
          <w:b/>
        </w:rPr>
        <w:t xml:space="preserve">. </w:t>
      </w:r>
      <w:r w:rsidR="00554782" w:rsidRPr="008B1F04">
        <w:rPr>
          <w:rFonts w:eastAsia="Times New Roman"/>
        </w:rPr>
        <w:t xml:space="preserve">To be admissible under this exception the statement must have been made </w:t>
      </w:r>
      <w:r w:rsidR="00234765" w:rsidRPr="008B1F04">
        <w:rPr>
          <w:rFonts w:eastAsia="Times New Roman"/>
        </w:rPr>
        <w:t>“</w:t>
      </w:r>
      <w:r w:rsidR="00554782" w:rsidRPr="008B1F04">
        <w:rPr>
          <w:rFonts w:eastAsia="Times New Roman"/>
        </w:rPr>
        <w:t>while the declarant was perceiving the event or condition, or immediately thereafter</w:t>
      </w:r>
      <w:r w:rsidR="0083038F" w:rsidRPr="008B1F04">
        <w:rPr>
          <w:rFonts w:eastAsia="Times New Roman"/>
        </w:rPr>
        <w:t xml:space="preserve">.” </w:t>
      </w:r>
      <w:r w:rsidR="0083038F" w:rsidRPr="008B1F04">
        <w:rPr>
          <w:rFonts w:eastAsia="Times New Roman"/>
          <w:smallCaps/>
        </w:rPr>
        <w:t>N.C. R. Evid. 803(1)</w:t>
      </w:r>
      <w:r w:rsidR="00797EF8" w:rsidRPr="008B1F04">
        <w:rPr>
          <w:rFonts w:eastAsia="Times New Roman"/>
        </w:rPr>
        <w:t xml:space="preserve">. </w:t>
      </w:r>
      <w:r w:rsidR="008B2A42" w:rsidRPr="008B1F04">
        <w:rPr>
          <w:rFonts w:eastAsia="Times New Roman"/>
        </w:rPr>
        <w:t xml:space="preserve">When the </w:t>
      </w:r>
      <w:r w:rsidR="008B2A42" w:rsidRPr="008B1F04">
        <w:rPr>
          <w:rFonts w:eastAsia="Times New Roman"/>
        </w:rPr>
        <w:lastRenderedPageBreak/>
        <w:t>statement is made contemporaneously with the event o</w:t>
      </w:r>
      <w:r w:rsidR="00745D1B" w:rsidRPr="008B1F04">
        <w:rPr>
          <w:rFonts w:eastAsia="Times New Roman"/>
        </w:rPr>
        <w:t>r</w:t>
      </w:r>
      <w:r w:rsidR="008B2A42" w:rsidRPr="008B1F04">
        <w:rPr>
          <w:rFonts w:eastAsia="Times New Roman"/>
        </w:rPr>
        <w:t xml:space="preserve"> condition, this requirement is satisfied. </w:t>
      </w:r>
      <w:r w:rsidR="008B2A42" w:rsidRPr="008B1F04">
        <w:rPr>
          <w:rFonts w:eastAsia="Times New Roman"/>
          <w:i/>
        </w:rPr>
        <w:t xml:space="preserve">See, e.g., </w:t>
      </w:r>
      <w:r w:rsidR="0083038F" w:rsidRPr="008B1F04">
        <w:rPr>
          <w:rFonts w:eastAsia="Times New Roman"/>
        </w:rPr>
        <w:t>State v. Reid, 322 N.C. 309, 315 (1988) (statement was contemporaneous with event)</w:t>
      </w:r>
      <w:r w:rsidR="002C5BE6" w:rsidRPr="008B1F04">
        <w:rPr>
          <w:rFonts w:eastAsia="Times New Roman"/>
        </w:rPr>
        <w:t xml:space="preserve">; </w:t>
      </w:r>
      <w:r w:rsidR="0083038F" w:rsidRPr="008B1F04">
        <w:rPr>
          <w:rFonts w:eastAsia="Times New Roman"/>
        </w:rPr>
        <w:t>State v. Smith, 152 N.C. App. 29, 36 (2002) (same as to one set of statements)</w:t>
      </w:r>
      <w:r w:rsidR="008B2A42" w:rsidRPr="008B1F04">
        <w:rPr>
          <w:rFonts w:eastAsia="Times New Roman"/>
        </w:rPr>
        <w:t xml:space="preserve">. </w:t>
      </w:r>
    </w:p>
    <w:p w14:paraId="4ED7BB3D" w14:textId="77777777" w:rsidR="00194D4A" w:rsidRPr="008B1F04" w:rsidRDefault="00745D1B" w:rsidP="00D63315">
      <w:pPr>
        <w:ind w:left="2880" w:firstLine="360"/>
        <w:rPr>
          <w:rFonts w:eastAsia="Times New Roman"/>
        </w:rPr>
      </w:pPr>
      <w:r w:rsidRPr="008B1F04">
        <w:rPr>
          <w:rFonts w:eastAsia="Times New Roman"/>
        </w:rPr>
        <w:t>Th</w:t>
      </w:r>
      <w:r w:rsidR="00194D4A" w:rsidRPr="008B1F04">
        <w:rPr>
          <w:rFonts w:eastAsia="Times New Roman"/>
        </w:rPr>
        <w:t>ere are</w:t>
      </w:r>
      <w:r w:rsidR="00D72D55" w:rsidRPr="008B1F04">
        <w:rPr>
          <w:rFonts w:eastAsia="Times New Roman"/>
        </w:rPr>
        <w:t xml:space="preserve"> no rigid rule</w:t>
      </w:r>
      <w:r w:rsidR="00194D4A" w:rsidRPr="008B1F04">
        <w:rPr>
          <w:rFonts w:eastAsia="Times New Roman"/>
        </w:rPr>
        <w:t>s</w:t>
      </w:r>
      <w:r w:rsidR="00D72D55" w:rsidRPr="008B1F04">
        <w:rPr>
          <w:rFonts w:eastAsia="Times New Roman"/>
        </w:rPr>
        <w:t xml:space="preserve"> about </w:t>
      </w:r>
      <w:r w:rsidR="00797EF8" w:rsidRPr="008B1F04">
        <w:rPr>
          <w:rFonts w:eastAsia="Times New Roman"/>
        </w:rPr>
        <w:t>the temporal connection between the statement and the event in question.</w:t>
      </w:r>
      <w:r w:rsidRPr="008B1F04">
        <w:rPr>
          <w:rFonts w:eastAsia="Times New Roman"/>
        </w:rPr>
        <w:t xml:space="preserve"> </w:t>
      </w:r>
      <w:r w:rsidR="0083038F" w:rsidRPr="008B1F04">
        <w:rPr>
          <w:rFonts w:eastAsia="Times New Roman"/>
        </w:rPr>
        <w:t>State v. Cummings, 326 N.C. 298, 314 (1990)</w:t>
      </w:r>
      <w:r w:rsidRPr="008B1F04">
        <w:rPr>
          <w:rFonts w:eastAsia="Times New Roman"/>
        </w:rPr>
        <w:t>.</w:t>
      </w:r>
      <w:r w:rsidR="008A6E39" w:rsidRPr="008B1F04">
        <w:rPr>
          <w:rFonts w:eastAsia="Times New Roman"/>
        </w:rPr>
        <w:t xml:space="preserve"> </w:t>
      </w:r>
      <w:r w:rsidR="008B2A42" w:rsidRPr="008B1F04">
        <w:rPr>
          <w:rFonts w:eastAsia="Times New Roman"/>
        </w:rPr>
        <w:t xml:space="preserve">Statements made </w:t>
      </w:r>
      <w:r w:rsidR="00F50207" w:rsidRPr="008B1F04">
        <w:rPr>
          <w:rFonts w:eastAsia="Times New Roman"/>
        </w:rPr>
        <w:t xml:space="preserve">within </w:t>
      </w:r>
      <w:r w:rsidR="00797EF8" w:rsidRPr="008B1F04">
        <w:rPr>
          <w:rFonts w:eastAsia="Times New Roman"/>
        </w:rPr>
        <w:t xml:space="preserve">ten </w:t>
      </w:r>
      <w:r w:rsidR="00194D4A" w:rsidRPr="008B1F04">
        <w:rPr>
          <w:rFonts w:eastAsia="Times New Roman"/>
        </w:rPr>
        <w:t xml:space="preserve">minutes </w:t>
      </w:r>
      <w:r w:rsidRPr="008B1F04">
        <w:rPr>
          <w:rFonts w:eastAsia="Times New Roman"/>
        </w:rPr>
        <w:t xml:space="preserve">of the </w:t>
      </w:r>
      <w:r w:rsidR="008B2A42" w:rsidRPr="008B1F04">
        <w:rPr>
          <w:rFonts w:eastAsia="Times New Roman"/>
        </w:rPr>
        <w:t xml:space="preserve">event or condition </w:t>
      </w:r>
      <w:r w:rsidR="00194D4A" w:rsidRPr="008B1F04">
        <w:rPr>
          <w:rFonts w:eastAsia="Times New Roman"/>
        </w:rPr>
        <w:t xml:space="preserve">have been held </w:t>
      </w:r>
      <w:r w:rsidRPr="008B1F04">
        <w:rPr>
          <w:rFonts w:eastAsia="Times New Roman"/>
        </w:rPr>
        <w:t xml:space="preserve">admissible. </w:t>
      </w:r>
      <w:r w:rsidR="008B2A42" w:rsidRPr="008B1F04">
        <w:rPr>
          <w:rFonts w:eastAsia="Times New Roman"/>
          <w:i/>
        </w:rPr>
        <w:t xml:space="preserve">See, e.g., </w:t>
      </w:r>
      <w:r w:rsidR="0083038F" w:rsidRPr="008B1F04">
        <w:rPr>
          <w:rFonts w:eastAsia="Times New Roman"/>
        </w:rPr>
        <w:t>State v. Odom, 316 N.C. 306, 313 (1986) (statement made ten minutes after declarant/eyewitness observed an abduction)</w:t>
      </w:r>
      <w:r w:rsidR="00797EF8" w:rsidRPr="008B1F04">
        <w:rPr>
          <w:rFonts w:eastAsia="Times New Roman"/>
        </w:rPr>
        <w:t xml:space="preserve">. But longer or less precise intervals also have been found acceptable. </w:t>
      </w:r>
      <w:r w:rsidR="00797EF8" w:rsidRPr="008B1F04">
        <w:rPr>
          <w:rFonts w:eastAsia="Times New Roman"/>
          <w:i/>
        </w:rPr>
        <w:t xml:space="preserve">See </w:t>
      </w:r>
      <w:r w:rsidR="0083038F" w:rsidRPr="008B1F04">
        <w:rPr>
          <w:rFonts w:eastAsia="Times New Roman"/>
        </w:rPr>
        <w:t>State v. Morgan, 359 N.C. 131, 155 (2004) (lapse in time was attributable to the ½ mile the declarant had to travel to reach a residence)</w:t>
      </w:r>
      <w:r w:rsidR="008426E9" w:rsidRPr="008B1F04">
        <w:rPr>
          <w:rFonts w:eastAsia="Times New Roman"/>
        </w:rPr>
        <w:t xml:space="preserve">; </w:t>
      </w:r>
      <w:r w:rsidR="0083038F" w:rsidRPr="008B1F04">
        <w:rPr>
          <w:rFonts w:eastAsia="Times New Roman"/>
          <w:i/>
        </w:rPr>
        <w:t>Cummings</w:t>
      </w:r>
      <w:r w:rsidR="0083038F" w:rsidRPr="008B1F04">
        <w:rPr>
          <w:rFonts w:eastAsia="Times New Roman"/>
        </w:rPr>
        <w:t>, 326 N.C. at 314 (lapse in time was attributable to the amount of time it took the declarant to drive from Willow Springs to Raleigh)</w:t>
      </w:r>
      <w:r w:rsidR="008A6E39" w:rsidRPr="008B1F04">
        <w:rPr>
          <w:rFonts w:eastAsia="Times New Roman"/>
        </w:rPr>
        <w:t xml:space="preserve">; </w:t>
      </w:r>
      <w:r w:rsidR="0083038F" w:rsidRPr="008B1F04">
        <w:rPr>
          <w:rFonts w:eastAsia="Times New Roman"/>
        </w:rPr>
        <w:t xml:space="preserve">State v. </w:t>
      </w:r>
      <w:proofErr w:type="spellStart"/>
      <w:r w:rsidR="0083038F" w:rsidRPr="008B1F04">
        <w:rPr>
          <w:rFonts w:eastAsia="Times New Roman"/>
        </w:rPr>
        <w:t>Petrick</w:t>
      </w:r>
      <w:proofErr w:type="spellEnd"/>
      <w:r w:rsidR="0083038F" w:rsidRPr="008B1F04">
        <w:rPr>
          <w:rFonts w:eastAsia="Times New Roman"/>
        </w:rPr>
        <w:t>, 186 N.C. App. 597, 602-03 (2007) (event “had just happened”)</w:t>
      </w:r>
      <w:r w:rsidR="008426E9" w:rsidRPr="008B1F04">
        <w:rPr>
          <w:rFonts w:eastAsia="Times New Roman"/>
        </w:rPr>
        <w:t xml:space="preserve">. </w:t>
      </w:r>
      <w:r w:rsidR="00797EF8" w:rsidRPr="008B1F04">
        <w:rPr>
          <w:rFonts w:eastAsia="Times New Roman"/>
        </w:rPr>
        <w:t>One c</w:t>
      </w:r>
      <w:r w:rsidR="00D72D55" w:rsidRPr="008B1F04">
        <w:rPr>
          <w:rFonts w:eastAsia="Times New Roman"/>
        </w:rPr>
        <w:t xml:space="preserve">ase held that a statement fell within the Rule when </w:t>
      </w:r>
      <w:r w:rsidR="00194D4A" w:rsidRPr="008B1F04">
        <w:rPr>
          <w:rFonts w:eastAsia="Times New Roman"/>
        </w:rPr>
        <w:t xml:space="preserve">it was </w:t>
      </w:r>
      <w:r w:rsidR="00F50207" w:rsidRPr="008B1F04">
        <w:rPr>
          <w:rFonts w:eastAsia="Times New Roman"/>
        </w:rPr>
        <w:t>made fifty</w:t>
      </w:r>
      <w:r w:rsidR="00D72D55" w:rsidRPr="008B1F04">
        <w:rPr>
          <w:rFonts w:eastAsia="Times New Roman"/>
        </w:rPr>
        <w:t xml:space="preserve"> minutes after the event in question, although </w:t>
      </w:r>
      <w:r w:rsidRPr="008B1F04">
        <w:rPr>
          <w:rFonts w:eastAsia="Times New Roman"/>
        </w:rPr>
        <w:t>that case</w:t>
      </w:r>
      <w:r w:rsidR="00D72D55" w:rsidRPr="008B1F04">
        <w:rPr>
          <w:rFonts w:eastAsia="Times New Roman"/>
        </w:rPr>
        <w:t xml:space="preserve"> involved unique circumstances. </w:t>
      </w:r>
      <w:r w:rsidR="0083038F" w:rsidRPr="008B1F04">
        <w:rPr>
          <w:rFonts w:eastAsia="Times New Roman"/>
        </w:rPr>
        <w:t>State v. Capers, 208 N.C. App. 605, 619 (2010) (during the fifty-minute period, the declarant was in the hospital receiving life-saving treatment, reducing the likelihood that he engaged in deliberate or conscious misrepresentation)</w:t>
      </w:r>
      <w:r w:rsidR="00D72D55" w:rsidRPr="008B1F04">
        <w:rPr>
          <w:rFonts w:eastAsia="Times New Roman"/>
        </w:rPr>
        <w:t>.</w:t>
      </w:r>
      <w:r w:rsidR="008F5145" w:rsidRPr="008B1F04">
        <w:rPr>
          <w:rFonts w:eastAsia="Times New Roman"/>
        </w:rPr>
        <w:t xml:space="preserve"> </w:t>
      </w:r>
    </w:p>
    <w:p w14:paraId="4536E7FB" w14:textId="77777777" w:rsidR="008426E9" w:rsidRPr="008B1F04" w:rsidRDefault="00745D1B" w:rsidP="00D63315">
      <w:pPr>
        <w:ind w:left="2880" w:firstLine="360"/>
        <w:rPr>
          <w:rFonts w:eastAsia="Times New Roman"/>
        </w:rPr>
      </w:pPr>
      <w:r w:rsidRPr="008B1F04">
        <w:rPr>
          <w:rFonts w:eastAsia="Times New Roman"/>
        </w:rPr>
        <w:t xml:space="preserve">A statement </w:t>
      </w:r>
      <w:r w:rsidR="00194D4A" w:rsidRPr="008B1F04">
        <w:rPr>
          <w:rFonts w:eastAsia="Times New Roman"/>
        </w:rPr>
        <w:t xml:space="preserve">is </w:t>
      </w:r>
      <w:r w:rsidRPr="008B1F04">
        <w:rPr>
          <w:rFonts w:eastAsia="Times New Roman"/>
        </w:rPr>
        <w:t xml:space="preserve">unlikely to fall within this exception when </w:t>
      </w:r>
      <w:r w:rsidR="00194D4A" w:rsidRPr="008B1F04">
        <w:rPr>
          <w:rFonts w:eastAsia="Times New Roman"/>
        </w:rPr>
        <w:t xml:space="preserve">it is </w:t>
      </w:r>
      <w:r w:rsidRPr="008B1F04">
        <w:rPr>
          <w:rFonts w:eastAsia="Times New Roman"/>
        </w:rPr>
        <w:t>made h</w:t>
      </w:r>
      <w:r w:rsidR="00D72D55" w:rsidRPr="008B1F04">
        <w:rPr>
          <w:rFonts w:eastAsia="Times New Roman"/>
        </w:rPr>
        <w:t xml:space="preserve">ours </w:t>
      </w:r>
      <w:r w:rsidR="008A6E39" w:rsidRPr="008B1F04">
        <w:rPr>
          <w:rFonts w:eastAsia="Times New Roman"/>
        </w:rPr>
        <w:t>or days after the event or condition.</w:t>
      </w:r>
      <w:r w:rsidR="00D72D55" w:rsidRPr="008B1F04">
        <w:rPr>
          <w:rFonts w:eastAsia="Times New Roman"/>
        </w:rPr>
        <w:t xml:space="preserve"> </w:t>
      </w:r>
      <w:r w:rsidR="008426E9" w:rsidRPr="008B1F04">
        <w:rPr>
          <w:rFonts w:eastAsia="Times New Roman"/>
          <w:i/>
        </w:rPr>
        <w:t xml:space="preserve">See, e.g., </w:t>
      </w:r>
      <w:r w:rsidR="0083038F" w:rsidRPr="008B1F04">
        <w:rPr>
          <w:rFonts w:eastAsia="Times New Roman"/>
        </w:rPr>
        <w:t>State v. Maness, 321 N.C. 454, 459 (1988) (statements made nine days later were inadmissible)</w:t>
      </w:r>
      <w:r w:rsidR="008A6E39" w:rsidRPr="008B1F04">
        <w:rPr>
          <w:rFonts w:eastAsia="Times New Roman"/>
        </w:rPr>
        <w:t xml:space="preserve">; </w:t>
      </w:r>
      <w:r w:rsidR="0083038F" w:rsidRPr="008B1F04">
        <w:rPr>
          <w:rFonts w:eastAsia="Times New Roman"/>
        </w:rPr>
        <w:t>State v. Little, 191 N.C. App. 655, 664 (2008) (trial court did not abuse its discretion by excluding statement made at least several hours after the event)</w:t>
      </w:r>
      <w:r w:rsidR="008426E9" w:rsidRPr="008B1F04">
        <w:rPr>
          <w:rFonts w:eastAsia="Times New Roman"/>
        </w:rPr>
        <w:t xml:space="preserve">; </w:t>
      </w:r>
      <w:r w:rsidR="0083038F" w:rsidRPr="008B1F04">
        <w:rPr>
          <w:rFonts w:eastAsia="Times New Roman"/>
        </w:rPr>
        <w:t>State v. Smith, 152 N.C. App. 29, 36 (2002) (statement was inadmissible when it was made the same day as the event but after a police officer had stayed with the declarant “all afternoon”)</w:t>
      </w:r>
      <w:r w:rsidR="008426E9" w:rsidRPr="008B1F04">
        <w:rPr>
          <w:rFonts w:eastAsia="Times New Roman"/>
        </w:rPr>
        <w:t>.</w:t>
      </w:r>
    </w:p>
    <w:p w14:paraId="666E5356" w14:textId="77777777" w:rsidR="004E0017" w:rsidRPr="008B1F04" w:rsidRDefault="00645591" w:rsidP="00F83AD6">
      <w:pPr>
        <w:pStyle w:val="ListParagraph"/>
        <w:numPr>
          <w:ilvl w:val="3"/>
          <w:numId w:val="33"/>
        </w:numPr>
        <w:rPr>
          <w:rFonts w:cs="Arial"/>
        </w:rPr>
      </w:pPr>
      <w:bookmarkStart w:id="18" w:name="_Toc405983789"/>
      <w:r w:rsidRPr="00A2261E">
        <w:rPr>
          <w:rStyle w:val="Heading3Char"/>
        </w:rPr>
        <w:t>Excited Utterance</w:t>
      </w:r>
      <w:bookmarkEnd w:id="18"/>
      <w:r w:rsidR="001563DC" w:rsidRPr="008B1F04">
        <w:rPr>
          <w:b/>
        </w:rPr>
        <w:t xml:space="preserve">. </w:t>
      </w:r>
      <w:r w:rsidRPr="008B1F04">
        <w:rPr>
          <w:rFonts w:cs="Arial"/>
        </w:rPr>
        <w:t>Rule 803</w:t>
      </w:r>
      <w:r w:rsidR="004C0063" w:rsidRPr="008B1F04">
        <w:rPr>
          <w:rFonts w:cs="Arial"/>
        </w:rPr>
        <w:t>(2)</w:t>
      </w:r>
      <w:r w:rsidRPr="008B1F04">
        <w:rPr>
          <w:rFonts w:cs="Arial"/>
        </w:rPr>
        <w:t xml:space="preserve"> provides a hearsay exception for </w:t>
      </w:r>
      <w:r w:rsidR="00B243D5" w:rsidRPr="008B1F04">
        <w:rPr>
          <w:rFonts w:cs="Arial"/>
        </w:rPr>
        <w:t>“</w:t>
      </w:r>
      <w:r w:rsidR="00BE1EC0" w:rsidRPr="008B1F04">
        <w:rPr>
          <w:rFonts w:cs="Arial"/>
        </w:rPr>
        <w:t>[</w:t>
      </w:r>
      <w:r w:rsidRPr="008B1F04">
        <w:rPr>
          <w:rFonts w:cs="Arial"/>
        </w:rPr>
        <w:t>a</w:t>
      </w:r>
      <w:r w:rsidR="00BE1EC0" w:rsidRPr="008B1F04">
        <w:rPr>
          <w:rFonts w:cs="Arial"/>
        </w:rPr>
        <w:t>]</w:t>
      </w:r>
      <w:r w:rsidR="004C0063" w:rsidRPr="008B1F04">
        <w:rPr>
          <w:rFonts w:cs="Arial"/>
        </w:rPr>
        <w:t xml:space="preserve"> statement relating to a startling event or condition made while the declarant was under the stress of excitement caused by the event or condition.</w:t>
      </w:r>
      <w:r w:rsidR="00B243D5" w:rsidRPr="008B1F04">
        <w:rPr>
          <w:rFonts w:cs="Arial"/>
        </w:rPr>
        <w:t xml:space="preserve">” </w:t>
      </w:r>
    </w:p>
    <w:p w14:paraId="317FEB33" w14:textId="77777777" w:rsidR="004E0017" w:rsidRPr="008B1F04" w:rsidRDefault="004E0017" w:rsidP="00F83AD6">
      <w:pPr>
        <w:pStyle w:val="ListParagraph"/>
        <w:numPr>
          <w:ilvl w:val="0"/>
          <w:numId w:val="35"/>
        </w:numPr>
        <w:rPr>
          <w:rFonts w:cs="Arial"/>
        </w:rPr>
      </w:pPr>
      <w:r w:rsidRPr="008B1F04">
        <w:rPr>
          <w:b/>
        </w:rPr>
        <w:t>Startling Event/Condition</w:t>
      </w:r>
      <w:r w:rsidR="001563DC" w:rsidRPr="008B1F04">
        <w:rPr>
          <w:b/>
        </w:rPr>
        <w:t xml:space="preserve">. </w:t>
      </w:r>
      <w:r w:rsidR="00A84248" w:rsidRPr="008B1F04">
        <w:rPr>
          <w:rFonts w:cs="Arial"/>
        </w:rPr>
        <w:t xml:space="preserve">Statements properly within the purview of this exception require, from the subjective standpoint of the declarant, </w:t>
      </w:r>
      <w:r w:rsidR="002030C8" w:rsidRPr="008B1F04">
        <w:rPr>
          <w:rFonts w:cs="Arial"/>
        </w:rPr>
        <w:t>“</w:t>
      </w:r>
      <w:r w:rsidR="00A84248" w:rsidRPr="008B1F04">
        <w:rPr>
          <w:rFonts w:cs="Arial"/>
        </w:rPr>
        <w:t>a sufficiently startling experience suspending reflective thought</w:t>
      </w:r>
      <w:r w:rsidR="00A46E84" w:rsidRPr="008B1F04">
        <w:rPr>
          <w:rFonts w:cs="Arial"/>
        </w:rPr>
        <w:t>.</w:t>
      </w:r>
      <w:r w:rsidR="002030C8" w:rsidRPr="008B1F04">
        <w:rPr>
          <w:rFonts w:cs="Arial"/>
        </w:rPr>
        <w:t>”</w:t>
      </w:r>
      <w:r w:rsidR="00A46E84" w:rsidRPr="008B1F04">
        <w:rPr>
          <w:rFonts w:cs="Arial"/>
        </w:rPr>
        <w:t xml:space="preserve"> </w:t>
      </w:r>
      <w:r w:rsidR="0083038F" w:rsidRPr="008B1F04">
        <w:rPr>
          <w:rFonts w:cs="Arial"/>
        </w:rPr>
        <w:t>State v. Smith, 315 N.C. 76, 86 (1985)</w:t>
      </w:r>
      <w:r w:rsidR="00A46E84" w:rsidRPr="008B1F04">
        <w:rPr>
          <w:rFonts w:cs="Arial"/>
        </w:rPr>
        <w:t>.</w:t>
      </w:r>
      <w:r w:rsidR="00493EE6" w:rsidRPr="008B1F04">
        <w:rPr>
          <w:rFonts w:cs="Arial"/>
        </w:rPr>
        <w:t xml:space="preserve"> </w:t>
      </w:r>
      <w:r w:rsidR="00A46E84" w:rsidRPr="008B1F04">
        <w:rPr>
          <w:rFonts w:cs="Arial"/>
        </w:rPr>
        <w:t xml:space="preserve">Examples include being the victim of a crime, </w:t>
      </w:r>
      <w:r w:rsidR="0083038F" w:rsidRPr="008B1F04">
        <w:rPr>
          <w:rFonts w:cs="Arial"/>
        </w:rPr>
        <w:t xml:space="preserve">State v. </w:t>
      </w:r>
      <w:proofErr w:type="spellStart"/>
      <w:r w:rsidR="0083038F" w:rsidRPr="008B1F04">
        <w:rPr>
          <w:rFonts w:cs="Arial"/>
        </w:rPr>
        <w:t>Guice</w:t>
      </w:r>
      <w:proofErr w:type="spellEnd"/>
      <w:r w:rsidR="0083038F" w:rsidRPr="008B1F04">
        <w:rPr>
          <w:rFonts w:cs="Arial"/>
        </w:rPr>
        <w:t>, 141 N.C. App.177, 201 (victim made statement to officer after being dragged out of her neighbor’s house by the defendant)</w:t>
      </w:r>
      <w:r w:rsidR="00A46E84" w:rsidRPr="008B1F04">
        <w:rPr>
          <w:rFonts w:cs="Arial"/>
        </w:rPr>
        <w:t xml:space="preserve">; </w:t>
      </w:r>
      <w:r w:rsidR="0083038F" w:rsidRPr="008B1F04">
        <w:rPr>
          <w:rFonts w:cs="Arial"/>
          <w:i/>
        </w:rPr>
        <w:t>Smith</w:t>
      </w:r>
      <w:r w:rsidR="0083038F" w:rsidRPr="008B1F04">
        <w:rPr>
          <w:rFonts w:cs="Arial"/>
        </w:rPr>
        <w:t>, 315 N.C.at 86-90 (statements by child sexual assault victim)</w:t>
      </w:r>
      <w:r w:rsidR="00A46E84" w:rsidRPr="008B1F04">
        <w:rPr>
          <w:rFonts w:cs="Arial"/>
        </w:rPr>
        <w:t xml:space="preserve">; </w:t>
      </w:r>
      <w:r w:rsidR="0083038F" w:rsidRPr="008B1F04">
        <w:rPr>
          <w:rFonts w:cs="Arial"/>
        </w:rPr>
        <w:t>State v. Thomas, 119 N.C. App. 708, 714 (1995) (child victim made statement after a sexual assault by an adult)</w:t>
      </w:r>
      <w:r w:rsidR="00A46E84" w:rsidRPr="008B1F04">
        <w:rPr>
          <w:rFonts w:cs="Arial"/>
        </w:rPr>
        <w:t>, and l</w:t>
      </w:r>
      <w:r w:rsidR="002220CD" w:rsidRPr="008B1F04">
        <w:rPr>
          <w:rFonts w:cs="Arial"/>
        </w:rPr>
        <w:t>earning that y</w:t>
      </w:r>
      <w:r w:rsidR="00A46E84" w:rsidRPr="008B1F04">
        <w:rPr>
          <w:rFonts w:cs="Arial"/>
        </w:rPr>
        <w:t xml:space="preserve">our spouse has shot another person. </w:t>
      </w:r>
      <w:r w:rsidR="0083038F" w:rsidRPr="008B1F04">
        <w:rPr>
          <w:rFonts w:cs="Arial"/>
        </w:rPr>
        <w:t xml:space="preserve">State v. </w:t>
      </w:r>
      <w:r w:rsidR="00BF4741" w:rsidRPr="008B1F04">
        <w:rPr>
          <w:rFonts w:cs="Arial"/>
        </w:rPr>
        <w:t>Mc</w:t>
      </w:r>
      <w:r w:rsidR="0083038F" w:rsidRPr="008B1F04">
        <w:rPr>
          <w:rFonts w:cs="Arial"/>
        </w:rPr>
        <w:t>L</w:t>
      </w:r>
      <w:r w:rsidR="00BF4741" w:rsidRPr="008B1F04">
        <w:rPr>
          <w:rFonts w:cs="Arial"/>
        </w:rPr>
        <w:t>em</w:t>
      </w:r>
      <w:r w:rsidR="0083038F" w:rsidRPr="008B1F04">
        <w:rPr>
          <w:rFonts w:cs="Arial"/>
        </w:rPr>
        <w:t>ore, 343 N.C. 240, 248 (1996)</w:t>
      </w:r>
      <w:r w:rsidR="00A46E84" w:rsidRPr="008B1F04">
        <w:rPr>
          <w:rFonts w:cs="Arial"/>
        </w:rPr>
        <w:t>.</w:t>
      </w:r>
    </w:p>
    <w:p w14:paraId="136EDF05" w14:textId="77777777" w:rsidR="00925E8E" w:rsidRPr="008B1F04" w:rsidRDefault="00676B14" w:rsidP="00F83AD6">
      <w:pPr>
        <w:pStyle w:val="ListParagraph"/>
        <w:numPr>
          <w:ilvl w:val="0"/>
          <w:numId w:val="35"/>
        </w:numPr>
        <w:rPr>
          <w:rFonts w:cs="Arial"/>
        </w:rPr>
      </w:pPr>
      <w:r w:rsidRPr="008B1F04">
        <w:rPr>
          <w:b/>
        </w:rPr>
        <w:t>Under Stress Caused b</w:t>
      </w:r>
      <w:r w:rsidR="004E0017" w:rsidRPr="008B1F04">
        <w:rPr>
          <w:b/>
        </w:rPr>
        <w:t>y Event/Condition</w:t>
      </w:r>
      <w:r w:rsidR="001563DC" w:rsidRPr="008B1F04">
        <w:rPr>
          <w:b/>
        </w:rPr>
        <w:t xml:space="preserve">. </w:t>
      </w:r>
      <w:r w:rsidR="004E0017" w:rsidRPr="008B1F04">
        <w:rPr>
          <w:rFonts w:cs="Arial"/>
        </w:rPr>
        <w:t>The statement must be made while the declarant is und</w:t>
      </w:r>
      <w:r w:rsidR="00A11380" w:rsidRPr="008B1F04">
        <w:rPr>
          <w:rFonts w:cs="Arial"/>
        </w:rPr>
        <w:t>er</w:t>
      </w:r>
      <w:r w:rsidR="004E0017" w:rsidRPr="008B1F04">
        <w:rPr>
          <w:rFonts w:cs="Arial"/>
        </w:rPr>
        <w:t xml:space="preserve"> the “stress of excitement </w:t>
      </w:r>
      <w:r w:rsidR="004E0017" w:rsidRPr="008B1F04">
        <w:rPr>
          <w:rFonts w:cs="Arial"/>
        </w:rPr>
        <w:lastRenderedPageBreak/>
        <w:t>caused by the event or condition.”</w:t>
      </w:r>
      <w:r w:rsidR="0083038F" w:rsidRPr="008B1F04">
        <w:rPr>
          <w:rFonts w:cs="Arial"/>
          <w:smallCaps/>
        </w:rPr>
        <w:t xml:space="preserve"> N.C. R. Evid. 803(2)</w:t>
      </w:r>
      <w:r w:rsidR="004E0017" w:rsidRPr="008B1F04">
        <w:rPr>
          <w:rFonts w:cs="Arial"/>
        </w:rPr>
        <w:t xml:space="preserve">. </w:t>
      </w:r>
      <w:r w:rsidR="002A418D" w:rsidRPr="008B1F04">
        <w:rPr>
          <w:rFonts w:cs="Arial"/>
        </w:rPr>
        <w:t>The</w:t>
      </w:r>
      <w:r w:rsidR="00A11380" w:rsidRPr="008B1F04">
        <w:rPr>
          <w:rFonts w:cs="Arial"/>
        </w:rPr>
        <w:t xml:space="preserve"> courts have explained that the statement must be </w:t>
      </w:r>
      <w:r w:rsidR="00C75550" w:rsidRPr="008B1F04">
        <w:rPr>
          <w:rFonts w:cs="Arial"/>
        </w:rPr>
        <w:t>“</w:t>
      </w:r>
      <w:r w:rsidR="00A11380" w:rsidRPr="008B1F04">
        <w:rPr>
          <w:rFonts w:cs="Arial"/>
        </w:rPr>
        <w:t>a spontaneous reaction, not one resulting from reflection or fabrication</w:t>
      </w:r>
      <w:r w:rsidR="002220CD" w:rsidRPr="008B1F04">
        <w:rPr>
          <w:rFonts w:cs="Arial"/>
        </w:rPr>
        <w:t>.</w:t>
      </w:r>
      <w:r w:rsidR="00A11380" w:rsidRPr="008B1F04">
        <w:rPr>
          <w:rFonts w:cs="Arial"/>
        </w:rPr>
        <w:t xml:space="preserve">” </w:t>
      </w:r>
      <w:r w:rsidR="0083038F" w:rsidRPr="008B1F04">
        <w:rPr>
          <w:rFonts w:cs="Arial"/>
        </w:rPr>
        <w:t>State v. Smith, 315 N.C. 76, 86 (1985)</w:t>
      </w:r>
      <w:r w:rsidR="00A11380" w:rsidRPr="008B1F04">
        <w:rPr>
          <w:rFonts w:cs="Arial"/>
        </w:rPr>
        <w:t xml:space="preserve">. </w:t>
      </w:r>
      <w:r w:rsidR="0056743F" w:rsidRPr="008B1F04">
        <w:rPr>
          <w:rFonts w:cs="Arial"/>
        </w:rPr>
        <w:t xml:space="preserve">Evidence about the </w:t>
      </w:r>
      <w:r w:rsidR="006F53C2" w:rsidRPr="008B1F04">
        <w:rPr>
          <w:rFonts w:cs="Arial"/>
        </w:rPr>
        <w:t>declarant’s emotional state can support an inference that he or she was under the i</w:t>
      </w:r>
      <w:r w:rsidR="00A11380" w:rsidRPr="008B1F04">
        <w:rPr>
          <w:rFonts w:cs="Arial"/>
        </w:rPr>
        <w:t xml:space="preserve">nfluence of the event. </w:t>
      </w:r>
      <w:proofErr w:type="spellStart"/>
      <w:r w:rsidR="0083038F" w:rsidRPr="008B1F04">
        <w:rPr>
          <w:rFonts w:cs="Arial"/>
          <w:i/>
        </w:rPr>
        <w:t>Guice</w:t>
      </w:r>
      <w:proofErr w:type="spellEnd"/>
      <w:r w:rsidR="0083038F" w:rsidRPr="008B1F04">
        <w:rPr>
          <w:rFonts w:cs="Arial"/>
        </w:rPr>
        <w:t>, 141 N.C. App at 201 (declarant was crying and was so terrified that she was having difficulty breathing)</w:t>
      </w:r>
      <w:r w:rsidR="006F53C2" w:rsidRPr="008B1F04">
        <w:rPr>
          <w:rFonts w:cs="Arial"/>
        </w:rPr>
        <w:t xml:space="preserve">; </w:t>
      </w:r>
      <w:r w:rsidR="0083038F" w:rsidRPr="008B1F04">
        <w:rPr>
          <w:rFonts w:cs="Arial"/>
          <w:i/>
        </w:rPr>
        <w:t>Thomas</w:t>
      </w:r>
      <w:r w:rsidR="0083038F" w:rsidRPr="008B1F04">
        <w:rPr>
          <w:rFonts w:cs="Arial"/>
        </w:rPr>
        <w:t>, 119 N.C. App. at 714 (declarant was crying and upset)</w:t>
      </w:r>
      <w:r w:rsidR="0056743F" w:rsidRPr="008B1F04">
        <w:rPr>
          <w:rFonts w:cs="Arial"/>
        </w:rPr>
        <w:t xml:space="preserve">; </w:t>
      </w:r>
      <w:r w:rsidR="0056743F" w:rsidRPr="008B1F04">
        <w:rPr>
          <w:rFonts w:cs="Arial"/>
          <w:i/>
        </w:rPr>
        <w:t xml:space="preserve">see generally </w:t>
      </w:r>
      <w:r w:rsidR="0056743F" w:rsidRPr="008B1F04">
        <w:rPr>
          <w:rFonts w:cs="Arial"/>
        </w:rPr>
        <w:t xml:space="preserve">2 </w:t>
      </w:r>
      <w:r w:rsidR="0056743F" w:rsidRPr="008B1F04">
        <w:rPr>
          <w:rFonts w:cs="Arial"/>
          <w:smallCaps/>
        </w:rPr>
        <w:t>McCormick</w:t>
      </w:r>
      <w:r w:rsidR="0056743F" w:rsidRPr="008B1F04">
        <w:rPr>
          <w:rFonts w:cs="Arial"/>
        </w:rPr>
        <w:t xml:space="preserve"> at 370 (</w:t>
      </w:r>
      <w:r w:rsidR="00EC5514" w:rsidRPr="008B1F04">
        <w:rPr>
          <w:rFonts w:cs="Arial"/>
        </w:rPr>
        <w:t>“T</w:t>
      </w:r>
      <w:r w:rsidR="0056743F" w:rsidRPr="008B1F04">
        <w:rPr>
          <w:rFonts w:cs="Arial"/>
        </w:rPr>
        <w:t>estimony that the declarant still ap</w:t>
      </w:r>
      <w:r w:rsidR="00A11380" w:rsidRPr="008B1F04">
        <w:rPr>
          <w:rFonts w:cs="Arial"/>
        </w:rPr>
        <w:t xml:space="preserve">peared </w:t>
      </w:r>
      <w:r w:rsidR="00EC5514" w:rsidRPr="008B1F04">
        <w:rPr>
          <w:rFonts w:cs="Arial"/>
        </w:rPr>
        <w:t>‘</w:t>
      </w:r>
      <w:r w:rsidR="00A11380" w:rsidRPr="008B1F04">
        <w:rPr>
          <w:rFonts w:cs="Arial"/>
        </w:rPr>
        <w:t>nervous</w:t>
      </w:r>
      <w:r w:rsidR="00EC5514" w:rsidRPr="008B1F04">
        <w:rPr>
          <w:rFonts w:cs="Arial"/>
        </w:rPr>
        <w:t>’</w:t>
      </w:r>
      <w:r w:rsidR="00A11380" w:rsidRPr="008B1F04">
        <w:rPr>
          <w:rFonts w:cs="Arial"/>
        </w:rPr>
        <w:t xml:space="preserve"> or </w:t>
      </w:r>
      <w:r w:rsidR="00EC5514" w:rsidRPr="008B1F04">
        <w:rPr>
          <w:rFonts w:cs="Arial"/>
        </w:rPr>
        <w:t>‘</w:t>
      </w:r>
      <w:r w:rsidR="00A11380" w:rsidRPr="008B1F04">
        <w:rPr>
          <w:rFonts w:cs="Arial"/>
        </w:rPr>
        <w:t>distraught</w:t>
      </w:r>
      <w:r w:rsidR="00EC5514" w:rsidRPr="008B1F04">
        <w:rPr>
          <w:rFonts w:cs="Arial"/>
        </w:rPr>
        <w:t>’</w:t>
      </w:r>
      <w:r w:rsidR="00A11380" w:rsidRPr="008B1F04">
        <w:rPr>
          <w:rFonts w:cs="Arial"/>
        </w:rPr>
        <w:t xml:space="preserve"> and</w:t>
      </w:r>
      <w:r w:rsidR="0056743F" w:rsidRPr="008B1F04">
        <w:rPr>
          <w:rFonts w:cs="Arial"/>
        </w:rPr>
        <w:t xml:space="preserve"> that there was a reasonable basis for continu</w:t>
      </w:r>
      <w:r w:rsidR="00EC5514" w:rsidRPr="008B1F04">
        <w:rPr>
          <w:rFonts w:cs="Arial"/>
        </w:rPr>
        <w:t>ing</w:t>
      </w:r>
      <w:r w:rsidR="0056743F" w:rsidRPr="008B1F04">
        <w:rPr>
          <w:rFonts w:cs="Arial"/>
        </w:rPr>
        <w:t xml:space="preserve"> emotional upset will often suffice</w:t>
      </w:r>
      <w:r w:rsidR="00EC5514" w:rsidRPr="008B1F04">
        <w:rPr>
          <w:rFonts w:cs="Arial"/>
        </w:rPr>
        <w:t>.”</w:t>
      </w:r>
      <w:r w:rsidR="0056743F" w:rsidRPr="008B1F04">
        <w:rPr>
          <w:rFonts w:cs="Arial"/>
        </w:rPr>
        <w:t>).</w:t>
      </w:r>
    </w:p>
    <w:p w14:paraId="1F6E6DFA" w14:textId="77777777" w:rsidR="0056743F" w:rsidRPr="008B1F04" w:rsidRDefault="006F53C2" w:rsidP="001563DC">
      <w:pPr>
        <w:ind w:left="2880" w:firstLine="360"/>
        <w:rPr>
          <w:rFonts w:cs="Arial"/>
        </w:rPr>
      </w:pPr>
      <w:r w:rsidRPr="008B1F04">
        <w:rPr>
          <w:rFonts w:cs="Arial"/>
        </w:rPr>
        <w:t xml:space="preserve">Because the exception requires that the statement be made while the declarant was still under the stress of the event, there is typically a close temporal nexus between the statement and the event. </w:t>
      </w:r>
      <w:r w:rsidR="0083038F" w:rsidRPr="008B1F04">
        <w:rPr>
          <w:rFonts w:cs="Arial"/>
          <w:i/>
        </w:rPr>
        <w:t>McLemore</w:t>
      </w:r>
      <w:r w:rsidR="0083038F" w:rsidRPr="008B1F04">
        <w:rPr>
          <w:rFonts w:cs="Arial"/>
        </w:rPr>
        <w:t>, 343 N.C. at 248 (declarant/wife made statement approximately three minutes after she learned that her husband shot his mother)</w:t>
      </w:r>
      <w:r w:rsidR="00D04EAC" w:rsidRPr="008B1F04">
        <w:rPr>
          <w:rFonts w:cs="Arial"/>
        </w:rPr>
        <w:t xml:space="preserve">; </w:t>
      </w:r>
      <w:proofErr w:type="spellStart"/>
      <w:r w:rsidR="0083038F" w:rsidRPr="008B1F04">
        <w:rPr>
          <w:rFonts w:cs="Arial"/>
          <w:i/>
        </w:rPr>
        <w:t>Guice</w:t>
      </w:r>
      <w:proofErr w:type="spellEnd"/>
      <w:r w:rsidR="0083038F" w:rsidRPr="008B1F04">
        <w:rPr>
          <w:rFonts w:cs="Arial"/>
        </w:rPr>
        <w:t>, 141 N.C. App. at 201 (statement made within minutes of event)</w:t>
      </w:r>
      <w:r w:rsidRPr="008B1F04">
        <w:rPr>
          <w:rFonts w:cs="Arial"/>
        </w:rPr>
        <w:t>.</w:t>
      </w:r>
      <w:r w:rsidR="00493EE6" w:rsidRPr="008B1F04">
        <w:rPr>
          <w:rFonts w:cs="Arial"/>
        </w:rPr>
        <w:t xml:space="preserve"> </w:t>
      </w:r>
      <w:r w:rsidR="00D04EAC" w:rsidRPr="008B1F04">
        <w:rPr>
          <w:rFonts w:cs="Arial"/>
        </w:rPr>
        <w:t xml:space="preserve">The modern trend, however, is </w:t>
      </w:r>
      <w:r w:rsidR="00056B6D" w:rsidRPr="008B1F04">
        <w:rPr>
          <w:rFonts w:cs="Arial"/>
        </w:rPr>
        <w:t>“</w:t>
      </w:r>
      <w:r w:rsidR="00D04EAC" w:rsidRPr="008B1F04">
        <w:rPr>
          <w:rFonts w:cs="Arial"/>
        </w:rPr>
        <w:t>to consider whether the delay in making the statement provided an opportunity to manufacture or fabricate the statement.</w:t>
      </w:r>
      <w:r w:rsidR="00056B6D" w:rsidRPr="008B1F04">
        <w:rPr>
          <w:rFonts w:cs="Arial"/>
        </w:rPr>
        <w:t>”</w:t>
      </w:r>
      <w:r w:rsidR="00D04EAC" w:rsidRPr="008B1F04">
        <w:rPr>
          <w:rFonts w:cs="Arial"/>
        </w:rPr>
        <w:t xml:space="preserve"> </w:t>
      </w:r>
      <w:r w:rsidR="0083038F" w:rsidRPr="008B1F04">
        <w:rPr>
          <w:rFonts w:cs="Arial"/>
          <w:i/>
        </w:rPr>
        <w:t xml:space="preserve">Smith, </w:t>
      </w:r>
      <w:r w:rsidR="0083038F" w:rsidRPr="008B1F04">
        <w:rPr>
          <w:rFonts w:cs="Arial"/>
        </w:rPr>
        <w:t>315 N.C. at 87 (citation omitted)</w:t>
      </w:r>
      <w:r w:rsidR="00D04EAC" w:rsidRPr="008B1F04">
        <w:rPr>
          <w:rFonts w:cs="Arial"/>
        </w:rPr>
        <w:t>. A useful rule of thumb to apply when considering the temporal connection between the statement and the event or condition is this: “</w:t>
      </w:r>
      <w:r w:rsidR="00EC5514" w:rsidRPr="008B1F04">
        <w:rPr>
          <w:rFonts w:cs="Arial"/>
        </w:rPr>
        <w:t>[</w:t>
      </w:r>
      <w:r w:rsidR="00D04EAC" w:rsidRPr="008B1F04">
        <w:rPr>
          <w:rFonts w:cs="Arial"/>
        </w:rPr>
        <w:t>W</w:t>
      </w:r>
      <w:r w:rsidR="00EC5514" w:rsidRPr="008B1F04">
        <w:rPr>
          <w:rFonts w:cs="Arial"/>
        </w:rPr>
        <w:t>]</w:t>
      </w:r>
      <w:r w:rsidR="00D04EAC" w:rsidRPr="008B1F04">
        <w:rPr>
          <w:rFonts w:cs="Arial"/>
        </w:rPr>
        <w:t xml:space="preserve">here the time interval between the event and the statement is long enough to permit reflective thought, the statement will be excluded in the absence of some proof that the declarant did not in fact engage in a reflective though process.” 2 </w:t>
      </w:r>
      <w:r w:rsidR="00D04EAC" w:rsidRPr="008B1F04">
        <w:rPr>
          <w:rFonts w:cs="Arial"/>
          <w:smallCaps/>
        </w:rPr>
        <w:t>McCormick</w:t>
      </w:r>
      <w:r w:rsidR="00D04EAC" w:rsidRPr="008B1F04">
        <w:rPr>
          <w:rFonts w:cs="Arial"/>
        </w:rPr>
        <w:t xml:space="preserve"> at 370.</w:t>
      </w:r>
    </w:p>
    <w:p w14:paraId="6A7DDB45" w14:textId="77777777" w:rsidR="00F70B05" w:rsidRPr="008B1F04" w:rsidRDefault="0056743F" w:rsidP="00A754B2">
      <w:pPr>
        <w:ind w:left="2880" w:firstLine="360"/>
        <w:rPr>
          <w:rFonts w:cs="Arial"/>
        </w:rPr>
      </w:pPr>
      <w:r w:rsidRPr="008B1F04">
        <w:rPr>
          <w:rFonts w:cs="Arial"/>
        </w:rPr>
        <w:t>W</w:t>
      </w:r>
      <w:r w:rsidR="00F70B05" w:rsidRPr="008B1F04">
        <w:rPr>
          <w:rFonts w:cs="Arial"/>
        </w:rPr>
        <w:t xml:space="preserve">hen considering the spontaneity of statements made by young children, the courts are more flexible regarding the length of time between the startling event and the statement. </w:t>
      </w:r>
      <w:r w:rsidR="0083038F" w:rsidRPr="008B1F04">
        <w:rPr>
          <w:rFonts w:cs="Arial"/>
          <w:i/>
        </w:rPr>
        <w:t>Smith</w:t>
      </w:r>
      <w:r w:rsidR="0083038F" w:rsidRPr="008B1F04">
        <w:rPr>
          <w:rFonts w:cs="Arial"/>
        </w:rPr>
        <w:t>, 315 N.C. at 87-90 (1985)</w:t>
      </w:r>
      <w:r w:rsidR="00F70B05" w:rsidRPr="008B1F04">
        <w:rPr>
          <w:rFonts w:cs="Arial"/>
        </w:rPr>
        <w:t xml:space="preserve">; </w:t>
      </w:r>
      <w:r w:rsidRPr="008B1F04">
        <w:rPr>
          <w:rFonts w:cs="Arial"/>
          <w:i/>
        </w:rPr>
        <w:t xml:space="preserve">see generally </w:t>
      </w:r>
      <w:r w:rsidRPr="008B1F04">
        <w:rPr>
          <w:rFonts w:cs="Arial"/>
        </w:rPr>
        <w:t xml:space="preserve">2 </w:t>
      </w:r>
      <w:r w:rsidRPr="008B1F04">
        <w:rPr>
          <w:rFonts w:cs="Arial"/>
          <w:smallCaps/>
        </w:rPr>
        <w:t>McCormick</w:t>
      </w:r>
      <w:r w:rsidRPr="008B1F04">
        <w:rPr>
          <w:rFonts w:cs="Arial"/>
        </w:rPr>
        <w:t xml:space="preserve"> at 377 (“particularly where children are the victims of sexual </w:t>
      </w:r>
      <w:r w:rsidR="00EC5514" w:rsidRPr="008B1F04">
        <w:rPr>
          <w:rFonts w:cs="Arial"/>
        </w:rPr>
        <w:t>offenses</w:t>
      </w:r>
      <w:r w:rsidRPr="008B1F04">
        <w:rPr>
          <w:rFonts w:cs="Arial"/>
        </w:rPr>
        <w:t>, many courts have liberally interpreted the allowable period of time between the exciting event and the child’s description of it”)</w:t>
      </w:r>
      <w:r w:rsidR="00F70B05" w:rsidRPr="008B1F04">
        <w:rPr>
          <w:rFonts w:cs="Arial"/>
        </w:rPr>
        <w:t>. Thus</w:t>
      </w:r>
      <w:r w:rsidR="00797EF8" w:rsidRPr="008B1F04">
        <w:rPr>
          <w:rFonts w:cs="Arial"/>
        </w:rPr>
        <w:t>,</w:t>
      </w:r>
      <w:r w:rsidR="00F70B05" w:rsidRPr="008B1F04">
        <w:rPr>
          <w:rFonts w:cs="Arial"/>
        </w:rPr>
        <w:t xml:space="preserve"> in </w:t>
      </w:r>
      <w:r w:rsidR="00E76CE4" w:rsidRPr="008B1F04">
        <w:rPr>
          <w:rFonts w:cs="Arial"/>
          <w:i/>
        </w:rPr>
        <w:t>Smith</w:t>
      </w:r>
      <w:r w:rsidR="00E76CE4" w:rsidRPr="008B1F04">
        <w:rPr>
          <w:rFonts w:cs="Arial"/>
        </w:rPr>
        <w:t xml:space="preserve">, </w:t>
      </w:r>
      <w:r w:rsidR="00F70B05" w:rsidRPr="008B1F04">
        <w:rPr>
          <w:rFonts w:cs="Arial"/>
        </w:rPr>
        <w:t>for example, the court held that statements by two small children to their grandmother, made two or three days after</w:t>
      </w:r>
      <w:r w:rsidR="00921B2F" w:rsidRPr="008B1F04">
        <w:rPr>
          <w:rFonts w:cs="Arial"/>
        </w:rPr>
        <w:t xml:space="preserve"> a</w:t>
      </w:r>
      <w:r w:rsidR="00F70B05" w:rsidRPr="008B1F04">
        <w:rPr>
          <w:rFonts w:cs="Arial"/>
        </w:rPr>
        <w:t xml:space="preserve"> sexual </w:t>
      </w:r>
      <w:r w:rsidR="00921B2F" w:rsidRPr="008B1F04">
        <w:rPr>
          <w:rFonts w:cs="Arial"/>
        </w:rPr>
        <w:t>assault</w:t>
      </w:r>
      <w:r w:rsidR="00F70B05" w:rsidRPr="008B1F04">
        <w:rPr>
          <w:rFonts w:cs="Arial"/>
        </w:rPr>
        <w:t>, were excited utterances.</w:t>
      </w:r>
      <w:r w:rsidR="006656E1" w:rsidRPr="008B1F04">
        <w:rPr>
          <w:rFonts w:cs="Arial"/>
        </w:rPr>
        <w:t xml:space="preserve"> 315 N.C. at 90.</w:t>
      </w:r>
      <w:r w:rsidR="00F70B05" w:rsidRPr="008B1F04">
        <w:rPr>
          <w:rFonts w:cs="Arial"/>
        </w:rPr>
        <w:t xml:space="preserve"> </w:t>
      </w:r>
      <w:r w:rsidR="00F70B05" w:rsidRPr="008B1F04">
        <w:rPr>
          <w:rFonts w:cs="Arial"/>
          <w:i/>
        </w:rPr>
        <w:t xml:space="preserve">See also </w:t>
      </w:r>
      <w:r w:rsidR="0083038F" w:rsidRPr="008B1F04">
        <w:rPr>
          <w:rFonts w:cs="Arial"/>
        </w:rPr>
        <w:t>State v. Perkins, 345 N.C. 254, 278-79 (1997) (statement by a three-year-old ten hours after witnessing his sister’s death was an excited utterance)</w:t>
      </w:r>
      <w:r w:rsidR="00F70B05" w:rsidRPr="008B1F04">
        <w:rPr>
          <w:rFonts w:cs="Arial"/>
        </w:rPr>
        <w:t xml:space="preserve">; </w:t>
      </w:r>
      <w:r w:rsidR="0083038F" w:rsidRPr="008B1F04">
        <w:rPr>
          <w:rFonts w:cs="Arial"/>
        </w:rPr>
        <w:t>State v. Reeves, 337 N.C. 700, 728 (1994) (statement by a 2 1/2-year-old a few hours after the murder of the child’s mother was an excited utterance)</w:t>
      </w:r>
      <w:r w:rsidR="00F70B05" w:rsidRPr="008B1F04">
        <w:rPr>
          <w:rFonts w:cs="Arial"/>
        </w:rPr>
        <w:t xml:space="preserve">; </w:t>
      </w:r>
      <w:r w:rsidR="0083038F" w:rsidRPr="008B1F04">
        <w:rPr>
          <w:rFonts w:cs="Arial"/>
        </w:rPr>
        <w:t>In re J.S.B., 183 N.C. App. 192, 199–200 (2007) (statements by a nine-year-old to a detective sixteen hours after witnessing conduct that led to her brother’s death were excited utterances)</w:t>
      </w:r>
      <w:r w:rsidR="002A418D" w:rsidRPr="008B1F04">
        <w:rPr>
          <w:rFonts w:cs="Arial"/>
        </w:rPr>
        <w:t>;</w:t>
      </w:r>
      <w:r w:rsidR="00966DF1" w:rsidRPr="008B1F04">
        <w:rPr>
          <w:rFonts w:cs="Arial"/>
        </w:rPr>
        <w:t xml:space="preserve"> </w:t>
      </w:r>
      <w:r w:rsidR="0083038F" w:rsidRPr="008B1F04">
        <w:rPr>
          <w:rFonts w:cs="Arial"/>
        </w:rPr>
        <w:t>State v. Burgess, 181 N.C. App. 27, 35-36 (2007) (statements were excited utterances when less than twenty-four hours had elapsed between the sexual assault and the child’s statements to her mother)</w:t>
      </w:r>
      <w:r w:rsidR="00F70B05" w:rsidRPr="008B1F04">
        <w:rPr>
          <w:rFonts w:cs="Arial"/>
        </w:rPr>
        <w:t xml:space="preserve">; </w:t>
      </w:r>
      <w:r w:rsidR="0083038F" w:rsidRPr="008B1F04">
        <w:rPr>
          <w:rFonts w:cs="Arial"/>
        </w:rPr>
        <w:t xml:space="preserve">State v. Lowe, 154 N.C. App. 607, 611-13 (2002) (statements by a nine-year-old to a police officer at the hospital several hours after being hit with </w:t>
      </w:r>
      <w:r w:rsidR="0083038F" w:rsidRPr="008B1F04">
        <w:rPr>
          <w:rFonts w:cs="Arial"/>
        </w:rPr>
        <w:lastRenderedPageBreak/>
        <w:t>a pool stick and seeing his father fight with his mother and attack another person were excited utterances)</w:t>
      </w:r>
      <w:r w:rsidR="00F70B05" w:rsidRPr="008B1F04">
        <w:rPr>
          <w:rFonts w:cs="Arial"/>
        </w:rPr>
        <w:t xml:space="preserve">; </w:t>
      </w:r>
      <w:r w:rsidR="0083038F" w:rsidRPr="008B1F04">
        <w:rPr>
          <w:rFonts w:cs="Arial"/>
        </w:rPr>
        <w:t>State v. McGraw, 137 N.C. App. 726, 731 (2000) (statements made by a child victim to the child’s mother no more than thirty minutes after the incident were excited utterances)</w:t>
      </w:r>
      <w:r w:rsidR="00F70B05" w:rsidRPr="008B1F04">
        <w:rPr>
          <w:rFonts w:cs="Arial"/>
        </w:rPr>
        <w:t xml:space="preserve">; </w:t>
      </w:r>
      <w:r w:rsidR="0083038F" w:rsidRPr="008B1F04">
        <w:rPr>
          <w:rFonts w:cs="Arial"/>
        </w:rPr>
        <w:t>State v. Rogers, 109 N.C. App. 491, 501 (1993) (statements made three days after an assault were excited utterances)</w:t>
      </w:r>
      <w:r w:rsidR="00A84248" w:rsidRPr="008B1F04">
        <w:rPr>
          <w:rFonts w:cs="Arial"/>
        </w:rPr>
        <w:t xml:space="preserve">; </w:t>
      </w:r>
      <w:r w:rsidR="0083038F" w:rsidRPr="008B1F04">
        <w:rPr>
          <w:rFonts w:cs="Arial"/>
        </w:rPr>
        <w:t>State v. Thomas, 119 N.C. App. 708, 713 (1995) (child’s statement made four to five days after the incident were excited)</w:t>
      </w:r>
      <w:r w:rsidR="006F53C2" w:rsidRPr="008B1F04">
        <w:rPr>
          <w:rFonts w:cs="Arial"/>
        </w:rPr>
        <w:t xml:space="preserve">. </w:t>
      </w:r>
    </w:p>
    <w:p w14:paraId="7951E2E5" w14:textId="77777777" w:rsidR="006F53C2" w:rsidRPr="008B1F04" w:rsidRDefault="004E0017" w:rsidP="00F83AD6">
      <w:pPr>
        <w:pStyle w:val="ListParagraph"/>
        <w:numPr>
          <w:ilvl w:val="0"/>
          <w:numId w:val="35"/>
        </w:numPr>
        <w:rPr>
          <w:rFonts w:cs="Arial"/>
        </w:rPr>
      </w:pPr>
      <w:r w:rsidRPr="008B1F04">
        <w:rPr>
          <w:b/>
        </w:rPr>
        <w:t>Responses to Questions Not Excluded</w:t>
      </w:r>
      <w:r w:rsidR="001563DC" w:rsidRPr="008B1F04">
        <w:rPr>
          <w:b/>
        </w:rPr>
        <w:t xml:space="preserve">. </w:t>
      </w:r>
      <w:r w:rsidR="006F53C2" w:rsidRPr="008B1F04">
        <w:rPr>
          <w:rFonts w:cs="Arial"/>
        </w:rPr>
        <w:t xml:space="preserve">The North Carolina courts have rejected the argument that statements made in response to questions lack the necessary spontaneity. </w:t>
      </w:r>
      <w:r w:rsidR="0083038F" w:rsidRPr="008B1F04">
        <w:rPr>
          <w:rFonts w:cs="Arial"/>
        </w:rPr>
        <w:t>In re J.S.B., 183 N.C. App.192, 200 (2007)</w:t>
      </w:r>
      <w:r w:rsidR="006F29AF" w:rsidRPr="008B1F04">
        <w:rPr>
          <w:rFonts w:cs="Arial"/>
        </w:rPr>
        <w:t xml:space="preserve">; </w:t>
      </w:r>
      <w:r w:rsidR="0083038F" w:rsidRPr="008B1F04">
        <w:rPr>
          <w:rFonts w:cs="Arial"/>
        </w:rPr>
        <w:t>State v. Lowe, 154 N.C. App. 607, 612 (2002)</w:t>
      </w:r>
      <w:r w:rsidR="00F70B05" w:rsidRPr="008B1F04">
        <w:rPr>
          <w:rFonts w:cs="Arial"/>
        </w:rPr>
        <w:t xml:space="preserve">; </w:t>
      </w:r>
      <w:r w:rsidR="0083038F" w:rsidRPr="008B1F04">
        <w:rPr>
          <w:rFonts w:cs="Arial"/>
        </w:rPr>
        <w:t>State v. Thomas, 119 N.C. App. 708, 714 (1995)</w:t>
      </w:r>
      <w:r w:rsidR="00A84248" w:rsidRPr="008B1F04">
        <w:rPr>
          <w:rFonts w:cs="Arial"/>
        </w:rPr>
        <w:t xml:space="preserve">; </w:t>
      </w:r>
      <w:r w:rsidR="0083038F" w:rsidRPr="008B1F04">
        <w:rPr>
          <w:rFonts w:cs="Arial"/>
        </w:rPr>
        <w:t xml:space="preserve">State v. </w:t>
      </w:r>
      <w:proofErr w:type="spellStart"/>
      <w:r w:rsidR="0083038F" w:rsidRPr="008B1F04">
        <w:rPr>
          <w:rFonts w:cs="Arial"/>
        </w:rPr>
        <w:t>Boczkowski</w:t>
      </w:r>
      <w:proofErr w:type="spellEnd"/>
      <w:r w:rsidR="0083038F" w:rsidRPr="008B1F04">
        <w:rPr>
          <w:rFonts w:cs="Arial"/>
        </w:rPr>
        <w:t xml:space="preserve">, 130 N.C. App. 702, 710 (1998) (citing </w:t>
      </w:r>
      <w:r w:rsidR="0083038F" w:rsidRPr="008B1F04">
        <w:rPr>
          <w:rFonts w:cs="Arial"/>
          <w:i/>
        </w:rPr>
        <w:t>Thomas</w:t>
      </w:r>
      <w:r w:rsidR="0083038F" w:rsidRPr="008B1F04">
        <w:rPr>
          <w:rFonts w:cs="Arial"/>
        </w:rPr>
        <w:t>)</w:t>
      </w:r>
      <w:r w:rsidR="006F53C2" w:rsidRPr="008B1F04">
        <w:rPr>
          <w:rFonts w:cs="Arial"/>
        </w:rPr>
        <w:t>.</w:t>
      </w:r>
    </w:p>
    <w:p w14:paraId="557A5C8F" w14:textId="77777777" w:rsidR="0056743F" w:rsidRPr="008B1F04" w:rsidRDefault="0056743F" w:rsidP="00F83AD6">
      <w:pPr>
        <w:pStyle w:val="ListParagraph"/>
        <w:numPr>
          <w:ilvl w:val="0"/>
          <w:numId w:val="35"/>
        </w:numPr>
        <w:rPr>
          <w:rFonts w:cs="Arial"/>
        </w:rPr>
      </w:pPr>
      <w:r w:rsidRPr="008B1F04">
        <w:rPr>
          <w:b/>
        </w:rPr>
        <w:t>Relating to</w:t>
      </w:r>
      <w:r w:rsidR="006F29AF" w:rsidRPr="008B1F04">
        <w:rPr>
          <w:b/>
        </w:rPr>
        <w:t xml:space="preserve"> the Event or </w:t>
      </w:r>
      <w:r w:rsidRPr="008B1F04">
        <w:rPr>
          <w:b/>
        </w:rPr>
        <w:t>Condition</w:t>
      </w:r>
      <w:r w:rsidR="001563DC" w:rsidRPr="008B1F04">
        <w:rPr>
          <w:b/>
        </w:rPr>
        <w:t xml:space="preserve">. </w:t>
      </w:r>
      <w:r w:rsidRPr="008B1F04">
        <w:rPr>
          <w:rFonts w:cs="Arial"/>
        </w:rPr>
        <w:t>The rule requires that the statement “</w:t>
      </w:r>
      <w:proofErr w:type="spellStart"/>
      <w:r w:rsidRPr="008B1F04">
        <w:rPr>
          <w:rFonts w:cs="Arial"/>
        </w:rPr>
        <w:t>relat</w:t>
      </w:r>
      <w:proofErr w:type="spellEnd"/>
      <w:r w:rsidRPr="008B1F04">
        <w:rPr>
          <w:rFonts w:cs="Arial"/>
        </w:rPr>
        <w:t xml:space="preserve">[e] to” the startling event or condition. This requirement has not been </w:t>
      </w:r>
      <w:r w:rsidR="006F29AF" w:rsidRPr="008B1F04">
        <w:rPr>
          <w:rFonts w:cs="Arial"/>
        </w:rPr>
        <w:t>frequently litigated.</w:t>
      </w:r>
      <w:r w:rsidR="00493EE6" w:rsidRPr="008B1F04">
        <w:rPr>
          <w:rFonts w:cs="Arial"/>
        </w:rPr>
        <w:t xml:space="preserve"> </w:t>
      </w:r>
      <w:r w:rsidR="006F29AF" w:rsidRPr="008B1F04">
        <w:rPr>
          <w:rFonts w:cs="Arial"/>
        </w:rPr>
        <w:t>However, it appears to be</w:t>
      </w:r>
      <w:r w:rsidRPr="008B1F04">
        <w:rPr>
          <w:rFonts w:cs="Arial"/>
        </w:rPr>
        <w:t xml:space="preserve"> broader than the requirement for a present sense impression. </w:t>
      </w:r>
      <w:r w:rsidRPr="008B1F04">
        <w:rPr>
          <w:rFonts w:cs="Arial"/>
          <w:i/>
        </w:rPr>
        <w:t xml:space="preserve">See </w:t>
      </w:r>
      <w:r w:rsidRPr="008B1F04">
        <w:rPr>
          <w:rFonts w:cs="Arial"/>
        </w:rPr>
        <w:t xml:space="preserve">Section </w:t>
      </w:r>
      <w:r w:rsidR="002A418D" w:rsidRPr="008B1F04">
        <w:rPr>
          <w:rFonts w:cs="Arial"/>
        </w:rPr>
        <w:t>II.B.1</w:t>
      </w:r>
      <w:r w:rsidRPr="008B1F04">
        <w:rPr>
          <w:rFonts w:cs="Arial"/>
        </w:rPr>
        <w:t xml:space="preserve"> above (discussing that a present sense impression must describe or explain an event or condition)</w:t>
      </w:r>
      <w:r w:rsidR="006F29AF" w:rsidRPr="008B1F04">
        <w:rPr>
          <w:rFonts w:cs="Arial"/>
        </w:rPr>
        <w:t xml:space="preserve">; </w:t>
      </w:r>
      <w:r w:rsidR="006F29AF" w:rsidRPr="008B1F04">
        <w:rPr>
          <w:rFonts w:cs="Arial"/>
          <w:i/>
        </w:rPr>
        <w:t xml:space="preserve">see generally </w:t>
      </w:r>
      <w:r w:rsidR="0083038F" w:rsidRPr="008B1F04">
        <w:rPr>
          <w:rFonts w:cs="Arial"/>
        </w:rPr>
        <w:t>State v. Anthony, 354 N.C. 372, 403 (2001) (shooting victim’s statement to a neighbor, “[t]</w:t>
      </w:r>
      <w:proofErr w:type="spellStart"/>
      <w:r w:rsidR="0083038F" w:rsidRPr="008B1F04">
        <w:rPr>
          <w:rFonts w:cs="Arial"/>
        </w:rPr>
        <w:t>ake</w:t>
      </w:r>
      <w:proofErr w:type="spellEnd"/>
      <w:r w:rsidR="0083038F" w:rsidRPr="008B1F04">
        <w:rPr>
          <w:rFonts w:cs="Arial"/>
        </w:rPr>
        <w:t xml:space="preserve"> care of my boys,” was admissible under this exception)</w:t>
      </w:r>
      <w:r w:rsidR="006F29AF" w:rsidRPr="008B1F04">
        <w:rPr>
          <w:rFonts w:cs="Arial"/>
        </w:rPr>
        <w:t xml:space="preserve">. </w:t>
      </w:r>
    </w:p>
    <w:p w14:paraId="523DAD0B" w14:textId="77777777" w:rsidR="004C0063" w:rsidRPr="008B1F04" w:rsidRDefault="00645591" w:rsidP="00F83AD6">
      <w:pPr>
        <w:pStyle w:val="ListParagraph"/>
        <w:numPr>
          <w:ilvl w:val="0"/>
          <w:numId w:val="36"/>
        </w:numPr>
        <w:rPr>
          <w:rFonts w:cs="Arial"/>
        </w:rPr>
      </w:pPr>
      <w:bookmarkStart w:id="19" w:name="_Toc405983790"/>
      <w:r w:rsidRPr="00A2261E">
        <w:rPr>
          <w:rStyle w:val="Heading3Char"/>
        </w:rPr>
        <w:t>Then Existing Mental, Emotional, or Physical Condition</w:t>
      </w:r>
      <w:bookmarkEnd w:id="19"/>
      <w:r w:rsidR="004720B5" w:rsidRPr="008B1F04">
        <w:rPr>
          <w:b/>
        </w:rPr>
        <w:t xml:space="preserve">. </w:t>
      </w:r>
      <w:r w:rsidR="006F29AF" w:rsidRPr="008B1F04">
        <w:rPr>
          <w:rFonts w:cs="Arial"/>
        </w:rPr>
        <w:t>Rule 803(3) provides</w:t>
      </w:r>
      <w:r w:rsidRPr="008B1F04">
        <w:rPr>
          <w:rFonts w:cs="Arial"/>
        </w:rPr>
        <w:t xml:space="preserve"> a hearsay exception for a </w:t>
      </w:r>
      <w:r w:rsidR="004C0063" w:rsidRPr="008B1F04">
        <w:rPr>
          <w:rFonts w:cs="Arial"/>
        </w:rPr>
        <w:t xml:space="preserve">statement </w:t>
      </w:r>
      <w:r w:rsidR="00B243D5" w:rsidRPr="008B1F04">
        <w:rPr>
          <w:rFonts w:cs="Arial"/>
        </w:rPr>
        <w:t>“</w:t>
      </w:r>
      <w:r w:rsidR="004C0063" w:rsidRPr="008B1F04">
        <w:rPr>
          <w:rFonts w:cs="Arial"/>
        </w:rPr>
        <w:t>of the declarant's then existing state of mind, emotion, sensation, or physical condition (such as intent, plan, motive, design, mental feeling, pain, and bodily health)</w:t>
      </w:r>
      <w:r w:rsidR="006F29AF" w:rsidRPr="008B1F04">
        <w:rPr>
          <w:rFonts w:cs="Arial"/>
        </w:rPr>
        <w:t>, but not including a statement of memory or belief to prove the fact remembered or believed unless it relates to the execut</w:t>
      </w:r>
      <w:r w:rsidR="002220CD" w:rsidRPr="008B1F04">
        <w:rPr>
          <w:rFonts w:cs="Arial"/>
        </w:rPr>
        <w:t>ion</w:t>
      </w:r>
      <w:r w:rsidR="006F29AF" w:rsidRPr="008B1F04">
        <w:rPr>
          <w:rFonts w:cs="Arial"/>
        </w:rPr>
        <w:t xml:space="preserve">, </w:t>
      </w:r>
      <w:r w:rsidR="0093446D" w:rsidRPr="008B1F04">
        <w:rPr>
          <w:rFonts w:cs="Arial"/>
        </w:rPr>
        <w:t>revocation, identi</w:t>
      </w:r>
      <w:r w:rsidR="00A754B2" w:rsidRPr="008B1F04">
        <w:rPr>
          <w:rFonts w:cs="Arial"/>
        </w:rPr>
        <w:t>fi</w:t>
      </w:r>
      <w:r w:rsidR="0093446D" w:rsidRPr="008B1F04">
        <w:rPr>
          <w:rFonts w:cs="Arial"/>
        </w:rPr>
        <w:t>cation</w:t>
      </w:r>
      <w:r w:rsidR="006F29AF" w:rsidRPr="008B1F04">
        <w:rPr>
          <w:rFonts w:cs="Arial"/>
        </w:rPr>
        <w:t>, or terms of declarant’s will.”</w:t>
      </w:r>
      <w:r w:rsidR="00493EE6" w:rsidRPr="008B1F04">
        <w:rPr>
          <w:rFonts w:cs="Arial"/>
        </w:rPr>
        <w:t xml:space="preserve"> </w:t>
      </w:r>
    </w:p>
    <w:p w14:paraId="232469B2" w14:textId="77777777" w:rsidR="008749D7" w:rsidRPr="008B1F04" w:rsidRDefault="007B1DEA" w:rsidP="00F83AD6">
      <w:pPr>
        <w:pStyle w:val="ListParagraph"/>
        <w:numPr>
          <w:ilvl w:val="0"/>
          <w:numId w:val="37"/>
        </w:numPr>
        <w:rPr>
          <w:rFonts w:cs="Arial"/>
        </w:rPr>
      </w:pPr>
      <w:r w:rsidRPr="008B1F04">
        <w:rPr>
          <w:b/>
        </w:rPr>
        <w:t>Victim’s Fear of Defendant</w:t>
      </w:r>
      <w:r w:rsidR="004720B5" w:rsidRPr="008B1F04">
        <w:rPr>
          <w:b/>
        </w:rPr>
        <w:t xml:space="preserve">. </w:t>
      </w:r>
      <w:r w:rsidRPr="008B1F04">
        <w:rPr>
          <w:rFonts w:cs="Arial"/>
        </w:rPr>
        <w:t>In c</w:t>
      </w:r>
      <w:r w:rsidR="00A3370F" w:rsidRPr="008B1F04">
        <w:rPr>
          <w:rFonts w:cs="Arial"/>
        </w:rPr>
        <w:t xml:space="preserve">riminal cases this exception </w:t>
      </w:r>
      <w:r w:rsidR="00460777" w:rsidRPr="008B1F04">
        <w:rPr>
          <w:rFonts w:cs="Arial"/>
        </w:rPr>
        <w:t>often</w:t>
      </w:r>
      <w:r w:rsidRPr="008B1F04">
        <w:rPr>
          <w:rFonts w:cs="Arial"/>
        </w:rPr>
        <w:t xml:space="preserve"> </w:t>
      </w:r>
      <w:r w:rsidR="00A3370F" w:rsidRPr="008B1F04">
        <w:rPr>
          <w:rFonts w:cs="Arial"/>
        </w:rPr>
        <w:t xml:space="preserve">is </w:t>
      </w:r>
      <w:r w:rsidRPr="008B1F04">
        <w:rPr>
          <w:rFonts w:cs="Arial"/>
        </w:rPr>
        <w:t>used to admit a murder victim’s statement that she fears the defendant</w:t>
      </w:r>
      <w:r w:rsidR="00EA24D6" w:rsidRPr="008B1F04">
        <w:rPr>
          <w:rFonts w:cs="Arial"/>
        </w:rPr>
        <w:t>.</w:t>
      </w:r>
      <w:r w:rsidRPr="008B1F04">
        <w:rPr>
          <w:rFonts w:cs="Arial"/>
        </w:rPr>
        <w:t xml:space="preserve"> </w:t>
      </w:r>
      <w:r w:rsidRPr="008B1F04">
        <w:rPr>
          <w:rFonts w:cs="Arial"/>
          <w:i/>
        </w:rPr>
        <w:t xml:space="preserve">See, e.g., </w:t>
      </w:r>
      <w:r w:rsidR="0083038F" w:rsidRPr="008B1F04">
        <w:rPr>
          <w:rFonts w:cs="Arial"/>
        </w:rPr>
        <w:t>State v. Anthony, 354 N.C. 372, 405 (2001)</w:t>
      </w:r>
      <w:r w:rsidR="00EA24D6" w:rsidRPr="008B1F04">
        <w:rPr>
          <w:rFonts w:cs="Arial"/>
        </w:rPr>
        <w:t xml:space="preserve">; </w:t>
      </w:r>
      <w:r w:rsidR="0083038F" w:rsidRPr="008B1F04">
        <w:rPr>
          <w:rFonts w:cs="Arial"/>
        </w:rPr>
        <w:t>State v. Thibodeaux, 352 N.C. 570, 578 (2000)</w:t>
      </w:r>
      <w:r w:rsidRPr="008B1F04">
        <w:rPr>
          <w:rFonts w:cs="Arial"/>
        </w:rPr>
        <w:t xml:space="preserve">; </w:t>
      </w:r>
      <w:r w:rsidR="0083038F" w:rsidRPr="008B1F04">
        <w:rPr>
          <w:rFonts w:cs="Arial"/>
        </w:rPr>
        <w:t>State v. Gary, 348 N.C. 510, 522 (1998)</w:t>
      </w:r>
      <w:r w:rsidR="007A61E6" w:rsidRPr="008B1F04">
        <w:rPr>
          <w:rFonts w:cs="Arial"/>
        </w:rPr>
        <w:t xml:space="preserve">; </w:t>
      </w:r>
      <w:r w:rsidR="0083038F" w:rsidRPr="008B1F04">
        <w:rPr>
          <w:rFonts w:cs="Arial"/>
        </w:rPr>
        <w:t xml:space="preserve">State v. </w:t>
      </w:r>
      <w:proofErr w:type="spellStart"/>
      <w:r w:rsidR="0083038F" w:rsidRPr="008B1F04">
        <w:rPr>
          <w:rFonts w:cs="Arial"/>
        </w:rPr>
        <w:t>Hipps</w:t>
      </w:r>
      <w:proofErr w:type="spellEnd"/>
      <w:r w:rsidR="0083038F" w:rsidRPr="008B1F04">
        <w:rPr>
          <w:rFonts w:cs="Arial"/>
        </w:rPr>
        <w:t>, 348 N.C. 377, 392-93 (1998)</w:t>
      </w:r>
      <w:r w:rsidR="00E31D8F" w:rsidRPr="008B1F04">
        <w:rPr>
          <w:rFonts w:cs="Arial"/>
        </w:rPr>
        <w:t xml:space="preserve">; </w:t>
      </w:r>
      <w:r w:rsidR="0083038F" w:rsidRPr="008B1F04">
        <w:rPr>
          <w:rFonts w:cs="Arial"/>
        </w:rPr>
        <w:t xml:space="preserve">State v. </w:t>
      </w:r>
      <w:proofErr w:type="spellStart"/>
      <w:r w:rsidR="0083038F" w:rsidRPr="008B1F04">
        <w:rPr>
          <w:rFonts w:cs="Arial"/>
        </w:rPr>
        <w:t>McHone</w:t>
      </w:r>
      <w:proofErr w:type="spellEnd"/>
      <w:r w:rsidR="0083038F" w:rsidRPr="008B1F04">
        <w:rPr>
          <w:rFonts w:cs="Arial"/>
        </w:rPr>
        <w:t>, 334 N.C. 627, 637 (1993)</w:t>
      </w:r>
      <w:r w:rsidRPr="008B1F04">
        <w:rPr>
          <w:rFonts w:cs="Arial"/>
        </w:rPr>
        <w:t>.</w:t>
      </w:r>
      <w:r w:rsidR="00A3370F" w:rsidRPr="008B1F04">
        <w:rPr>
          <w:rFonts w:cs="Arial"/>
        </w:rPr>
        <w:t xml:space="preserve"> Such evidence typically is deemed relevant because it shows the status of the relationship between the defendant and the victim.</w:t>
      </w:r>
      <w:r w:rsidR="00493EE6" w:rsidRPr="008B1F04">
        <w:rPr>
          <w:rFonts w:cs="Arial"/>
        </w:rPr>
        <w:t xml:space="preserve"> </w:t>
      </w:r>
      <w:r w:rsidR="00A3370F" w:rsidRPr="008B1F04">
        <w:rPr>
          <w:rFonts w:cs="Arial"/>
          <w:i/>
        </w:rPr>
        <w:t>See, e</w:t>
      </w:r>
      <w:r w:rsidR="002220CD" w:rsidRPr="008B1F04">
        <w:rPr>
          <w:rFonts w:cs="Arial"/>
          <w:i/>
        </w:rPr>
        <w:t>.</w:t>
      </w:r>
      <w:r w:rsidR="00A3370F" w:rsidRPr="008B1F04">
        <w:rPr>
          <w:rFonts w:cs="Arial"/>
          <w:i/>
        </w:rPr>
        <w:t>g</w:t>
      </w:r>
      <w:r w:rsidR="00A3370F" w:rsidRPr="008B1F04">
        <w:rPr>
          <w:rFonts w:cs="Arial"/>
        </w:rPr>
        <w:t xml:space="preserve">., </w:t>
      </w:r>
      <w:r w:rsidR="0083038F" w:rsidRPr="008B1F04">
        <w:rPr>
          <w:rFonts w:cs="Arial"/>
          <w:i/>
        </w:rPr>
        <w:t>Thibodeaux</w:t>
      </w:r>
      <w:r w:rsidR="0083038F" w:rsidRPr="008B1F04">
        <w:rPr>
          <w:rFonts w:cs="Arial"/>
        </w:rPr>
        <w:t>, 352 N.C. at 578</w:t>
      </w:r>
      <w:r w:rsidR="00A3370F" w:rsidRPr="008B1F04">
        <w:rPr>
          <w:rFonts w:cs="Arial"/>
        </w:rPr>
        <w:t>.</w:t>
      </w:r>
      <w:r w:rsidRPr="008B1F04">
        <w:rPr>
          <w:rFonts w:cs="Arial"/>
        </w:rPr>
        <w:t xml:space="preserve"> The </w:t>
      </w:r>
      <w:r w:rsidR="007A61E6" w:rsidRPr="008B1F04">
        <w:rPr>
          <w:rFonts w:cs="Arial"/>
        </w:rPr>
        <w:t>victim need not expressly state his or her fear of the defendant for the statement</w:t>
      </w:r>
      <w:r w:rsidR="00290E43" w:rsidRPr="008B1F04">
        <w:rPr>
          <w:rFonts w:cs="Arial"/>
        </w:rPr>
        <w:t xml:space="preserve"> to fall within this exception</w:t>
      </w:r>
      <w:r w:rsidR="007A61E6" w:rsidRPr="008B1F04">
        <w:rPr>
          <w:rFonts w:cs="Arial"/>
        </w:rPr>
        <w:t xml:space="preserve">. </w:t>
      </w:r>
      <w:r w:rsidRPr="008B1F04">
        <w:rPr>
          <w:rFonts w:cs="Arial"/>
        </w:rPr>
        <w:t xml:space="preserve">In </w:t>
      </w:r>
      <w:r w:rsidR="0083038F" w:rsidRPr="008B1F04">
        <w:rPr>
          <w:rFonts w:cs="Arial"/>
          <w:i/>
        </w:rPr>
        <w:t>State v. Dawkins</w:t>
      </w:r>
      <w:r w:rsidR="0083038F" w:rsidRPr="008B1F04">
        <w:rPr>
          <w:rFonts w:cs="Arial"/>
        </w:rPr>
        <w:t>, 162 N.C. App. 231, 235 (2004)</w:t>
      </w:r>
      <w:r w:rsidRPr="008B1F04">
        <w:rPr>
          <w:rFonts w:cs="Arial"/>
        </w:rPr>
        <w:t>, for example, the victim gave a witness photographs showing the victim with a black eye and told the witness to keep the photographs “and if anything should happen, to give them to the police.” The court held that</w:t>
      </w:r>
      <w:r w:rsidR="00290E43" w:rsidRPr="008B1F04">
        <w:rPr>
          <w:rFonts w:cs="Arial"/>
        </w:rPr>
        <w:t xml:space="preserve"> although</w:t>
      </w:r>
      <w:r w:rsidRPr="008B1F04">
        <w:rPr>
          <w:rFonts w:cs="Arial"/>
        </w:rPr>
        <w:t xml:space="preserve"> </w:t>
      </w:r>
      <w:r w:rsidR="00797EF8" w:rsidRPr="008B1F04">
        <w:rPr>
          <w:rFonts w:cs="Arial"/>
        </w:rPr>
        <w:t>the statement itself contained “</w:t>
      </w:r>
      <w:r w:rsidRPr="008B1F04">
        <w:rPr>
          <w:rFonts w:cs="Arial"/>
        </w:rPr>
        <w:t>no express declaration of fear</w:t>
      </w:r>
      <w:r w:rsidR="004C0EAF" w:rsidRPr="008B1F04">
        <w:rPr>
          <w:rFonts w:cs="Arial"/>
        </w:rPr>
        <w:t xml:space="preserve"> . . . </w:t>
      </w:r>
      <w:r w:rsidRPr="008B1F04">
        <w:rPr>
          <w:rFonts w:cs="Arial"/>
        </w:rPr>
        <w:t xml:space="preserve">the attendant circumstances </w:t>
      </w:r>
      <w:r w:rsidR="004C0EAF" w:rsidRPr="008B1F04">
        <w:rPr>
          <w:rFonts w:cs="Arial"/>
        </w:rPr>
        <w:t>[</w:t>
      </w:r>
      <w:r w:rsidRPr="008B1F04">
        <w:rPr>
          <w:rFonts w:cs="Arial"/>
        </w:rPr>
        <w:t>g</w:t>
      </w:r>
      <w:r w:rsidR="004C0EAF" w:rsidRPr="008B1F04">
        <w:rPr>
          <w:rFonts w:cs="Arial"/>
        </w:rPr>
        <w:t>a</w:t>
      </w:r>
      <w:r w:rsidRPr="008B1F04">
        <w:rPr>
          <w:rFonts w:cs="Arial"/>
        </w:rPr>
        <w:t>ve</w:t>
      </w:r>
      <w:r w:rsidR="004C0EAF" w:rsidRPr="008B1F04">
        <w:rPr>
          <w:rFonts w:cs="Arial"/>
        </w:rPr>
        <w:t>]</w:t>
      </w:r>
      <w:r w:rsidRPr="008B1F04">
        <w:rPr>
          <w:rFonts w:cs="Arial"/>
        </w:rPr>
        <w:t xml:space="preserve"> context to the victim's statement and clearly reflect the victim's fearful state of mind.”</w:t>
      </w:r>
      <w:r w:rsidR="00797EF8" w:rsidRPr="008B1F04">
        <w:rPr>
          <w:rFonts w:cs="Arial"/>
        </w:rPr>
        <w:t xml:space="preserve"> </w:t>
      </w:r>
    </w:p>
    <w:p w14:paraId="46F79E51" w14:textId="77777777" w:rsidR="00383CAC" w:rsidRPr="008B1F04" w:rsidRDefault="00383CAC" w:rsidP="004720B5">
      <w:pPr>
        <w:ind w:left="2880" w:firstLine="360"/>
        <w:rPr>
          <w:rFonts w:cs="Arial"/>
        </w:rPr>
      </w:pPr>
      <w:r w:rsidRPr="008B1F04">
        <w:rPr>
          <w:rFonts w:cs="Arial"/>
        </w:rPr>
        <w:lastRenderedPageBreak/>
        <w:t xml:space="preserve">In sexual assault cases, the victim’s statements indicating fear of the defendant have been held admissible under this exception and relevant </w:t>
      </w:r>
      <w:r w:rsidR="002A418D" w:rsidRPr="008B1F04">
        <w:rPr>
          <w:rFonts w:cs="Arial"/>
        </w:rPr>
        <w:t xml:space="preserve">to </w:t>
      </w:r>
      <w:r w:rsidRPr="008B1F04">
        <w:rPr>
          <w:rFonts w:cs="Arial"/>
        </w:rPr>
        <w:t xml:space="preserve">whether the activity was committed by force and against the victim’s will. </w:t>
      </w:r>
      <w:r w:rsidR="0083038F" w:rsidRPr="008B1F04">
        <w:rPr>
          <w:rFonts w:cs="Arial"/>
        </w:rPr>
        <w:t>State v. Locklear, 320 N.C. 754, 760 (1987)</w:t>
      </w:r>
      <w:r w:rsidRPr="008B1F04">
        <w:rPr>
          <w:rFonts w:cs="Arial"/>
        </w:rPr>
        <w:t xml:space="preserve">. </w:t>
      </w:r>
    </w:p>
    <w:p w14:paraId="24815C4C" w14:textId="77777777" w:rsidR="00D754E1" w:rsidRPr="008B1F04" w:rsidRDefault="00676B14" w:rsidP="00F83AD6">
      <w:pPr>
        <w:pStyle w:val="ListParagraph"/>
        <w:numPr>
          <w:ilvl w:val="0"/>
          <w:numId w:val="37"/>
        </w:numPr>
        <w:rPr>
          <w:rFonts w:cs="Arial"/>
        </w:rPr>
      </w:pPr>
      <w:r w:rsidRPr="008B1F04">
        <w:rPr>
          <w:b/>
        </w:rPr>
        <w:t>Frustration w</w:t>
      </w:r>
      <w:r w:rsidR="00E31D8F" w:rsidRPr="008B1F04">
        <w:rPr>
          <w:b/>
        </w:rPr>
        <w:t xml:space="preserve">ith/Concerns </w:t>
      </w:r>
      <w:r w:rsidRPr="008B1F04">
        <w:rPr>
          <w:b/>
        </w:rPr>
        <w:t>a</w:t>
      </w:r>
      <w:r w:rsidR="00E31D8F" w:rsidRPr="008B1F04">
        <w:rPr>
          <w:b/>
        </w:rPr>
        <w:t>bout The Defendant</w:t>
      </w:r>
      <w:r w:rsidR="004720B5" w:rsidRPr="008B1F04">
        <w:rPr>
          <w:b/>
        </w:rPr>
        <w:t xml:space="preserve">. </w:t>
      </w:r>
      <w:r w:rsidR="008749D7" w:rsidRPr="008B1F04">
        <w:rPr>
          <w:rFonts w:cs="Arial"/>
        </w:rPr>
        <w:t xml:space="preserve">Statements </w:t>
      </w:r>
      <w:r w:rsidR="00D754E1" w:rsidRPr="008B1F04">
        <w:rPr>
          <w:rFonts w:cs="Arial"/>
        </w:rPr>
        <w:t xml:space="preserve">sometimes </w:t>
      </w:r>
      <w:r w:rsidR="008749D7" w:rsidRPr="008B1F04">
        <w:rPr>
          <w:rFonts w:cs="Arial"/>
        </w:rPr>
        <w:t xml:space="preserve">are </w:t>
      </w:r>
      <w:r w:rsidR="00D754E1" w:rsidRPr="008B1F04">
        <w:rPr>
          <w:rFonts w:cs="Arial"/>
        </w:rPr>
        <w:t xml:space="preserve">admitted under this exception when offered to show a victim’s frustration with or concerns about the defendant. </w:t>
      </w:r>
      <w:r w:rsidR="0083038F" w:rsidRPr="008B1F04">
        <w:rPr>
          <w:rFonts w:cs="Arial"/>
        </w:rPr>
        <w:t>State v. Carroll, 356 N.C. 526, 542-43 (2002) (declarant’s statements that the defendant was “a crack head and I wish he would leave” and that she “was tired of defendant taking her money to buy drugs and that she ‘wanted him gone’” were properly admitted because they showed that she was upset by the defendant’s behavior)</w:t>
      </w:r>
      <w:r w:rsidR="00E41DAE" w:rsidRPr="008B1F04">
        <w:rPr>
          <w:rFonts w:cs="Arial"/>
        </w:rPr>
        <w:t xml:space="preserve">; </w:t>
      </w:r>
      <w:r w:rsidR="0083038F" w:rsidRPr="008B1F04">
        <w:rPr>
          <w:rFonts w:cs="Arial"/>
        </w:rPr>
        <w:t>State v. King, 353 N.C. 457, 477 (2001) (statements in the victim’s diary about her frustration with the defendant and her intent to end their marriage were admissible)</w:t>
      </w:r>
      <w:r w:rsidR="00EA24D6" w:rsidRPr="008B1F04">
        <w:rPr>
          <w:rFonts w:cs="Arial"/>
        </w:rPr>
        <w:t xml:space="preserve">; </w:t>
      </w:r>
      <w:r w:rsidR="0083038F" w:rsidRPr="008B1F04">
        <w:rPr>
          <w:rFonts w:cs="Arial"/>
        </w:rPr>
        <w:t>State v. Bishop, 346 N.C. 365, 379-80 (1997) (victim's statements were properly admitted to show motive where they expressed her “concern about the defendant's handling of her real estate transactions and her intent to document the defendant's debt, to seek repayment, and to confront” the defendant about stealing from her)</w:t>
      </w:r>
      <w:r w:rsidR="00D754E1" w:rsidRPr="008B1F04">
        <w:rPr>
          <w:rFonts w:cs="Arial"/>
        </w:rPr>
        <w:t>.</w:t>
      </w:r>
    </w:p>
    <w:p w14:paraId="11BEA568" w14:textId="77777777" w:rsidR="004720B5" w:rsidRPr="008B1F04" w:rsidRDefault="002E5C42" w:rsidP="00F83AD6">
      <w:pPr>
        <w:pStyle w:val="ListParagraph"/>
        <w:numPr>
          <w:ilvl w:val="0"/>
          <w:numId w:val="37"/>
        </w:numPr>
        <w:rPr>
          <w:rFonts w:eastAsia="Times New Roman" w:cs="Arial"/>
        </w:rPr>
      </w:pPr>
      <w:r w:rsidRPr="008B1F04">
        <w:rPr>
          <w:b/>
        </w:rPr>
        <w:t>Intent to Engage in a Future Act</w:t>
      </w:r>
      <w:r w:rsidR="004720B5" w:rsidRPr="008B1F04">
        <w:t xml:space="preserve">. </w:t>
      </w:r>
      <w:r w:rsidRPr="008B1F04">
        <w:rPr>
          <w:rFonts w:eastAsia="Times New Roman" w:cs="Arial"/>
        </w:rPr>
        <w:t>Another common scenario when this exception arises is when a declarant’s statement is admitted t</w:t>
      </w:r>
      <w:r w:rsidR="008E71B8" w:rsidRPr="008B1F04">
        <w:rPr>
          <w:rFonts w:eastAsia="Times New Roman" w:cs="Arial"/>
        </w:rPr>
        <w:t xml:space="preserve">o show </w:t>
      </w:r>
      <w:r w:rsidR="00797EF8" w:rsidRPr="008B1F04">
        <w:rPr>
          <w:rFonts w:eastAsia="Times New Roman" w:cs="Arial"/>
        </w:rPr>
        <w:t xml:space="preserve">the declarant’s </w:t>
      </w:r>
      <w:r w:rsidR="008E71B8" w:rsidRPr="008B1F04">
        <w:rPr>
          <w:rFonts w:eastAsia="Times New Roman" w:cs="Arial"/>
        </w:rPr>
        <w:t>intent to engage in a future</w:t>
      </w:r>
      <w:r w:rsidRPr="008B1F04">
        <w:rPr>
          <w:rFonts w:eastAsia="Times New Roman" w:cs="Arial"/>
        </w:rPr>
        <w:t xml:space="preserve"> act. Consider for example the following statement made by a murder victim to a neighbor: “I’m not feeling well today. I am about to leave to spend the night at my boyfriend’s house so that he can keep an eye on me.” This statement could be admitted under the Rule 803(3) exception to establish circumstantially that the victim was at her boyfriend’s house on the night of her murder.</w:t>
      </w:r>
      <w:r w:rsidR="00E811FA" w:rsidRPr="008B1F04">
        <w:rPr>
          <w:rFonts w:eastAsia="Times New Roman" w:cs="Arial"/>
        </w:rPr>
        <w:t xml:space="preserve"> </w:t>
      </w:r>
      <w:r w:rsidR="0083038F" w:rsidRPr="008B1F04">
        <w:rPr>
          <w:rFonts w:eastAsia="Times New Roman" w:cs="Arial"/>
        </w:rPr>
        <w:t>State v. Anthony, 354 N.C. 372, 405 (2001) (in a murder case, the victim’s statements that she intended to go to court the next day to get a domestic violence protective order and restraining order were admissible as her then existing intent and plan to engage in a future act)</w:t>
      </w:r>
      <w:r w:rsidR="002220CD" w:rsidRPr="008B1F04">
        <w:rPr>
          <w:rFonts w:eastAsia="Times New Roman" w:cs="Arial"/>
        </w:rPr>
        <w:t>;</w:t>
      </w:r>
      <w:r w:rsidR="008E71B8" w:rsidRPr="008B1F04">
        <w:rPr>
          <w:rFonts w:eastAsia="Times New Roman" w:cs="Arial"/>
        </w:rPr>
        <w:t xml:space="preserve"> </w:t>
      </w:r>
      <w:r w:rsidR="0083038F" w:rsidRPr="008B1F04">
        <w:rPr>
          <w:rFonts w:eastAsia="Times New Roman" w:cs="Arial"/>
        </w:rPr>
        <w:t>State v. Braxton, 352 N.C. 158, 190-91 (2000) (a declarant’s statement that he was going to approach the defendant about straightening out the alleged debt owed by the victim was admissible under this rationale)</w:t>
      </w:r>
      <w:r w:rsidR="001633E0" w:rsidRPr="008B1F04">
        <w:rPr>
          <w:rFonts w:eastAsia="Times New Roman" w:cs="Arial"/>
        </w:rPr>
        <w:t xml:space="preserve">; </w:t>
      </w:r>
      <w:r w:rsidR="0083038F" w:rsidRPr="008B1F04">
        <w:rPr>
          <w:rFonts w:eastAsia="Times New Roman" w:cs="Arial"/>
        </w:rPr>
        <w:t>State v. Rivera, 350 N.C. 285, 290 (1999) (trial court erred by excluding defense evidence that a declarant stated “I got these two dudes here” who would frame the defendant for the crime; the statements showed the declarant’s “intent to direct or assist the two men in executing the plan”)</w:t>
      </w:r>
      <w:r w:rsidR="001633E0" w:rsidRPr="008B1F04">
        <w:rPr>
          <w:rFonts w:eastAsia="Times New Roman" w:cs="Arial"/>
        </w:rPr>
        <w:t xml:space="preserve">; </w:t>
      </w:r>
      <w:r w:rsidR="0083038F" w:rsidRPr="008B1F04">
        <w:rPr>
          <w:rFonts w:eastAsia="Times New Roman" w:cs="Arial"/>
        </w:rPr>
        <w:t xml:space="preserve">State v. </w:t>
      </w:r>
      <w:proofErr w:type="spellStart"/>
      <w:r w:rsidR="0083038F" w:rsidRPr="008B1F04">
        <w:rPr>
          <w:rFonts w:eastAsia="Times New Roman" w:cs="Arial"/>
        </w:rPr>
        <w:t>Ransome</w:t>
      </w:r>
      <w:proofErr w:type="spellEnd"/>
      <w:r w:rsidR="0083038F" w:rsidRPr="008B1F04">
        <w:rPr>
          <w:rFonts w:eastAsia="Times New Roman" w:cs="Arial"/>
        </w:rPr>
        <w:t>, 342 N.C. 847, 852 (1996) (the trial court erred by excluding defense evidence that the victims stated that they wanted to “jump” or fight with the defendant; the statements showed that declarants’ intent to be the aggressors in a confrontation with the defendant)</w:t>
      </w:r>
      <w:r w:rsidR="008E71B8" w:rsidRPr="008B1F04">
        <w:rPr>
          <w:rFonts w:eastAsia="Times New Roman" w:cs="Arial"/>
        </w:rPr>
        <w:t xml:space="preserve">; </w:t>
      </w:r>
      <w:r w:rsidR="0083038F" w:rsidRPr="008B1F04">
        <w:rPr>
          <w:rFonts w:eastAsia="Times New Roman" w:cs="Arial"/>
        </w:rPr>
        <w:t xml:space="preserve">State v. Bryant, 337 N.C. 298, 309-10 (1994) (the trial court erred by excluding the defendant’s statement to his sister that he was going to meet two guys to buy stolen merchandise; the evidence was offered to show that the </w:t>
      </w:r>
      <w:r w:rsidR="0083038F" w:rsidRPr="008B1F04">
        <w:rPr>
          <w:rFonts w:eastAsia="Times New Roman" w:cs="Arial"/>
        </w:rPr>
        <w:lastRenderedPageBreak/>
        <w:t>defendant did not go the murder victim’s trailer)</w:t>
      </w:r>
      <w:r w:rsidR="008E71B8" w:rsidRPr="008B1F04">
        <w:rPr>
          <w:rFonts w:eastAsia="Times New Roman" w:cs="Arial"/>
        </w:rPr>
        <w:t xml:space="preserve">; </w:t>
      </w:r>
      <w:r w:rsidR="0083038F" w:rsidRPr="008B1F04">
        <w:rPr>
          <w:rFonts w:eastAsia="Times New Roman" w:cs="Arial"/>
        </w:rPr>
        <w:t>State v. Sneed, 327 N.C. 266, 271 (1990) (the trial court erred by excluding defense evidence that a third person stated that he wanted to rob the service station; the evidence showed of the declarant’s intent to engage in a future act and was evidence of another’s guilt)</w:t>
      </w:r>
      <w:r w:rsidR="00863A45" w:rsidRPr="008B1F04">
        <w:rPr>
          <w:rFonts w:eastAsia="Times New Roman" w:cs="Arial"/>
        </w:rPr>
        <w:t xml:space="preserve">; </w:t>
      </w:r>
      <w:r w:rsidR="0083038F" w:rsidRPr="008B1F04">
        <w:rPr>
          <w:rFonts w:eastAsia="Times New Roman" w:cs="Arial"/>
        </w:rPr>
        <w:t>State v. Coffey, 326 N.C. 268, 286 (1990) (statement by child murder victim that she was going fishing with a nice gray-haired man on the day she disappeared was admissible under this exception)</w:t>
      </w:r>
      <w:r w:rsidR="00863A45" w:rsidRPr="008B1F04">
        <w:rPr>
          <w:rFonts w:eastAsia="Times New Roman" w:cs="Arial"/>
        </w:rPr>
        <w:t>.</w:t>
      </w:r>
    </w:p>
    <w:p w14:paraId="59DC396E" w14:textId="77777777" w:rsidR="002E5C42" w:rsidRPr="008B1F04" w:rsidRDefault="008E71B8" w:rsidP="004720B5">
      <w:pPr>
        <w:pStyle w:val="ListParagraph"/>
        <w:ind w:left="2880" w:firstLine="360"/>
        <w:rPr>
          <w:rFonts w:eastAsia="Times New Roman" w:cs="Arial"/>
        </w:rPr>
      </w:pPr>
      <w:r w:rsidRPr="008B1F04">
        <w:rPr>
          <w:rFonts w:eastAsia="Times New Roman" w:cs="Arial"/>
        </w:rPr>
        <w:t xml:space="preserve">When offered to show </w:t>
      </w:r>
      <w:r w:rsidR="00797EF8" w:rsidRPr="008B1F04">
        <w:rPr>
          <w:rFonts w:eastAsia="Times New Roman" w:cs="Arial"/>
        </w:rPr>
        <w:t xml:space="preserve">the declarant’s </w:t>
      </w:r>
      <w:r w:rsidRPr="008B1F04">
        <w:rPr>
          <w:rFonts w:eastAsia="Times New Roman" w:cs="Arial"/>
        </w:rPr>
        <w:t xml:space="preserve">intent to engage in a future act, there is no temporal requirement between the statement and the act intended. </w:t>
      </w:r>
      <w:r w:rsidR="0083038F" w:rsidRPr="008B1F04">
        <w:rPr>
          <w:rFonts w:eastAsia="Times New Roman" w:cs="Arial"/>
          <w:iCs/>
        </w:rPr>
        <w:t>State v. Taylor</w:t>
      </w:r>
      <w:r w:rsidR="0083038F" w:rsidRPr="008B1F04">
        <w:rPr>
          <w:rFonts w:eastAsia="Times New Roman" w:cs="Arial"/>
        </w:rPr>
        <w:t>, 332 N.C. 372, 386-87 (1992) (rejecting the defendant’s argument that the hearsay statement was not made close enough in time to the future event; “Rule 803(3) does not contain a requirement that the declarant’s statement must be closely related in time to the future act intended”)</w:t>
      </w:r>
      <w:r w:rsidRPr="008B1F04">
        <w:rPr>
          <w:rFonts w:eastAsia="Times New Roman" w:cs="Arial"/>
        </w:rPr>
        <w:t>.</w:t>
      </w:r>
    </w:p>
    <w:p w14:paraId="70942911" w14:textId="77777777" w:rsidR="004720B5" w:rsidRPr="008B1F04" w:rsidRDefault="002E5C42" w:rsidP="00F83AD6">
      <w:pPr>
        <w:pStyle w:val="ListParagraph"/>
        <w:numPr>
          <w:ilvl w:val="0"/>
          <w:numId w:val="37"/>
        </w:numPr>
        <w:rPr>
          <w:rFonts w:cs="Arial"/>
        </w:rPr>
      </w:pPr>
      <w:r w:rsidRPr="008B1F04">
        <w:rPr>
          <w:b/>
        </w:rPr>
        <w:t>Statements of Fact</w:t>
      </w:r>
      <w:r w:rsidR="004720B5" w:rsidRPr="008B1F04">
        <w:rPr>
          <w:b/>
        </w:rPr>
        <w:t xml:space="preserve">. </w:t>
      </w:r>
      <w:r w:rsidR="00383CAC" w:rsidRPr="008B1F04">
        <w:rPr>
          <w:rFonts w:cs="Arial"/>
        </w:rPr>
        <w:t xml:space="preserve">Sometimes statements of </w:t>
      </w:r>
      <w:r w:rsidRPr="008B1F04">
        <w:rPr>
          <w:rFonts w:cs="Arial"/>
        </w:rPr>
        <w:t>emotion</w:t>
      </w:r>
      <w:r w:rsidR="00383CAC" w:rsidRPr="008B1F04">
        <w:rPr>
          <w:rFonts w:cs="Arial"/>
        </w:rPr>
        <w:t xml:space="preserve"> will be accompanied by factual statements. </w:t>
      </w:r>
      <w:r w:rsidR="00460777" w:rsidRPr="008B1F04">
        <w:rPr>
          <w:rFonts w:cs="Arial"/>
        </w:rPr>
        <w:t xml:space="preserve">For example, the victim/declarant says: “I’m afraid of </w:t>
      </w:r>
      <w:r w:rsidR="002A418D" w:rsidRPr="008B1F04">
        <w:rPr>
          <w:rFonts w:cs="Arial"/>
        </w:rPr>
        <w:t xml:space="preserve">the </w:t>
      </w:r>
      <w:r w:rsidR="00460777" w:rsidRPr="008B1F04">
        <w:rPr>
          <w:rFonts w:cs="Arial"/>
        </w:rPr>
        <w:t xml:space="preserve">defendant because he has beaten me up before.” The first part of the victim’s statement recounts an emotion and is admissible under the rule. The second part recounts a fact. </w:t>
      </w:r>
      <w:r w:rsidR="00863A45" w:rsidRPr="008B1F04">
        <w:rPr>
          <w:rFonts w:cs="Arial"/>
        </w:rPr>
        <w:t xml:space="preserve">A party </w:t>
      </w:r>
      <w:r w:rsidR="00383CAC" w:rsidRPr="008B1F04">
        <w:rPr>
          <w:rFonts w:cs="Arial"/>
        </w:rPr>
        <w:t xml:space="preserve">may seek to exclude </w:t>
      </w:r>
      <w:r w:rsidR="00460777" w:rsidRPr="008B1F04">
        <w:rPr>
          <w:rFonts w:cs="Arial"/>
        </w:rPr>
        <w:t>f</w:t>
      </w:r>
      <w:r w:rsidR="00383CAC" w:rsidRPr="008B1F04">
        <w:rPr>
          <w:rFonts w:cs="Arial"/>
        </w:rPr>
        <w:t>actual statements,</w:t>
      </w:r>
      <w:r w:rsidR="00460777" w:rsidRPr="008B1F04">
        <w:rPr>
          <w:rFonts w:cs="Arial"/>
        </w:rPr>
        <w:t xml:space="preserve"> like those in this example, arguing</w:t>
      </w:r>
      <w:r w:rsidR="00383CAC" w:rsidRPr="008B1F04">
        <w:rPr>
          <w:rFonts w:cs="Arial"/>
        </w:rPr>
        <w:t xml:space="preserve"> that th</w:t>
      </w:r>
      <w:r w:rsidR="00460777" w:rsidRPr="008B1F04">
        <w:rPr>
          <w:rFonts w:cs="Arial"/>
        </w:rPr>
        <w:t xml:space="preserve">e </w:t>
      </w:r>
      <w:r w:rsidR="00383CAC" w:rsidRPr="008B1F04">
        <w:rPr>
          <w:rFonts w:cs="Arial"/>
        </w:rPr>
        <w:t>exception</w:t>
      </w:r>
      <w:r w:rsidR="00232D23" w:rsidRPr="008B1F04">
        <w:rPr>
          <w:rFonts w:cs="Arial"/>
        </w:rPr>
        <w:t>–by its terms</w:t>
      </w:r>
      <w:r w:rsidR="002220CD" w:rsidRPr="008B1F04">
        <w:rPr>
          <w:rFonts w:cs="Arial"/>
        </w:rPr>
        <w:t>–</w:t>
      </w:r>
      <w:r w:rsidR="00EF7B9A" w:rsidRPr="008B1F04">
        <w:rPr>
          <w:rFonts w:cs="Arial"/>
        </w:rPr>
        <w:t xml:space="preserve">does not include a statement of memory or belief to prove the fact remembered or believed. </w:t>
      </w:r>
      <w:r w:rsidR="0083038F" w:rsidRPr="008B1F04">
        <w:rPr>
          <w:rFonts w:cs="Arial"/>
          <w:smallCaps/>
        </w:rPr>
        <w:t>N.C. R. Evid. 803(3)</w:t>
      </w:r>
      <w:r w:rsidR="00EF7B9A" w:rsidRPr="008B1F04">
        <w:rPr>
          <w:rFonts w:cs="Arial"/>
        </w:rPr>
        <w:t xml:space="preserve">. </w:t>
      </w:r>
      <w:r w:rsidR="00232D23" w:rsidRPr="008B1F04">
        <w:rPr>
          <w:rFonts w:cs="Arial"/>
        </w:rPr>
        <w:t>Notwithstanding the text of the Rule, the cases hold that</w:t>
      </w:r>
      <w:r w:rsidR="00EF7B9A" w:rsidRPr="008B1F04">
        <w:rPr>
          <w:rFonts w:cs="Arial"/>
        </w:rPr>
        <w:t xml:space="preserve"> statements of fact providing context </w:t>
      </w:r>
      <w:r w:rsidR="00383CAC" w:rsidRPr="008B1F04">
        <w:rPr>
          <w:rFonts w:cs="Arial"/>
        </w:rPr>
        <w:t xml:space="preserve">or </w:t>
      </w:r>
      <w:r w:rsidR="002A418D" w:rsidRPr="008B1F04">
        <w:rPr>
          <w:rFonts w:cs="Arial"/>
        </w:rPr>
        <w:t xml:space="preserve">a </w:t>
      </w:r>
      <w:r w:rsidR="00383CAC" w:rsidRPr="008B1F04">
        <w:rPr>
          <w:rFonts w:cs="Arial"/>
        </w:rPr>
        <w:t xml:space="preserve">basis </w:t>
      </w:r>
      <w:r w:rsidR="00EF7B9A" w:rsidRPr="008B1F04">
        <w:rPr>
          <w:rFonts w:cs="Arial"/>
        </w:rPr>
        <w:t xml:space="preserve">for expressions of emotion are admissible under this exception. </w:t>
      </w:r>
      <w:r w:rsidR="0083038F" w:rsidRPr="008B1F04">
        <w:rPr>
          <w:rFonts w:cs="Arial"/>
        </w:rPr>
        <w:t>State v. Smith, 357 N.C. 604, 609-10 (2003) (victim’s statement to her mother that it was “spooky” at home alone during the day and that sometimes a blue van would come to the end of the road and hesitate before turning around to leave was admissible under this exception; the testimony regarding the blue van supported the victim’s assertion that it was “spooky”)</w:t>
      </w:r>
      <w:r w:rsidR="00460777" w:rsidRPr="008B1F04">
        <w:rPr>
          <w:rFonts w:cs="Arial"/>
        </w:rPr>
        <w:t xml:space="preserve">; </w:t>
      </w:r>
      <w:r w:rsidR="0083038F" w:rsidRPr="008B1F04">
        <w:rPr>
          <w:rFonts w:cs="Arial"/>
        </w:rPr>
        <w:t>State v. Murillo, 349 N.C. 573, 588 (1998) (victim’s statements to her sisters and friends describing the defendant’s attacks on her showed the basis for her fear of the defendant and were admissible)</w:t>
      </w:r>
      <w:r w:rsidR="00383CAC" w:rsidRPr="008B1F04">
        <w:rPr>
          <w:rFonts w:cs="Arial"/>
        </w:rPr>
        <w:t xml:space="preserve">; </w:t>
      </w:r>
      <w:r w:rsidR="0083038F" w:rsidRPr="008B1F04">
        <w:rPr>
          <w:rFonts w:eastAsia="Times New Roman" w:cs="Arial"/>
          <w:iCs/>
        </w:rPr>
        <w:t>State v. Alston, 341 N.C. 198, 229-30 (1995) (murder victim’s statements to witnesses were admissible where the victim told witnesses that she was afraid of the defendant, that he made threatening phone calls to her, that he said she had a beautiful face and that he was going to “mess [it] up” or “smash it in,” and that she believed the defendant was going to kill her)</w:t>
      </w:r>
      <w:r w:rsidR="0074388C" w:rsidRPr="008B1F04">
        <w:rPr>
          <w:rFonts w:eastAsia="Times New Roman" w:cs="Arial"/>
          <w:iCs/>
        </w:rPr>
        <w:t>.</w:t>
      </w:r>
      <w:r w:rsidR="00383CAC" w:rsidRPr="008B1F04">
        <w:rPr>
          <w:rFonts w:eastAsia="Times New Roman" w:cs="Arial"/>
          <w:iCs/>
        </w:rPr>
        <w:t xml:space="preserve"> </w:t>
      </w:r>
      <w:r w:rsidR="0074388C" w:rsidRPr="008B1F04">
        <w:rPr>
          <w:rFonts w:eastAsia="Times New Roman" w:cs="Arial"/>
          <w:iCs/>
        </w:rPr>
        <w:t xml:space="preserve">The cited cases seem to stand for the proposition </w:t>
      </w:r>
      <w:r w:rsidRPr="008B1F04">
        <w:rPr>
          <w:rFonts w:cs="Arial"/>
        </w:rPr>
        <w:t>that factual statements made in isolation and unaccompanied by st</w:t>
      </w:r>
      <w:r w:rsidR="0074388C" w:rsidRPr="008B1F04">
        <w:rPr>
          <w:rFonts w:cs="Arial"/>
        </w:rPr>
        <w:t>atements of emotion are in</w:t>
      </w:r>
      <w:r w:rsidRPr="008B1F04">
        <w:rPr>
          <w:rFonts w:cs="Arial"/>
        </w:rPr>
        <w:t>admissible under this exception</w:t>
      </w:r>
      <w:r w:rsidR="002A418D" w:rsidRPr="008B1F04">
        <w:rPr>
          <w:rFonts w:cs="Arial"/>
        </w:rPr>
        <w:t xml:space="preserve"> but that when </w:t>
      </w:r>
      <w:r w:rsidRPr="008B1F04">
        <w:rPr>
          <w:rFonts w:cs="Arial"/>
        </w:rPr>
        <w:t xml:space="preserve">the statement of fact relates to an expression of emotion, it is </w:t>
      </w:r>
      <w:r w:rsidR="002220CD" w:rsidRPr="008B1F04">
        <w:rPr>
          <w:rFonts w:cs="Arial"/>
        </w:rPr>
        <w:t>admissible</w:t>
      </w:r>
      <w:r w:rsidRPr="008B1F04">
        <w:rPr>
          <w:rFonts w:cs="Arial"/>
        </w:rPr>
        <w:t>.</w:t>
      </w:r>
      <w:r w:rsidR="00EA24D6" w:rsidRPr="008B1F04">
        <w:rPr>
          <w:rFonts w:cs="Arial"/>
        </w:rPr>
        <w:t xml:space="preserve"> </w:t>
      </w:r>
    </w:p>
    <w:p w14:paraId="7EF877E5" w14:textId="77777777" w:rsidR="00EA24D6" w:rsidRPr="008B1F04" w:rsidRDefault="00EA24D6" w:rsidP="004720B5">
      <w:pPr>
        <w:pStyle w:val="ListParagraph"/>
        <w:ind w:left="2880" w:firstLine="360"/>
        <w:rPr>
          <w:rFonts w:cs="Arial"/>
        </w:rPr>
      </w:pPr>
      <w:r w:rsidRPr="008B1F04">
        <w:rPr>
          <w:rFonts w:cs="Arial"/>
        </w:rPr>
        <w:t xml:space="preserve">Note however that to be admissible, the statement of fact must have been made by the declarant in connection with the </w:t>
      </w:r>
      <w:r w:rsidRPr="008B1F04">
        <w:rPr>
          <w:rFonts w:cs="Arial"/>
          <w:i/>
        </w:rPr>
        <w:t xml:space="preserve">declarant’s </w:t>
      </w:r>
      <w:r w:rsidRPr="008B1F04">
        <w:rPr>
          <w:rFonts w:cs="Arial"/>
        </w:rPr>
        <w:t xml:space="preserve">statement of emotion. The fact that a witness testifies </w:t>
      </w:r>
      <w:r w:rsidRPr="008B1F04">
        <w:rPr>
          <w:rFonts w:cs="Arial"/>
        </w:rPr>
        <w:lastRenderedPageBreak/>
        <w:t>tha</w:t>
      </w:r>
      <w:r w:rsidR="00DC4697" w:rsidRPr="008B1F04">
        <w:rPr>
          <w:rFonts w:cs="Arial"/>
        </w:rPr>
        <w:t xml:space="preserve">t the declarant was exhibiting an emotion—such as fear—does not provide a basis for admission under this exception of the declarant’s related factual statements. </w:t>
      </w:r>
      <w:r w:rsidR="0083038F" w:rsidRPr="008B1F04">
        <w:rPr>
          <w:rFonts w:cs="Arial"/>
        </w:rPr>
        <w:t xml:space="preserve">State v. </w:t>
      </w:r>
      <w:proofErr w:type="spellStart"/>
      <w:r w:rsidR="0083038F" w:rsidRPr="008B1F04">
        <w:rPr>
          <w:rFonts w:cs="Arial"/>
        </w:rPr>
        <w:t>Lesane</w:t>
      </w:r>
      <w:proofErr w:type="spellEnd"/>
      <w:r w:rsidR="0083038F" w:rsidRPr="008B1F04">
        <w:rPr>
          <w:rFonts w:cs="Arial"/>
        </w:rPr>
        <w:t>, 137 N.C. App. 234, 240 (2000) (the fact that the victim’s wife testified that her husband was frightened did not provide a basis for admission of her husband’s factual statements made at that time)</w:t>
      </w:r>
      <w:r w:rsidR="00DC4697" w:rsidRPr="008B1F04">
        <w:rPr>
          <w:rFonts w:cs="Arial"/>
        </w:rPr>
        <w:t>.</w:t>
      </w:r>
      <w:r w:rsidR="00493EE6" w:rsidRPr="008B1F04">
        <w:rPr>
          <w:rFonts w:cs="Arial"/>
        </w:rPr>
        <w:t xml:space="preserve"> </w:t>
      </w:r>
      <w:r w:rsidR="0074388C" w:rsidRPr="008B1F04">
        <w:rPr>
          <w:rFonts w:cs="Arial"/>
        </w:rPr>
        <w:t>While a useful guide, not all</w:t>
      </w:r>
      <w:r w:rsidR="002A418D" w:rsidRPr="008B1F04">
        <w:rPr>
          <w:rFonts w:cs="Arial"/>
        </w:rPr>
        <w:t xml:space="preserve"> cases adhere to these general r</w:t>
      </w:r>
      <w:r w:rsidR="0074388C" w:rsidRPr="008B1F04">
        <w:rPr>
          <w:rFonts w:cs="Arial"/>
        </w:rPr>
        <w:t>ules.</w:t>
      </w:r>
      <w:r w:rsidR="00493EE6" w:rsidRPr="008B1F04">
        <w:rPr>
          <w:rFonts w:cs="Arial"/>
        </w:rPr>
        <w:t xml:space="preserve"> </w:t>
      </w:r>
      <w:r w:rsidR="0074388C" w:rsidRPr="008B1F04">
        <w:rPr>
          <w:rFonts w:cs="Arial"/>
          <w:i/>
        </w:rPr>
        <w:t xml:space="preserve">See, e.g., </w:t>
      </w:r>
      <w:r w:rsidR="0083038F" w:rsidRPr="008B1F04">
        <w:rPr>
          <w:rFonts w:cs="Arial"/>
        </w:rPr>
        <w:t>State v. Cummings, 326 N.C. 298, 312-13 (1990) (victim/declarant’s statements recounting several occasions when the defendant had beaten her and that he had threatened to kill her if she tried to take back her children from him were admissible)</w:t>
      </w:r>
      <w:r w:rsidR="002A418D" w:rsidRPr="008B1F04">
        <w:rPr>
          <w:rFonts w:cs="Arial"/>
        </w:rPr>
        <w:t>;</w:t>
      </w:r>
      <w:r w:rsidR="0074388C" w:rsidRPr="008B1F04">
        <w:rPr>
          <w:rFonts w:cs="Arial"/>
        </w:rPr>
        <w:t xml:space="preserve"> </w:t>
      </w:r>
      <w:r w:rsidR="0083038F" w:rsidRPr="008B1F04">
        <w:rPr>
          <w:rFonts w:cs="Arial"/>
        </w:rPr>
        <w:t>State v. Gary, 348 N.C. 510, 521-22 (1998) (victim’s statement, “He told me he’d kill me if I left him” was admissible)</w:t>
      </w:r>
      <w:r w:rsidR="00B3634B" w:rsidRPr="008B1F04">
        <w:rPr>
          <w:rFonts w:cs="Arial"/>
        </w:rPr>
        <w:t xml:space="preserve">. </w:t>
      </w:r>
    </w:p>
    <w:p w14:paraId="1D1C7CD0" w14:textId="77777777" w:rsidR="00B1390B" w:rsidRPr="008B1F04" w:rsidRDefault="00645591" w:rsidP="00F83AD6">
      <w:pPr>
        <w:pStyle w:val="ListParagraph"/>
        <w:numPr>
          <w:ilvl w:val="0"/>
          <w:numId w:val="36"/>
        </w:numPr>
        <w:rPr>
          <w:rFonts w:cs="Arial"/>
        </w:rPr>
      </w:pPr>
      <w:bookmarkStart w:id="20" w:name="_Toc405983791"/>
      <w:r w:rsidRPr="00A2261E">
        <w:rPr>
          <w:rStyle w:val="Heading3Char"/>
        </w:rPr>
        <w:t>Statements for Purposes of Medi</w:t>
      </w:r>
      <w:r w:rsidR="002A418D" w:rsidRPr="00A2261E">
        <w:rPr>
          <w:rStyle w:val="Heading3Char"/>
        </w:rPr>
        <w:t>cal Diagnosis or Treatment</w:t>
      </w:r>
      <w:bookmarkEnd w:id="20"/>
      <w:r w:rsidR="00EF180B" w:rsidRPr="008B1F04">
        <w:rPr>
          <w:b/>
        </w:rPr>
        <w:t xml:space="preserve">. </w:t>
      </w:r>
      <w:r w:rsidRPr="008B1F04">
        <w:rPr>
          <w:rFonts w:cs="Arial"/>
        </w:rPr>
        <w:t>Rule 803(4) contains a hearsay exception for s</w:t>
      </w:r>
      <w:r w:rsidR="004C0063" w:rsidRPr="008B1F04">
        <w:rPr>
          <w:rFonts w:cs="Arial"/>
        </w:rPr>
        <w:t xml:space="preserve">tatements made </w:t>
      </w:r>
      <w:r w:rsidR="00B243D5" w:rsidRPr="008B1F04">
        <w:rPr>
          <w:rFonts w:cs="Arial"/>
        </w:rPr>
        <w:t>“</w:t>
      </w:r>
      <w:r w:rsidR="004C0063" w:rsidRPr="008B1F04">
        <w:rPr>
          <w:rFonts w:cs="Arial"/>
        </w:rPr>
        <w:t>for purposes of medical diagnosis or treatment and describing medical history, or past or present symptoms, pain, or sensations, or the inception or general character of the cause or external source thereof insofar as reasonably pertinent to diagnosis or treatment.</w:t>
      </w:r>
      <w:r w:rsidR="00B243D5" w:rsidRPr="008B1F04">
        <w:rPr>
          <w:rFonts w:cs="Arial"/>
        </w:rPr>
        <w:t xml:space="preserve">” </w:t>
      </w:r>
      <w:r w:rsidR="00F70B05" w:rsidRPr="008B1F04">
        <w:rPr>
          <w:rFonts w:cs="Arial"/>
        </w:rPr>
        <w:t xml:space="preserve">Testimony admitted under this exception “is considered inherently reliable because of the declarant’s motivation to tell the truth in order to receive proper treatment.” State v. </w:t>
      </w:r>
      <w:proofErr w:type="spellStart"/>
      <w:r w:rsidR="00F70B05" w:rsidRPr="008B1F04">
        <w:rPr>
          <w:rFonts w:cs="Arial"/>
        </w:rPr>
        <w:t>Hinnant</w:t>
      </w:r>
      <w:proofErr w:type="spellEnd"/>
      <w:r w:rsidR="00F70B05" w:rsidRPr="008B1F04">
        <w:rPr>
          <w:rFonts w:cs="Arial"/>
        </w:rPr>
        <w:t xml:space="preserve">, 351 N.C. 277, 286 (2000). </w:t>
      </w:r>
    </w:p>
    <w:p w14:paraId="68ECEB56" w14:textId="77777777" w:rsidR="00B1390B" w:rsidRPr="008B1F04" w:rsidRDefault="00B1390B" w:rsidP="00F83AD6">
      <w:pPr>
        <w:rPr>
          <w:rFonts w:cs="Arial"/>
        </w:rPr>
      </w:pPr>
    </w:p>
    <w:p w14:paraId="640D2FC9" w14:textId="77777777" w:rsidR="00B1390B" w:rsidRPr="008B1F04" w:rsidRDefault="00B1390B" w:rsidP="00EF180B">
      <w:pPr>
        <w:ind w:left="2160"/>
        <w:rPr>
          <w:rFonts w:cs="Arial"/>
        </w:rPr>
      </w:pPr>
      <w:r w:rsidRPr="008B1F04">
        <w:rPr>
          <w:rFonts w:cs="Arial"/>
        </w:rPr>
        <w:t xml:space="preserve">Admissibility under Rule 803(4) requires a two-part inquiry: </w:t>
      </w:r>
    </w:p>
    <w:p w14:paraId="68EF2149" w14:textId="77777777" w:rsidR="005E342D" w:rsidRPr="008B1F04" w:rsidRDefault="005E342D" w:rsidP="00EF180B">
      <w:pPr>
        <w:ind w:left="2160"/>
        <w:rPr>
          <w:rFonts w:cs="Arial"/>
        </w:rPr>
      </w:pPr>
    </w:p>
    <w:p w14:paraId="38DCE39B" w14:textId="77777777" w:rsidR="00B1390B" w:rsidRPr="008B1F04" w:rsidRDefault="00B1390B" w:rsidP="00EF180B">
      <w:pPr>
        <w:ind w:left="3600" w:hanging="720"/>
        <w:rPr>
          <w:rFonts w:cs="Arial"/>
        </w:rPr>
      </w:pPr>
      <w:r w:rsidRPr="008B1F04">
        <w:rPr>
          <w:rFonts w:cs="Arial"/>
        </w:rPr>
        <w:t>(1)</w:t>
      </w:r>
      <w:r w:rsidR="005E342D" w:rsidRPr="008B1F04">
        <w:rPr>
          <w:rFonts w:cs="Arial"/>
        </w:rPr>
        <w:tab/>
      </w:r>
      <w:r w:rsidRPr="008B1F04">
        <w:rPr>
          <w:rFonts w:cs="Arial"/>
        </w:rPr>
        <w:t xml:space="preserve">whether the declarant's statements were made for purposes of medical diagnosis or treatment; and </w:t>
      </w:r>
    </w:p>
    <w:p w14:paraId="0D149557" w14:textId="77777777" w:rsidR="00B1390B" w:rsidRPr="008B1F04" w:rsidRDefault="00B1390B" w:rsidP="00EF180B">
      <w:pPr>
        <w:ind w:left="3600" w:hanging="720"/>
        <w:rPr>
          <w:rFonts w:cs="Arial"/>
        </w:rPr>
      </w:pPr>
      <w:r w:rsidRPr="008B1F04">
        <w:rPr>
          <w:rFonts w:cs="Arial"/>
        </w:rPr>
        <w:t>(2)</w:t>
      </w:r>
      <w:r w:rsidR="005E342D" w:rsidRPr="008B1F04">
        <w:rPr>
          <w:rFonts w:cs="Arial"/>
        </w:rPr>
        <w:tab/>
      </w:r>
      <w:r w:rsidRPr="008B1F04">
        <w:rPr>
          <w:rFonts w:cs="Arial"/>
        </w:rPr>
        <w:t>whether the declarant's statements were reasonably pertinent to diagnosis or treatment</w:t>
      </w:r>
      <w:r w:rsidR="002A418D" w:rsidRPr="008B1F04">
        <w:rPr>
          <w:rFonts w:cs="Arial"/>
        </w:rPr>
        <w:t>.</w:t>
      </w:r>
    </w:p>
    <w:p w14:paraId="69B1F0E3" w14:textId="77777777" w:rsidR="00B1390B" w:rsidRPr="008B1F04" w:rsidRDefault="00B1390B" w:rsidP="00EF180B">
      <w:pPr>
        <w:ind w:left="2160"/>
        <w:rPr>
          <w:rFonts w:cs="Arial"/>
        </w:rPr>
      </w:pPr>
    </w:p>
    <w:p w14:paraId="6A731CD6" w14:textId="77777777" w:rsidR="00B1390B" w:rsidRPr="008B1F04" w:rsidRDefault="00B1390B" w:rsidP="00EF180B">
      <w:pPr>
        <w:ind w:left="2160"/>
        <w:rPr>
          <w:rFonts w:cs="Arial"/>
        </w:rPr>
      </w:pPr>
      <w:proofErr w:type="spellStart"/>
      <w:r w:rsidRPr="008B1F04">
        <w:rPr>
          <w:rFonts w:cs="Arial"/>
          <w:i/>
        </w:rPr>
        <w:t>Hinnant</w:t>
      </w:r>
      <w:proofErr w:type="spellEnd"/>
      <w:r w:rsidR="00930302" w:rsidRPr="008B1F04">
        <w:rPr>
          <w:rFonts w:cs="Arial"/>
        </w:rPr>
        <w:t>, 351 N.C. at 284</w:t>
      </w:r>
      <w:r w:rsidRPr="008B1F04">
        <w:rPr>
          <w:rFonts w:cs="Arial"/>
        </w:rPr>
        <w:t>.</w:t>
      </w:r>
    </w:p>
    <w:p w14:paraId="5D263EEB" w14:textId="77777777" w:rsidR="00AB1A1C" w:rsidRPr="008B1F04" w:rsidRDefault="00B1390B" w:rsidP="00F83AD6">
      <w:pPr>
        <w:pStyle w:val="ListParagraph"/>
        <w:numPr>
          <w:ilvl w:val="1"/>
          <w:numId w:val="37"/>
        </w:numPr>
        <w:rPr>
          <w:rFonts w:cs="Arial"/>
        </w:rPr>
      </w:pPr>
      <w:r w:rsidRPr="008B1F04">
        <w:rPr>
          <w:b/>
        </w:rPr>
        <w:t>For Purposes of</w:t>
      </w:r>
      <w:r w:rsidR="00494FB0" w:rsidRPr="008B1F04">
        <w:rPr>
          <w:b/>
        </w:rPr>
        <w:t xml:space="preserve"> </w:t>
      </w:r>
      <w:r w:rsidRPr="008B1F04">
        <w:rPr>
          <w:b/>
        </w:rPr>
        <w:t>Diagnosis or Treatment</w:t>
      </w:r>
      <w:r w:rsidR="00EF180B" w:rsidRPr="008B1F04">
        <w:rPr>
          <w:b/>
        </w:rPr>
        <w:t xml:space="preserve">. </w:t>
      </w:r>
      <w:r w:rsidRPr="008B1F04">
        <w:rPr>
          <w:rFonts w:cs="Arial"/>
        </w:rPr>
        <w:t xml:space="preserve">The rule requires that the statements be made for purposes for medical diagnosis and treatment. </w:t>
      </w:r>
      <w:r w:rsidRPr="008B1F04">
        <w:rPr>
          <w:rFonts w:cs="Arial"/>
          <w:smallCaps/>
        </w:rPr>
        <w:t>N.C.</w:t>
      </w:r>
      <w:r w:rsidR="00546057" w:rsidRPr="008B1F04">
        <w:rPr>
          <w:rFonts w:cs="Arial"/>
          <w:smallCaps/>
        </w:rPr>
        <w:t xml:space="preserve"> </w:t>
      </w:r>
      <w:r w:rsidRPr="008B1F04">
        <w:rPr>
          <w:rFonts w:cs="Arial"/>
          <w:smallCaps/>
        </w:rPr>
        <w:t>R.</w:t>
      </w:r>
      <w:r w:rsidR="00546057" w:rsidRPr="008B1F04">
        <w:rPr>
          <w:rFonts w:cs="Arial"/>
          <w:smallCaps/>
        </w:rPr>
        <w:t xml:space="preserve"> </w:t>
      </w:r>
      <w:r w:rsidRPr="008B1F04">
        <w:rPr>
          <w:rFonts w:cs="Arial"/>
          <w:smallCaps/>
        </w:rPr>
        <w:t>Evid.</w:t>
      </w:r>
      <w:r w:rsidRPr="008B1F04">
        <w:rPr>
          <w:rFonts w:cs="Arial"/>
        </w:rPr>
        <w:t xml:space="preserve"> 803(4). To satisfy this requirement, the proponent </w:t>
      </w:r>
      <w:r w:rsidR="00546057" w:rsidRPr="008B1F04">
        <w:rPr>
          <w:rFonts w:cs="Arial"/>
        </w:rPr>
        <w:t>“</w:t>
      </w:r>
      <w:r w:rsidRPr="008B1F04">
        <w:rPr>
          <w:rFonts w:cs="Arial"/>
        </w:rPr>
        <w:t>must affirmatively establish that the declarant</w:t>
      </w:r>
      <w:r w:rsidR="00546057" w:rsidRPr="008B1F04">
        <w:rPr>
          <w:rFonts w:cs="Arial"/>
        </w:rPr>
        <w:t xml:space="preserve"> . . .</w:t>
      </w:r>
      <w:r w:rsidRPr="008B1F04">
        <w:rPr>
          <w:rFonts w:cs="Arial"/>
        </w:rPr>
        <w:t xml:space="preserve"> made the statements understanding that they would lead to medical diagnosis or treatment.</w:t>
      </w:r>
      <w:r w:rsidR="00546057" w:rsidRPr="008B1F04">
        <w:rPr>
          <w:rFonts w:cs="Arial"/>
        </w:rPr>
        <w:t>”</w:t>
      </w:r>
      <w:r w:rsidRPr="008B1F04">
        <w:rPr>
          <w:rFonts w:cs="Arial"/>
        </w:rPr>
        <w:t xml:space="preserve"> </w:t>
      </w:r>
      <w:proofErr w:type="spellStart"/>
      <w:r w:rsidRPr="008B1F04">
        <w:rPr>
          <w:rFonts w:cs="Arial"/>
          <w:i/>
        </w:rPr>
        <w:t>Hinnant</w:t>
      </w:r>
      <w:proofErr w:type="spellEnd"/>
      <w:r w:rsidR="00251B3B" w:rsidRPr="008B1F04">
        <w:rPr>
          <w:rFonts w:cs="Arial"/>
        </w:rPr>
        <w:t xml:space="preserve">, 351 N.C. at 287. </w:t>
      </w:r>
      <w:r w:rsidR="00494FB0" w:rsidRPr="008B1F04">
        <w:rPr>
          <w:rFonts w:cs="Arial"/>
        </w:rPr>
        <w:t xml:space="preserve">When determining whether the requisite intent existed, “the trial court should consider all objective circumstances of record surrounding declarant’s statements.” </w:t>
      </w:r>
      <w:r w:rsidR="0083038F" w:rsidRPr="008B1F04">
        <w:rPr>
          <w:rFonts w:cs="Arial"/>
          <w:i/>
        </w:rPr>
        <w:t>Id.</w:t>
      </w:r>
      <w:r w:rsidR="0083038F" w:rsidRPr="008B1F04">
        <w:rPr>
          <w:rFonts w:cs="Arial"/>
        </w:rPr>
        <w:t xml:space="preserve"> at 288</w:t>
      </w:r>
      <w:r w:rsidR="00494FB0" w:rsidRPr="008B1F04">
        <w:rPr>
          <w:rFonts w:cs="Arial"/>
        </w:rPr>
        <w:t xml:space="preserve">. </w:t>
      </w:r>
    </w:p>
    <w:p w14:paraId="1F489CE8" w14:textId="77777777" w:rsidR="00AB1A1C" w:rsidRPr="008B1F04" w:rsidRDefault="005E342D" w:rsidP="00EF180B">
      <w:pPr>
        <w:ind w:left="2880" w:firstLine="360"/>
        <w:rPr>
          <w:rFonts w:cs="Arial"/>
        </w:rPr>
      </w:pPr>
      <w:r w:rsidRPr="008B1F04">
        <w:rPr>
          <w:rFonts w:cs="Arial"/>
        </w:rPr>
        <w:t>Statement</w:t>
      </w:r>
      <w:r w:rsidR="00546057" w:rsidRPr="008B1F04">
        <w:rPr>
          <w:rFonts w:cs="Arial"/>
        </w:rPr>
        <w:t>s</w:t>
      </w:r>
      <w:r w:rsidRPr="008B1F04">
        <w:rPr>
          <w:rFonts w:cs="Arial"/>
        </w:rPr>
        <w:t xml:space="preserve"> made to persons other than </w:t>
      </w:r>
      <w:r w:rsidR="00AB1A1C" w:rsidRPr="008B1F04">
        <w:rPr>
          <w:rFonts w:cs="Arial"/>
        </w:rPr>
        <w:t xml:space="preserve">medical </w:t>
      </w:r>
      <w:r w:rsidRPr="008B1F04">
        <w:rPr>
          <w:rFonts w:cs="Arial"/>
        </w:rPr>
        <w:t xml:space="preserve">providers may be covered by this exception, </w:t>
      </w:r>
      <w:r w:rsidR="00251B3B" w:rsidRPr="008B1F04">
        <w:rPr>
          <w:rFonts w:cs="Arial"/>
        </w:rPr>
        <w:t xml:space="preserve">if they were </w:t>
      </w:r>
      <w:r w:rsidRPr="008B1F04">
        <w:rPr>
          <w:rFonts w:cs="Arial"/>
        </w:rPr>
        <w:t>made for purposes of diagnosis and treatment.</w:t>
      </w:r>
      <w:r w:rsidR="00AB1A1C" w:rsidRPr="008B1F04">
        <w:rPr>
          <w:rFonts w:cs="Arial"/>
        </w:rPr>
        <w:t xml:space="preserve"> </w:t>
      </w:r>
      <w:r w:rsidR="0083038F" w:rsidRPr="008B1F04">
        <w:rPr>
          <w:rFonts w:cs="Arial"/>
        </w:rPr>
        <w:t>State v. Smith, 315 N.C. 76, 84 (1985) (pre-</w:t>
      </w:r>
      <w:proofErr w:type="spellStart"/>
      <w:r w:rsidR="0083038F" w:rsidRPr="008B1F04">
        <w:rPr>
          <w:rFonts w:cs="Arial"/>
          <w:i/>
        </w:rPr>
        <w:t>Hinnant</w:t>
      </w:r>
      <w:proofErr w:type="spellEnd"/>
      <w:r w:rsidR="0083038F" w:rsidRPr="008B1F04">
        <w:rPr>
          <w:rFonts w:cs="Arial"/>
          <w:i/>
        </w:rPr>
        <w:t xml:space="preserve"> </w:t>
      </w:r>
      <w:r w:rsidR="0083038F" w:rsidRPr="008B1F04">
        <w:rPr>
          <w:rFonts w:cs="Arial"/>
        </w:rPr>
        <w:t>case; child’s statements to grandmother describing bleeding and pain)</w:t>
      </w:r>
      <w:r w:rsidR="005B7D8D" w:rsidRPr="008B1F04">
        <w:rPr>
          <w:rFonts w:cs="Arial"/>
        </w:rPr>
        <w:t xml:space="preserve">; </w:t>
      </w:r>
      <w:r w:rsidR="0083038F" w:rsidRPr="008B1F04">
        <w:rPr>
          <w:rFonts w:cs="Arial"/>
        </w:rPr>
        <w:t xml:space="preserve">State v. McGraw, 137 N.C. App. 726, 729 (2000) (stating rule but going on to hold a child’s statements to her mother were inadmissible under the first prong of the </w:t>
      </w:r>
      <w:proofErr w:type="spellStart"/>
      <w:r w:rsidR="0083038F" w:rsidRPr="008B1F04">
        <w:rPr>
          <w:rFonts w:cs="Arial"/>
          <w:i/>
        </w:rPr>
        <w:t>Hinnant</w:t>
      </w:r>
      <w:proofErr w:type="spellEnd"/>
      <w:r w:rsidR="0083038F" w:rsidRPr="008B1F04">
        <w:rPr>
          <w:rFonts w:cs="Arial"/>
        </w:rPr>
        <w:t xml:space="preserve"> test)</w:t>
      </w:r>
      <w:r w:rsidR="00AB1A1C" w:rsidRPr="008B1F04">
        <w:rPr>
          <w:rFonts w:cs="Arial"/>
        </w:rPr>
        <w:t xml:space="preserve">; </w:t>
      </w:r>
      <w:r w:rsidR="00AB1A1C" w:rsidRPr="008B1F04">
        <w:rPr>
          <w:rFonts w:cs="Arial"/>
          <w:i/>
        </w:rPr>
        <w:t xml:space="preserve">see also </w:t>
      </w:r>
      <w:r w:rsidR="0083038F" w:rsidRPr="008B1F04">
        <w:rPr>
          <w:rFonts w:cs="Arial"/>
        </w:rPr>
        <w:t xml:space="preserve">Commentary to </w:t>
      </w:r>
      <w:r w:rsidR="0083038F" w:rsidRPr="008B1F04">
        <w:rPr>
          <w:rFonts w:cs="Arial"/>
          <w:smallCaps/>
        </w:rPr>
        <w:t>N.C. R. Evid</w:t>
      </w:r>
      <w:r w:rsidR="0083038F" w:rsidRPr="008B1F04">
        <w:rPr>
          <w:rFonts w:cs="Arial"/>
        </w:rPr>
        <w:t>. 803 (“the statement need not have been made to a physician. Statements to hospital attendants, ambulance drivers, or even members of the family might be included”)</w:t>
      </w:r>
      <w:r w:rsidR="006753A6" w:rsidRPr="008B1F04">
        <w:rPr>
          <w:rFonts w:cs="Arial"/>
        </w:rPr>
        <w:t>.</w:t>
      </w:r>
      <w:r w:rsidR="00AB1A1C" w:rsidRPr="008B1F04">
        <w:rPr>
          <w:rFonts w:cs="Arial"/>
        </w:rPr>
        <w:t xml:space="preserve"> However, statements to such persons do not </w:t>
      </w:r>
      <w:r w:rsidR="00AB1A1C" w:rsidRPr="008B1F04">
        <w:rPr>
          <w:rFonts w:cs="Arial"/>
        </w:rPr>
        <w:lastRenderedPageBreak/>
        <w:t xml:space="preserve">qualify if made after the declarant already has received </w:t>
      </w:r>
      <w:r w:rsidR="00917C25" w:rsidRPr="008B1F04">
        <w:rPr>
          <w:rFonts w:cs="Arial"/>
        </w:rPr>
        <w:t xml:space="preserve">an </w:t>
      </w:r>
      <w:r w:rsidR="00AB1A1C" w:rsidRPr="008B1F04">
        <w:rPr>
          <w:rFonts w:cs="Arial"/>
        </w:rPr>
        <w:t xml:space="preserve">initial medical diagnosis and treatment. </w:t>
      </w:r>
      <w:proofErr w:type="spellStart"/>
      <w:r w:rsidR="0083038F" w:rsidRPr="008B1F04">
        <w:rPr>
          <w:rFonts w:cs="Arial"/>
          <w:i/>
        </w:rPr>
        <w:t>Hinnant</w:t>
      </w:r>
      <w:proofErr w:type="spellEnd"/>
      <w:r w:rsidR="0083038F" w:rsidRPr="008B1F04">
        <w:rPr>
          <w:rFonts w:cs="Arial"/>
        </w:rPr>
        <w:t>, 351 N.C. at 289.</w:t>
      </w:r>
      <w:r w:rsidR="00AB1A1C" w:rsidRPr="008B1F04">
        <w:rPr>
          <w:rFonts w:cs="Arial"/>
        </w:rPr>
        <w:t xml:space="preserve"> The courts reason that in this situation, “the declarant is no longer in need of immediate medical attention” and thus “the motivation to speak truthfully is no longer present.” </w:t>
      </w:r>
      <w:r w:rsidR="0083038F" w:rsidRPr="008B1F04">
        <w:rPr>
          <w:rFonts w:cs="Arial"/>
          <w:i/>
        </w:rPr>
        <w:t>Id</w:t>
      </w:r>
      <w:r w:rsidR="00AB1A1C" w:rsidRPr="008B1F04">
        <w:rPr>
          <w:rFonts w:cs="Arial"/>
        </w:rPr>
        <w:t>.</w:t>
      </w:r>
    </w:p>
    <w:p w14:paraId="3FB83A76" w14:textId="77777777" w:rsidR="005B7D8D" w:rsidRPr="008B1F04" w:rsidRDefault="00AB1A1C" w:rsidP="001B7CA9">
      <w:pPr>
        <w:ind w:left="2880" w:firstLine="360"/>
        <w:rPr>
          <w:rFonts w:cs="Arial"/>
        </w:rPr>
      </w:pPr>
      <w:r w:rsidRPr="008B1F04">
        <w:rPr>
          <w:rFonts w:cs="Arial"/>
        </w:rPr>
        <w:t xml:space="preserve">An examination that has a dual purpose can satisfy the first prong of the test, provided that one of the purposes is medical diagnosis and treatment. </w:t>
      </w:r>
      <w:r w:rsidR="0083038F" w:rsidRPr="008B1F04">
        <w:rPr>
          <w:rFonts w:cs="Arial"/>
        </w:rPr>
        <w:t>State v. Isenberg, 148 N.C. App. 29, 38 (2001) (trial court’s finding that the purpose of an examination of a child was dual, in that it was for medical intervention and future prosecution, satisfied the first prong of the test)</w:t>
      </w:r>
      <w:r w:rsidRPr="008B1F04">
        <w:rPr>
          <w:rFonts w:cs="Arial"/>
        </w:rPr>
        <w:t xml:space="preserve">. However, when the witness is interviewed solely for trial preparation, this prong of the test is not satisfied. </w:t>
      </w:r>
      <w:proofErr w:type="spellStart"/>
      <w:r w:rsidR="0083038F" w:rsidRPr="008B1F04">
        <w:rPr>
          <w:rFonts w:cs="Arial"/>
          <w:i/>
        </w:rPr>
        <w:t>Hinnant</w:t>
      </w:r>
      <w:proofErr w:type="spellEnd"/>
      <w:r w:rsidR="0083038F" w:rsidRPr="008B1F04">
        <w:rPr>
          <w:rFonts w:cs="Arial"/>
        </w:rPr>
        <w:t>, 351 N.C. at 285</w:t>
      </w:r>
      <w:r w:rsidR="005B7D8D" w:rsidRPr="008B1F04">
        <w:rPr>
          <w:rFonts w:cs="Arial"/>
        </w:rPr>
        <w:t xml:space="preserve">; </w:t>
      </w:r>
      <w:r w:rsidR="005B7D8D" w:rsidRPr="008B1F04">
        <w:rPr>
          <w:rFonts w:cs="Arial"/>
          <w:i/>
        </w:rPr>
        <w:t xml:space="preserve">see also </w:t>
      </w:r>
      <w:r w:rsidR="0083038F" w:rsidRPr="008B1F04">
        <w:rPr>
          <w:rFonts w:cs="Arial"/>
        </w:rPr>
        <w:t>State v. Lowery, __ N.C. App. __, 723 S.E.2d 358 (2012) (statement by the defendant to a medical expert was not for purposes of diagnosis and treatment but rather for the purpose of preparing and presenting a defense at trial)</w:t>
      </w:r>
      <w:r w:rsidR="005B7D8D" w:rsidRPr="008B1F04">
        <w:rPr>
          <w:rFonts w:cs="Arial"/>
        </w:rPr>
        <w:t xml:space="preserve">. </w:t>
      </w:r>
    </w:p>
    <w:p w14:paraId="19A793F7" w14:textId="77777777" w:rsidR="00596BA3" w:rsidRPr="008B1F04" w:rsidRDefault="00494FB0" w:rsidP="00EF180B">
      <w:pPr>
        <w:ind w:left="2880" w:firstLine="360"/>
        <w:rPr>
          <w:rFonts w:cs="Arial"/>
        </w:rPr>
      </w:pPr>
      <w:r w:rsidRPr="008B1F04">
        <w:rPr>
          <w:rFonts w:cs="Arial"/>
        </w:rPr>
        <w:t xml:space="preserve">This exception frequently comes into play in child sexual abuse cases. In one such case, </w:t>
      </w:r>
      <w:proofErr w:type="spellStart"/>
      <w:r w:rsidRPr="008B1F04">
        <w:rPr>
          <w:rFonts w:cs="Arial"/>
          <w:i/>
        </w:rPr>
        <w:t>Hinnant</w:t>
      </w:r>
      <w:proofErr w:type="spellEnd"/>
      <w:r w:rsidRPr="008B1F04">
        <w:rPr>
          <w:rFonts w:cs="Arial"/>
        </w:rPr>
        <w:t xml:space="preserve">, 351 N.C. 277, the North Carolina Supreme Court instructed that </w:t>
      </w:r>
      <w:r w:rsidR="002220CD" w:rsidRPr="008B1F04">
        <w:rPr>
          <w:rFonts w:cs="Arial"/>
        </w:rPr>
        <w:t>c</w:t>
      </w:r>
      <w:r w:rsidR="00050F5C" w:rsidRPr="008B1F04">
        <w:rPr>
          <w:rFonts w:cs="Arial"/>
        </w:rPr>
        <w:t>ircumstances suggest</w:t>
      </w:r>
      <w:r w:rsidR="002220CD" w:rsidRPr="008B1F04">
        <w:rPr>
          <w:rFonts w:cs="Arial"/>
        </w:rPr>
        <w:t>ing that the r</w:t>
      </w:r>
      <w:r w:rsidR="00050F5C" w:rsidRPr="008B1F04">
        <w:rPr>
          <w:rFonts w:cs="Arial"/>
        </w:rPr>
        <w:t>equisite treatment motive was present include that</w:t>
      </w:r>
      <w:r w:rsidR="002220CD" w:rsidRPr="008B1F04">
        <w:rPr>
          <w:rFonts w:cs="Arial"/>
        </w:rPr>
        <w:t>:</w:t>
      </w:r>
    </w:p>
    <w:p w14:paraId="4CE42F11" w14:textId="77777777" w:rsidR="00786246" w:rsidRPr="008B1F04" w:rsidRDefault="00786246" w:rsidP="00EF180B">
      <w:pPr>
        <w:ind w:left="2880" w:firstLine="360"/>
        <w:rPr>
          <w:rFonts w:cs="Arial"/>
        </w:rPr>
      </w:pPr>
    </w:p>
    <w:p w14:paraId="68EE6BD3" w14:textId="77777777" w:rsidR="00050F5C" w:rsidRPr="008B1F04" w:rsidRDefault="00050F5C" w:rsidP="00EF180B">
      <w:pPr>
        <w:pStyle w:val="ListParagraph"/>
        <w:numPr>
          <w:ilvl w:val="0"/>
          <w:numId w:val="15"/>
        </w:numPr>
        <w:ind w:left="3600"/>
        <w:rPr>
          <w:rFonts w:cs="Arial"/>
        </w:rPr>
      </w:pPr>
      <w:r w:rsidRPr="008B1F04">
        <w:rPr>
          <w:rFonts w:cs="Arial"/>
        </w:rPr>
        <w:t xml:space="preserve">An adult explained to the child the need for medical treatment. </w:t>
      </w:r>
    </w:p>
    <w:p w14:paraId="1DAB76E4" w14:textId="77777777" w:rsidR="00050F5C" w:rsidRPr="008B1F04" w:rsidRDefault="00050F5C" w:rsidP="00EF180B">
      <w:pPr>
        <w:pStyle w:val="ListParagraph"/>
        <w:numPr>
          <w:ilvl w:val="0"/>
          <w:numId w:val="15"/>
        </w:numPr>
        <w:ind w:left="3600"/>
        <w:rPr>
          <w:rFonts w:cs="Arial"/>
        </w:rPr>
      </w:pPr>
      <w:r w:rsidRPr="008B1F04">
        <w:rPr>
          <w:rFonts w:cs="Arial"/>
        </w:rPr>
        <w:t xml:space="preserve">An adult explained the need for truthfulness. </w:t>
      </w:r>
    </w:p>
    <w:p w14:paraId="55FCB842" w14:textId="77777777" w:rsidR="00050F5C" w:rsidRPr="008B1F04" w:rsidRDefault="00050F5C" w:rsidP="00EF180B">
      <w:pPr>
        <w:pStyle w:val="ListParagraph"/>
        <w:numPr>
          <w:ilvl w:val="0"/>
          <w:numId w:val="15"/>
        </w:numPr>
        <w:ind w:left="3600"/>
        <w:rPr>
          <w:rFonts w:cs="Arial"/>
        </w:rPr>
      </w:pPr>
      <w:r w:rsidRPr="008B1F04">
        <w:rPr>
          <w:rFonts w:cs="Arial"/>
        </w:rPr>
        <w:t>The adult was a medical care provider (although, as noted above, this is not required).</w:t>
      </w:r>
    </w:p>
    <w:p w14:paraId="5B3594FD" w14:textId="77777777" w:rsidR="00050F5C" w:rsidRPr="008B1F04" w:rsidRDefault="00050F5C" w:rsidP="00EF180B">
      <w:pPr>
        <w:pStyle w:val="ListParagraph"/>
        <w:numPr>
          <w:ilvl w:val="0"/>
          <w:numId w:val="15"/>
        </w:numPr>
        <w:ind w:left="3600"/>
        <w:rPr>
          <w:rFonts w:cs="Arial"/>
        </w:rPr>
      </w:pPr>
      <w:r w:rsidRPr="008B1F04">
        <w:rPr>
          <w:rFonts w:cs="Arial"/>
        </w:rPr>
        <w:t xml:space="preserve">The setting was a medical setting (as opposed to a child-friendly room, which does not reinforce the need for truthfulness). </w:t>
      </w:r>
    </w:p>
    <w:p w14:paraId="31A1A605" w14:textId="77777777" w:rsidR="00050F5C" w:rsidRPr="008B1F04" w:rsidRDefault="00050F5C" w:rsidP="00EF180B">
      <w:pPr>
        <w:pStyle w:val="ListParagraph"/>
        <w:numPr>
          <w:ilvl w:val="0"/>
          <w:numId w:val="15"/>
        </w:numPr>
        <w:ind w:left="3600"/>
        <w:rPr>
          <w:rFonts w:cs="Arial"/>
        </w:rPr>
      </w:pPr>
      <w:r w:rsidRPr="008B1F04">
        <w:rPr>
          <w:rFonts w:cs="Arial"/>
        </w:rPr>
        <w:t xml:space="preserve">Open-ended as opposed to suggestive leading questions were used. </w:t>
      </w:r>
    </w:p>
    <w:p w14:paraId="216AEE2D" w14:textId="77777777" w:rsidR="00786246" w:rsidRPr="008B1F04" w:rsidRDefault="00786246" w:rsidP="009D4BE0">
      <w:pPr>
        <w:pStyle w:val="ListParagraph"/>
        <w:ind w:left="3600"/>
        <w:rPr>
          <w:rFonts w:cs="Arial"/>
        </w:rPr>
      </w:pPr>
    </w:p>
    <w:p w14:paraId="1E3FFE74" w14:textId="77777777" w:rsidR="008B4F8C" w:rsidRPr="008B1F04" w:rsidRDefault="0083038F" w:rsidP="00EF180B">
      <w:pPr>
        <w:ind w:left="2880"/>
        <w:rPr>
          <w:rFonts w:cs="Arial"/>
        </w:rPr>
      </w:pPr>
      <w:proofErr w:type="spellStart"/>
      <w:r w:rsidRPr="008B1F04">
        <w:rPr>
          <w:rFonts w:cs="Arial"/>
          <w:i/>
        </w:rPr>
        <w:t>Hinnant</w:t>
      </w:r>
      <w:proofErr w:type="spellEnd"/>
      <w:r w:rsidRPr="008B1F04">
        <w:rPr>
          <w:rFonts w:cs="Arial"/>
        </w:rPr>
        <w:t>, 315 N.C. at 287-89</w:t>
      </w:r>
      <w:r w:rsidR="00050F5C" w:rsidRPr="008B1F04">
        <w:rPr>
          <w:rFonts w:cs="Arial"/>
        </w:rPr>
        <w:t>.</w:t>
      </w:r>
      <w:r w:rsidR="00493EE6" w:rsidRPr="008B1F04">
        <w:rPr>
          <w:rFonts w:cs="Arial"/>
        </w:rPr>
        <w:t xml:space="preserve"> </w:t>
      </w:r>
      <w:r w:rsidR="00AB1A1C" w:rsidRPr="008B1F04">
        <w:rPr>
          <w:rFonts w:cs="Arial"/>
        </w:rPr>
        <w:t xml:space="preserve">However, neither a psychological examination of the child nor a voir dire of the child is necessary to determine whether </w:t>
      </w:r>
      <w:r w:rsidR="006C1D01" w:rsidRPr="008B1F04">
        <w:rPr>
          <w:rFonts w:cs="Arial"/>
        </w:rPr>
        <w:t>he or she</w:t>
      </w:r>
      <w:r w:rsidR="00AB1A1C" w:rsidRPr="008B1F04">
        <w:rPr>
          <w:rFonts w:cs="Arial"/>
        </w:rPr>
        <w:t xml:space="preserve"> had the requisite intent. </w:t>
      </w:r>
      <w:r w:rsidRPr="008B1F04">
        <w:rPr>
          <w:rFonts w:cs="Arial"/>
        </w:rPr>
        <w:t>State v. Carter, 153 N.C. App. 756, 760-61 (2002)</w:t>
      </w:r>
      <w:r w:rsidR="00AB1A1C" w:rsidRPr="008B1F04">
        <w:rPr>
          <w:rFonts w:cs="Arial"/>
        </w:rPr>
        <w:t xml:space="preserve"> (</w:t>
      </w:r>
      <w:r w:rsidRPr="008B1F04">
        <w:rPr>
          <w:rFonts w:cs="Arial"/>
        </w:rPr>
        <w:t xml:space="preserve">rejecting the defendant’s argument that the trial court should have allowed a voir dire of the child to determine whether he possessed the requisite intent; during the voir dire hearing on the motion in </w:t>
      </w:r>
      <w:proofErr w:type="spellStart"/>
      <w:r w:rsidRPr="008B1F04">
        <w:rPr>
          <w:rFonts w:cs="Arial"/>
        </w:rPr>
        <w:t>limine</w:t>
      </w:r>
      <w:proofErr w:type="spellEnd"/>
      <w:r w:rsidRPr="008B1F04">
        <w:rPr>
          <w:rFonts w:cs="Arial"/>
        </w:rPr>
        <w:t xml:space="preserve"> regarding the child’s statements, the court heard testimony from the nurses and doctors who spoke with the child</w:t>
      </w:r>
      <w:r w:rsidR="00AB1A1C" w:rsidRPr="008B1F04">
        <w:rPr>
          <w:rFonts w:cs="Arial"/>
        </w:rPr>
        <w:t>).</w:t>
      </w:r>
      <w:r w:rsidR="006753A6" w:rsidRPr="008B1F04">
        <w:rPr>
          <w:rFonts w:cs="Arial"/>
        </w:rPr>
        <w:t xml:space="preserve"> </w:t>
      </w:r>
    </w:p>
    <w:p w14:paraId="18117445" w14:textId="77777777" w:rsidR="008B4F8C" w:rsidRPr="008B1F04" w:rsidRDefault="006753A6" w:rsidP="00676B14">
      <w:pPr>
        <w:ind w:left="2880" w:firstLine="720"/>
        <w:rPr>
          <w:rFonts w:cs="Arial"/>
        </w:rPr>
      </w:pPr>
      <w:r w:rsidRPr="008B1F04">
        <w:rPr>
          <w:rFonts w:cs="Arial"/>
        </w:rPr>
        <w:t xml:space="preserve">Numerous cases address this issue in the context of child victims. Some recent decisions are set out </w:t>
      </w:r>
      <w:r w:rsidR="008B4F8C" w:rsidRPr="008B1F04">
        <w:rPr>
          <w:rFonts w:cs="Arial"/>
        </w:rPr>
        <w:t>below</w:t>
      </w:r>
    </w:p>
    <w:p w14:paraId="70A64385" w14:textId="77777777" w:rsidR="008B4F8C" w:rsidRPr="008B1F04" w:rsidRDefault="008B4F8C" w:rsidP="00F83AD6">
      <w:pPr>
        <w:rPr>
          <w:rFonts w:cs="Arial"/>
        </w:rPr>
      </w:pPr>
    </w:p>
    <w:p w14:paraId="357937F5" w14:textId="77777777" w:rsidR="008B4F8C" w:rsidRPr="008B1F04" w:rsidRDefault="00917C25" w:rsidP="005E6038">
      <w:pPr>
        <w:ind w:left="2160" w:firstLine="720"/>
        <w:rPr>
          <w:b/>
        </w:rPr>
      </w:pPr>
      <w:r w:rsidRPr="008B1F04">
        <w:rPr>
          <w:b/>
        </w:rPr>
        <w:t>Sample Cases Holding Child’s Statement I</w:t>
      </w:r>
      <w:r w:rsidR="008B4F8C" w:rsidRPr="008B1F04">
        <w:rPr>
          <w:b/>
        </w:rPr>
        <w:t xml:space="preserve">nadmissible </w:t>
      </w:r>
    </w:p>
    <w:p w14:paraId="0664888D" w14:textId="77777777" w:rsidR="008B4F8C" w:rsidRPr="008B1F04" w:rsidRDefault="008B4F8C" w:rsidP="00EF180B">
      <w:pPr>
        <w:ind w:left="3600"/>
        <w:rPr>
          <w:rFonts w:cs="Arial"/>
        </w:rPr>
      </w:pPr>
    </w:p>
    <w:p w14:paraId="59D734D4" w14:textId="77777777" w:rsidR="008B4F8C" w:rsidRPr="008B1F04" w:rsidRDefault="0083038F" w:rsidP="00096966">
      <w:pPr>
        <w:ind w:left="2880"/>
        <w:rPr>
          <w:rFonts w:cs="Arial"/>
        </w:rPr>
      </w:pPr>
      <w:r w:rsidRPr="008B1F04">
        <w:rPr>
          <w:rFonts w:cs="Arial"/>
        </w:rPr>
        <w:t xml:space="preserve">State v. Waddell, 351 N.C. 413, 418 (2000) (a child’s statements to a psychologist were inadmissible when the psychologist’s interview with the child took place after the initial medical </w:t>
      </w:r>
      <w:r w:rsidRPr="008B1F04">
        <w:rPr>
          <w:rFonts w:cs="Arial"/>
        </w:rPr>
        <w:lastRenderedPageBreak/>
        <w:t>examination in a child friendly room and with a series of leading questions; there was no evidence that the child had a medical treatment motive or that the psychologist or anyone else explained to the child the medical purpose of the interview or the importance of truthful answers)</w:t>
      </w:r>
      <w:r w:rsidR="008B4F8C" w:rsidRPr="008B1F04">
        <w:rPr>
          <w:rFonts w:cs="Arial"/>
        </w:rPr>
        <w:t>.</w:t>
      </w:r>
    </w:p>
    <w:p w14:paraId="30129E48" w14:textId="77777777" w:rsidR="008B4F8C" w:rsidRPr="008B1F04" w:rsidRDefault="008B4F8C" w:rsidP="00096966">
      <w:pPr>
        <w:ind w:left="2880"/>
        <w:rPr>
          <w:rFonts w:cs="Arial"/>
        </w:rPr>
      </w:pPr>
    </w:p>
    <w:p w14:paraId="554EEDE5" w14:textId="77777777" w:rsidR="008B4F8C" w:rsidRPr="008B1F04" w:rsidRDefault="0083038F" w:rsidP="00096966">
      <w:pPr>
        <w:ind w:left="2880"/>
        <w:rPr>
          <w:rFonts w:cs="Arial"/>
        </w:rPr>
      </w:pPr>
      <w:r w:rsidRPr="008B1F04">
        <w:rPr>
          <w:rFonts w:cs="Arial"/>
        </w:rPr>
        <w:t xml:space="preserve">State v. </w:t>
      </w:r>
      <w:proofErr w:type="spellStart"/>
      <w:r w:rsidRPr="008B1F04">
        <w:rPr>
          <w:rFonts w:cs="Arial"/>
        </w:rPr>
        <w:t>Hinnant</w:t>
      </w:r>
      <w:proofErr w:type="spellEnd"/>
      <w:r w:rsidRPr="008B1F04">
        <w:rPr>
          <w:rFonts w:cs="Arial"/>
        </w:rPr>
        <w:t>, 351 N.C. 277, 289–91 (2000) (the evidence was insufficient to establish that the child understood that a clinical psychologist was conducting the interview to provide medical diagnosis or treatment; no one explained to the child the medical purpose of the interview or the importance of truthful answers, the interview was not conducted in a medical environment but rather in a child friendly room, and the entire interview consisted of leading questions).</w:t>
      </w:r>
      <w:r w:rsidR="008B4F8C" w:rsidRPr="008B1F04">
        <w:rPr>
          <w:rFonts w:cs="Arial"/>
        </w:rPr>
        <w:t xml:space="preserve"> </w:t>
      </w:r>
    </w:p>
    <w:p w14:paraId="50095DCE" w14:textId="77777777" w:rsidR="008B4F8C" w:rsidRPr="008B1F04" w:rsidRDefault="008B4F8C" w:rsidP="00096966">
      <w:pPr>
        <w:ind w:left="2880"/>
        <w:rPr>
          <w:rFonts w:cs="Arial"/>
        </w:rPr>
      </w:pPr>
    </w:p>
    <w:p w14:paraId="12608C18" w14:textId="77777777" w:rsidR="008B4F8C" w:rsidRPr="008B1F04" w:rsidRDefault="0083038F" w:rsidP="00096966">
      <w:pPr>
        <w:ind w:left="2880"/>
        <w:rPr>
          <w:rFonts w:cs="Arial"/>
        </w:rPr>
      </w:pPr>
      <w:r w:rsidRPr="008B1F04">
        <w:rPr>
          <w:rFonts w:cs="Arial"/>
        </w:rPr>
        <w:t>In re T.C.S., 148 N.C. App. 297, 303 (2002) (the trial court erred by admitting statements of a child victim to a social worker where the record failed to show that the victim had a treatment motive)</w:t>
      </w:r>
      <w:r w:rsidR="008B4F8C" w:rsidRPr="008B1F04">
        <w:rPr>
          <w:rFonts w:cs="Arial"/>
        </w:rPr>
        <w:t>.</w:t>
      </w:r>
    </w:p>
    <w:p w14:paraId="1CEB298C" w14:textId="77777777" w:rsidR="008B4F8C" w:rsidRPr="008B1F04" w:rsidRDefault="008B4F8C" w:rsidP="00096966">
      <w:pPr>
        <w:ind w:left="2880"/>
        <w:rPr>
          <w:rFonts w:cs="Arial"/>
        </w:rPr>
      </w:pPr>
    </w:p>
    <w:p w14:paraId="04A59583" w14:textId="77777777" w:rsidR="008B4F8C" w:rsidRPr="008B1F04" w:rsidRDefault="0083038F" w:rsidP="00096966">
      <w:pPr>
        <w:ind w:left="2880"/>
        <w:rPr>
          <w:rFonts w:cs="Arial"/>
        </w:rPr>
      </w:pPr>
      <w:r w:rsidRPr="008B1F04">
        <w:rPr>
          <w:rFonts w:cs="Arial"/>
        </w:rPr>
        <w:t>State v. Watts, 141 N.C. App. 104, 108 (2000) (a child’s statement to a nurse who examined the child upon her arrival at the hospital, to a doctor who served as the Child Medical Examiner, and to a doctor who served as the Child Mental Health Examiner were inadmissible where there was no evidence that the child understood that she was making the statements for medical purposes or the medical purpose of the examination; there was no evidence that the importance of truthful answers was adequately explained to her; the nurse testified that the child “really didn’t know what was going on” and that she “acted like she didn’t know what she was even there for”).</w:t>
      </w:r>
    </w:p>
    <w:p w14:paraId="5F657829" w14:textId="77777777" w:rsidR="008B4F8C" w:rsidRPr="008B1F04" w:rsidRDefault="008B4F8C" w:rsidP="00096966">
      <w:pPr>
        <w:ind w:left="2880"/>
        <w:rPr>
          <w:rFonts w:cs="Arial"/>
        </w:rPr>
      </w:pPr>
    </w:p>
    <w:p w14:paraId="52BFB83A" w14:textId="77777777" w:rsidR="008B4F8C" w:rsidRPr="008B1F04" w:rsidRDefault="0083038F" w:rsidP="00096966">
      <w:pPr>
        <w:ind w:left="2880"/>
        <w:rPr>
          <w:rFonts w:cs="Arial"/>
        </w:rPr>
      </w:pPr>
      <w:r w:rsidRPr="008B1F04">
        <w:rPr>
          <w:rFonts w:cs="Arial"/>
        </w:rPr>
        <w:t>State v. Bates, 140 N.C. App. 743, 746–47 (2000) (a child’s statement to a psychologist with a Sexual Abuse Team regarding alleged sexual abuse were inadmissible where the record failed to show that the child had a treatment motive; when the child arrived at the office, she told the psychologist that she did not know why she was there; although the psychologist told the child that it was her job to “talk to kids about their problems,” she never clarified that the child needed treatment or emphasized the need for honesty; the interview occurred in a child friendly room and leading questions were used)</w:t>
      </w:r>
      <w:r w:rsidR="008B4F8C" w:rsidRPr="008B1F04">
        <w:rPr>
          <w:rFonts w:cs="Arial"/>
        </w:rPr>
        <w:t>.</w:t>
      </w:r>
    </w:p>
    <w:p w14:paraId="200B622A" w14:textId="77777777" w:rsidR="008B4F8C" w:rsidRPr="008B1F04" w:rsidRDefault="008B4F8C" w:rsidP="00096966">
      <w:pPr>
        <w:ind w:left="2880"/>
        <w:rPr>
          <w:rFonts w:cs="Arial"/>
        </w:rPr>
      </w:pPr>
    </w:p>
    <w:p w14:paraId="6FC1979B" w14:textId="77777777" w:rsidR="008B4F8C" w:rsidRPr="008B1F04" w:rsidRDefault="0083038F" w:rsidP="00096966">
      <w:pPr>
        <w:ind w:left="2880"/>
        <w:rPr>
          <w:rFonts w:cs="Arial"/>
        </w:rPr>
      </w:pPr>
      <w:r w:rsidRPr="008B1F04">
        <w:rPr>
          <w:rFonts w:cs="Arial"/>
        </w:rPr>
        <w:t xml:space="preserve">State v. McGraw, 137 N.C. App. 726, 729 (2000) (a child’s statements to her mother that the defendant had touched her “private part,” was “rubbing her hard,” and that it hurt were inadmissible under this exception; there was no evidence that the child made the statements to her mother “with the understanding that they would lead to medical treatment[; t]he mother’s testimony [did] not reveal how [the] discussion was initiated, and there [was] no evidence that [the child] understood her mother to be asking </w:t>
      </w:r>
      <w:r w:rsidRPr="008B1F04">
        <w:rPr>
          <w:rFonts w:cs="Arial"/>
        </w:rPr>
        <w:lastRenderedPageBreak/>
        <w:t>her about the incident in order to provide medical diagnosis or treatment”).</w:t>
      </w:r>
    </w:p>
    <w:p w14:paraId="70E217E8" w14:textId="77777777" w:rsidR="005E6038" w:rsidRPr="008B1F04" w:rsidRDefault="005E6038" w:rsidP="005E6038">
      <w:pPr>
        <w:ind w:left="2160" w:firstLine="720"/>
        <w:rPr>
          <w:b/>
        </w:rPr>
      </w:pPr>
    </w:p>
    <w:p w14:paraId="2CBC1033" w14:textId="77777777" w:rsidR="008B4F8C" w:rsidRPr="008B1F04" w:rsidRDefault="00917C25" w:rsidP="005E6038">
      <w:pPr>
        <w:ind w:left="2160" w:firstLine="720"/>
        <w:rPr>
          <w:b/>
        </w:rPr>
      </w:pPr>
      <w:r w:rsidRPr="008B1F04">
        <w:rPr>
          <w:b/>
        </w:rPr>
        <w:t>Sample Cases H</w:t>
      </w:r>
      <w:r w:rsidR="008B4F8C" w:rsidRPr="008B1F04">
        <w:rPr>
          <w:b/>
        </w:rPr>
        <w:t xml:space="preserve">olding </w:t>
      </w:r>
      <w:r w:rsidRPr="008B1F04">
        <w:rPr>
          <w:b/>
        </w:rPr>
        <w:t>C</w:t>
      </w:r>
      <w:r w:rsidR="008B4F8C" w:rsidRPr="008B1F04">
        <w:rPr>
          <w:b/>
        </w:rPr>
        <w:t xml:space="preserve">hild’s </w:t>
      </w:r>
      <w:r w:rsidRPr="008B1F04">
        <w:rPr>
          <w:b/>
        </w:rPr>
        <w:t>S</w:t>
      </w:r>
      <w:r w:rsidR="008B4F8C" w:rsidRPr="008B1F04">
        <w:rPr>
          <w:b/>
        </w:rPr>
        <w:t xml:space="preserve">tatements </w:t>
      </w:r>
      <w:r w:rsidRPr="008B1F04">
        <w:rPr>
          <w:b/>
        </w:rPr>
        <w:t>A</w:t>
      </w:r>
      <w:r w:rsidR="008B4F8C" w:rsidRPr="008B1F04">
        <w:rPr>
          <w:b/>
        </w:rPr>
        <w:t xml:space="preserve">dmissible </w:t>
      </w:r>
    </w:p>
    <w:p w14:paraId="45C6442D" w14:textId="77777777" w:rsidR="008B4F8C" w:rsidRPr="008B1F04" w:rsidRDefault="008B4F8C" w:rsidP="00096966">
      <w:pPr>
        <w:ind w:left="2880"/>
        <w:rPr>
          <w:rFonts w:cs="Arial"/>
        </w:rPr>
      </w:pPr>
    </w:p>
    <w:p w14:paraId="62324F68" w14:textId="77777777" w:rsidR="008B4F8C" w:rsidRPr="008B1F04" w:rsidRDefault="0083038F" w:rsidP="00096966">
      <w:pPr>
        <w:ind w:left="2880"/>
        <w:rPr>
          <w:rFonts w:cs="Arial"/>
        </w:rPr>
      </w:pPr>
      <w:r w:rsidRPr="008B1F04">
        <w:rPr>
          <w:rFonts w:cs="Arial"/>
        </w:rPr>
        <w:t>State v. Burgess</w:t>
      </w:r>
      <w:r w:rsidR="008B4F8C" w:rsidRPr="008B1F04">
        <w:rPr>
          <w:rFonts w:cs="Arial"/>
        </w:rPr>
        <w:t>, 181 N.C. App. 27, 34-35 (2007) (statements made to pediatric nurses at a Children’s Advocacy Center prior to examination by a doctor were properly admitted</w:t>
      </w:r>
      <w:r w:rsidR="00917C25" w:rsidRPr="008B1F04">
        <w:rPr>
          <w:rFonts w:cs="Arial"/>
        </w:rPr>
        <w:t xml:space="preserve"> </w:t>
      </w:r>
      <w:r w:rsidR="005425EB" w:rsidRPr="008B1F04">
        <w:rPr>
          <w:rFonts w:cs="Arial"/>
        </w:rPr>
        <w:t xml:space="preserve">where a nurse explained to child that the purpose of the child’s visit to the Children’s Center was a check up with the doctor; the court found the case indistinguishable from </w:t>
      </w:r>
      <w:r w:rsidR="005425EB" w:rsidRPr="008B1F04">
        <w:rPr>
          <w:rFonts w:cs="Arial"/>
          <w:i/>
        </w:rPr>
        <w:t xml:space="preserve">Lewis </w:t>
      </w:r>
      <w:r w:rsidR="005425EB" w:rsidRPr="008B1F04">
        <w:rPr>
          <w:rFonts w:cs="Arial"/>
        </w:rPr>
        <w:t xml:space="preserve">and </w:t>
      </w:r>
      <w:r w:rsidR="005425EB" w:rsidRPr="008B1F04">
        <w:rPr>
          <w:rFonts w:cs="Arial"/>
          <w:i/>
        </w:rPr>
        <w:t>Isenberg</w:t>
      </w:r>
      <w:r w:rsidR="005425EB" w:rsidRPr="008B1F04">
        <w:rPr>
          <w:rFonts w:cs="Arial"/>
        </w:rPr>
        <w:t xml:space="preserve"> (below)</w:t>
      </w:r>
      <w:r w:rsidR="008B4F8C" w:rsidRPr="008B1F04">
        <w:rPr>
          <w:rFonts w:cs="Arial"/>
        </w:rPr>
        <w:t>).</w:t>
      </w:r>
    </w:p>
    <w:p w14:paraId="3F1D398C" w14:textId="77777777" w:rsidR="008B4F8C" w:rsidRPr="008B1F04" w:rsidRDefault="008B4F8C" w:rsidP="00096966">
      <w:pPr>
        <w:ind w:left="2880"/>
        <w:rPr>
          <w:rFonts w:cs="Arial"/>
        </w:rPr>
      </w:pPr>
    </w:p>
    <w:p w14:paraId="5F3597DC" w14:textId="77777777" w:rsidR="008B4F8C" w:rsidRPr="008B1F04" w:rsidRDefault="0083038F" w:rsidP="00096966">
      <w:pPr>
        <w:ind w:left="2880"/>
        <w:rPr>
          <w:rFonts w:cs="Arial"/>
        </w:rPr>
      </w:pPr>
      <w:r w:rsidRPr="008B1F04">
        <w:rPr>
          <w:rFonts w:cs="Arial"/>
        </w:rPr>
        <w:t>State v. Lewis, 172 N.C. App. 97, 104–05 (2005) (children’s statements to nurses at a Children’s Advocacy Center fell within the exception where “the children were old enough to understand [that] the interviews had a medical purpose, and they indicated as such[,] . . . the circumstances surrounding the interviews created an atmosphere of medical significance[,] the interviews took place at a medical center, with a registered nurse, immediately prior to a physical examination[, and a]</w:t>
      </w:r>
      <w:proofErr w:type="spellStart"/>
      <w:r w:rsidRPr="008B1F04">
        <w:rPr>
          <w:rFonts w:cs="Arial"/>
        </w:rPr>
        <w:t>lthough</w:t>
      </w:r>
      <w:proofErr w:type="spellEnd"/>
      <w:r w:rsidRPr="008B1F04">
        <w:rPr>
          <w:rFonts w:cs="Arial"/>
        </w:rPr>
        <w:t xml:space="preserve"> the interviews took place in a ‘child-friendly’ room,” the trial court properly considered “‘all objective circumstances of record’” surrounding the statements in determining whether the declarants possessed the requisite intent).</w:t>
      </w:r>
    </w:p>
    <w:p w14:paraId="260FB142" w14:textId="77777777" w:rsidR="008B4F8C" w:rsidRPr="008B1F04" w:rsidRDefault="008B4F8C" w:rsidP="00096966">
      <w:pPr>
        <w:ind w:left="2880"/>
        <w:rPr>
          <w:rFonts w:cs="Arial"/>
        </w:rPr>
      </w:pPr>
    </w:p>
    <w:p w14:paraId="430FFEC1" w14:textId="77777777" w:rsidR="008B4F8C" w:rsidRPr="008B1F04" w:rsidRDefault="0083038F" w:rsidP="00096966">
      <w:pPr>
        <w:ind w:left="2880"/>
        <w:rPr>
          <w:rFonts w:cs="Arial"/>
        </w:rPr>
      </w:pPr>
      <w:r w:rsidRPr="008B1F04">
        <w:rPr>
          <w:rFonts w:cs="Arial"/>
        </w:rPr>
        <w:t xml:space="preserve">In re </w:t>
      </w:r>
      <w:proofErr w:type="spellStart"/>
      <w:r w:rsidRPr="008B1F04">
        <w:rPr>
          <w:rFonts w:cs="Arial"/>
        </w:rPr>
        <w:t>Mashburn</w:t>
      </w:r>
      <w:proofErr w:type="spellEnd"/>
      <w:r w:rsidRPr="008B1F04">
        <w:rPr>
          <w:rFonts w:cs="Arial"/>
        </w:rPr>
        <w:t>, 162 N.C. App. 386, 393-95 (2004) (one of the child victim’s statements to a nurse during a medical history interview conducted prior to a physical examination was admissible where the importance of telling the truth was explained to the child, the child indicated that she was being interviewed because she had been molested and “discussed her abuse in a clear effort to obtain a diagnosis,” and the child’s concern about pregnancy “was reasonably related to procuring testing for pregnancy and sexually transmitted diseases”; both victims’ statements to a mental health professional qualified under the exception where the mental health professional diagnosed the children with a variety of mental health problems and recommended a course of treatment).</w:t>
      </w:r>
    </w:p>
    <w:p w14:paraId="57ACFA6B" w14:textId="77777777" w:rsidR="008B4F8C" w:rsidRPr="008B1F04" w:rsidRDefault="008B4F8C" w:rsidP="00096966">
      <w:pPr>
        <w:ind w:left="2880"/>
        <w:rPr>
          <w:rFonts w:cs="Arial"/>
        </w:rPr>
      </w:pPr>
    </w:p>
    <w:p w14:paraId="220FBF94" w14:textId="77777777" w:rsidR="008B4F8C" w:rsidRPr="008B1F04" w:rsidRDefault="0083038F" w:rsidP="00096966">
      <w:pPr>
        <w:ind w:left="2880"/>
        <w:rPr>
          <w:rFonts w:cs="Arial"/>
        </w:rPr>
      </w:pPr>
      <w:r w:rsidRPr="008B1F04">
        <w:rPr>
          <w:rFonts w:cs="Arial"/>
        </w:rPr>
        <w:t xml:space="preserve">State v. Thornton, 158 N.C. App. 645, 650-51 (2003) (a child’s statements to a licensed clinical social worker were admissible where the child’s medical and psychological evaluations took place at a Center for Child and Family Health that used a team approach for the diagnosis and treatment of sexually abused children; the medical doctor who conducted the child’s medical examination and the social worker who conducted the interviews worked in the same building in nearby offices; both the physical examination and the social worker’s interview were conducted on the same day; the child was aware that she was in a doctor’s office, the social worker worked with the doctor, and the social worker’s job was to help the child; the social worker explained the </w:t>
      </w:r>
      <w:r w:rsidRPr="008B1F04">
        <w:rPr>
          <w:rFonts w:cs="Arial"/>
        </w:rPr>
        <w:lastRenderedPageBreak/>
        <w:t>importance of being truthful; the social worker asked the child general questions about her home life and non-leading questions about any touching that may have occurred).</w:t>
      </w:r>
    </w:p>
    <w:p w14:paraId="51354909" w14:textId="77777777" w:rsidR="008B4F8C" w:rsidRPr="008B1F04" w:rsidRDefault="008B4F8C" w:rsidP="00096966">
      <w:pPr>
        <w:ind w:left="2880"/>
        <w:rPr>
          <w:rFonts w:cs="Arial"/>
        </w:rPr>
      </w:pPr>
    </w:p>
    <w:p w14:paraId="043FC7EC" w14:textId="77777777" w:rsidR="008B4F8C" w:rsidRPr="008B1F04" w:rsidRDefault="0083038F" w:rsidP="00096966">
      <w:pPr>
        <w:ind w:left="2880"/>
        <w:rPr>
          <w:rFonts w:cs="Arial"/>
        </w:rPr>
      </w:pPr>
      <w:r w:rsidRPr="008B1F04">
        <w:rPr>
          <w:rFonts w:cs="Arial"/>
        </w:rPr>
        <w:t>State v. Isenberg, 148 N.C. App. 29, 36–39 (2001) (a child’s statements to a pediatric nurse at a Children’s Advocacy Center were admissible when the nurse’s interview of the child took place in a hospital pediatric ward, with the nurse in a uniform and wearing a nurse’s badge; before the interview, the nurse explained to the child that the child would see a doctor for a physical examination, asked the child whether she understood the difference between the truth and a lie, and instructed her to be truthful; the purpose of the interview was to obtain information from the child about her physical condition; the child’s statements to an examining medical doctor also were made for purposes of medical diagnosis and treatment when the examination occurred in a medical examination room, the doctor told the child that she would be examined from head to toe, the doctor’s examination was similar to any other standard physical examination, and the purpose of the examination was to determine whether the child had been injured, to render treatment, perform diagnostic studies, and make appropriate referrals to specialists).</w:t>
      </w:r>
      <w:r w:rsidR="008B4F8C" w:rsidRPr="008B1F04">
        <w:rPr>
          <w:rFonts w:cs="Arial"/>
        </w:rPr>
        <w:t xml:space="preserve"> </w:t>
      </w:r>
    </w:p>
    <w:p w14:paraId="1DE5608F" w14:textId="77777777" w:rsidR="008B4F8C" w:rsidRPr="008B1F04" w:rsidRDefault="008B4F8C" w:rsidP="00096966">
      <w:pPr>
        <w:ind w:left="2880"/>
        <w:rPr>
          <w:rFonts w:cs="Arial"/>
        </w:rPr>
      </w:pPr>
    </w:p>
    <w:p w14:paraId="03B60DCB" w14:textId="77777777" w:rsidR="008B4F8C" w:rsidRPr="008B1F04" w:rsidRDefault="0083038F" w:rsidP="00096966">
      <w:pPr>
        <w:ind w:left="2880"/>
        <w:rPr>
          <w:rFonts w:cs="Arial"/>
        </w:rPr>
      </w:pPr>
      <w:r w:rsidRPr="008B1F04">
        <w:rPr>
          <w:rFonts w:cs="Arial"/>
        </w:rPr>
        <w:t>State v. Stancil, 146 N.C. App. 234, 242 (2001) (a child victim’s statements were admissible where the interviews occurred in the hospital “almost immediately” after the incident; the child had run home and told her father about the assault and the father quickly called the police; “[w]</w:t>
      </w:r>
      <w:proofErr w:type="spellStart"/>
      <w:r w:rsidRPr="008B1F04">
        <w:rPr>
          <w:rFonts w:cs="Arial"/>
        </w:rPr>
        <w:t>ithin</w:t>
      </w:r>
      <w:proofErr w:type="spellEnd"/>
      <w:r w:rsidRPr="008B1F04">
        <w:rPr>
          <w:rFonts w:cs="Arial"/>
        </w:rPr>
        <w:t xml:space="preserve"> hours and while still emotionally upset,” the child was taken to the hospital where she was interviewed by a psychologist with a Child Advocacy Center, a certified sexual assault nurse, and a pediatrician in order to determine a diagnosis; the child indicated that she went to the hospital because the defendant “hurt her privacy;” the child returned to see the pediatrician five days later due to abdominal pain and headaches).</w:t>
      </w:r>
    </w:p>
    <w:p w14:paraId="7A3BCEED" w14:textId="77777777" w:rsidR="008B4F8C" w:rsidRPr="008B1F04" w:rsidRDefault="008B4F8C" w:rsidP="00096966">
      <w:pPr>
        <w:ind w:left="2880"/>
        <w:rPr>
          <w:rFonts w:cs="Arial"/>
        </w:rPr>
      </w:pPr>
    </w:p>
    <w:p w14:paraId="637E646A" w14:textId="77777777" w:rsidR="008B4F8C" w:rsidRPr="008B1F04" w:rsidRDefault="0083038F" w:rsidP="00096966">
      <w:pPr>
        <w:ind w:left="2880"/>
        <w:rPr>
          <w:rFonts w:cs="Arial"/>
        </w:rPr>
      </w:pPr>
      <w:r w:rsidRPr="008B1F04">
        <w:rPr>
          <w:rFonts w:cs="Arial"/>
        </w:rPr>
        <w:t>In re Clapp, 137 N.C. App. 14, 21-22 (2000) (a child’s statements to her mother and to a doctor could have been admitted under this exception; immediately after the incident, the child came out of her bedroom “pulling at her crotch [or] . . . panties” and told her mother that the juvenile made her take off her clothes and then licked her privates; that same day, the child’s mother took her to a hospital emergency room where the child informed the examining doctor that the juvenile had licked her privates).</w:t>
      </w:r>
    </w:p>
    <w:p w14:paraId="02DF1C57" w14:textId="77777777" w:rsidR="008B277D" w:rsidRPr="008B1F04" w:rsidRDefault="008B277D" w:rsidP="00F83AD6">
      <w:pPr>
        <w:rPr>
          <w:rFonts w:cs="Arial"/>
        </w:rPr>
      </w:pPr>
    </w:p>
    <w:p w14:paraId="444EE350" w14:textId="77777777" w:rsidR="007D2758" w:rsidRPr="008B1F04" w:rsidRDefault="008B277D" w:rsidP="007D2758">
      <w:pPr>
        <w:pStyle w:val="ListParagraph"/>
        <w:numPr>
          <w:ilvl w:val="1"/>
          <w:numId w:val="37"/>
        </w:numPr>
        <w:rPr>
          <w:rFonts w:cs="Arial"/>
        </w:rPr>
      </w:pPr>
      <w:r w:rsidRPr="008B1F04">
        <w:rPr>
          <w:b/>
        </w:rPr>
        <w:t>Reasonably Pertinent to Diagnosis/Treatment</w:t>
      </w:r>
      <w:r w:rsidR="007D2758" w:rsidRPr="008B1F04">
        <w:rPr>
          <w:b/>
        </w:rPr>
        <w:t xml:space="preserve">. </w:t>
      </w:r>
      <w:r w:rsidRPr="008B1F04">
        <w:rPr>
          <w:rFonts w:cs="Arial"/>
        </w:rPr>
        <w:t xml:space="preserve">The rule requires that the statement be “reasonably pertinent to diagnosis or treatment.” </w:t>
      </w:r>
      <w:r w:rsidR="0083038F" w:rsidRPr="008B1F04">
        <w:rPr>
          <w:rFonts w:cs="Arial"/>
        </w:rPr>
        <w:t>N.C. R. Evid. 803(4)</w:t>
      </w:r>
      <w:r w:rsidR="008B4F8C" w:rsidRPr="008B1F04">
        <w:rPr>
          <w:rFonts w:cs="Arial"/>
        </w:rPr>
        <w:t>;</w:t>
      </w:r>
      <w:r w:rsidR="008D37A3" w:rsidRPr="008B1F04">
        <w:rPr>
          <w:rFonts w:cs="Arial"/>
        </w:rPr>
        <w:t xml:space="preserve"> </w:t>
      </w:r>
      <w:r w:rsidR="008D37A3" w:rsidRPr="008B1F04">
        <w:rPr>
          <w:rFonts w:cs="Arial"/>
          <w:i/>
        </w:rPr>
        <w:t>see</w:t>
      </w:r>
      <w:r w:rsidR="008D37A3" w:rsidRPr="008B1F04">
        <w:rPr>
          <w:rFonts w:cs="Arial"/>
        </w:rPr>
        <w:t xml:space="preserve">, </w:t>
      </w:r>
      <w:r w:rsidR="008D37A3" w:rsidRPr="008B1F04">
        <w:rPr>
          <w:rFonts w:cs="Arial"/>
          <w:i/>
        </w:rPr>
        <w:t>e.g</w:t>
      </w:r>
      <w:r w:rsidR="008D37A3" w:rsidRPr="008B1F04">
        <w:rPr>
          <w:rFonts w:cs="Arial"/>
        </w:rPr>
        <w:t xml:space="preserve">., </w:t>
      </w:r>
      <w:r w:rsidR="0083038F" w:rsidRPr="008B1F04">
        <w:rPr>
          <w:rFonts w:cs="Arial"/>
        </w:rPr>
        <w:t>State v. Isenberg, 148 N.C. App. 29, 38-39 (2001) (child sexual abuse victim's statements indicating how and where she was touched satisfied this requirement)</w:t>
      </w:r>
      <w:r w:rsidR="008D37A3" w:rsidRPr="008B1F04">
        <w:rPr>
          <w:rFonts w:cs="Arial"/>
        </w:rPr>
        <w:t xml:space="preserve">. </w:t>
      </w:r>
      <w:r w:rsidR="00494FB0" w:rsidRPr="008B1F04">
        <w:rPr>
          <w:rFonts w:cs="Arial"/>
        </w:rPr>
        <w:t>The court</w:t>
      </w:r>
      <w:r w:rsidR="00A71A9B" w:rsidRPr="008B1F04">
        <w:rPr>
          <w:rFonts w:cs="Arial"/>
        </w:rPr>
        <w:t>s</w:t>
      </w:r>
      <w:r w:rsidR="00494FB0" w:rsidRPr="008B1F04">
        <w:rPr>
          <w:rFonts w:cs="Arial"/>
        </w:rPr>
        <w:t xml:space="preserve"> have explained this requirement, </w:t>
      </w:r>
      <w:r w:rsidR="00494FB0" w:rsidRPr="008B1F04">
        <w:rPr>
          <w:rFonts w:cs="Arial"/>
        </w:rPr>
        <w:lastRenderedPageBreak/>
        <w:t xml:space="preserve">noting that </w:t>
      </w:r>
      <w:r w:rsidR="006976D4" w:rsidRPr="008B1F04">
        <w:rPr>
          <w:rFonts w:cs="Arial"/>
        </w:rPr>
        <w:t>“[</w:t>
      </w:r>
      <w:proofErr w:type="spellStart"/>
      <w:r w:rsidR="00494FB0" w:rsidRPr="008B1F04">
        <w:rPr>
          <w:rFonts w:cs="Arial"/>
        </w:rPr>
        <w:t>i</w:t>
      </w:r>
      <w:proofErr w:type="spellEnd"/>
      <w:r w:rsidR="006976D4" w:rsidRPr="008B1F04">
        <w:rPr>
          <w:rFonts w:cs="Arial"/>
        </w:rPr>
        <w:t>]</w:t>
      </w:r>
      <w:proofErr w:type="spellStart"/>
      <w:r w:rsidR="00494FB0" w:rsidRPr="008B1F04">
        <w:rPr>
          <w:rFonts w:cs="Arial"/>
        </w:rPr>
        <w:t>f</w:t>
      </w:r>
      <w:proofErr w:type="spellEnd"/>
      <w:r w:rsidR="00494FB0" w:rsidRPr="008B1F04">
        <w:rPr>
          <w:rFonts w:cs="Arial"/>
        </w:rPr>
        <w:t xml:space="preserve"> the declarant's statements are not pertinent to medical diagnosis, the declarant has no treatment-based motivation to be truthful.</w:t>
      </w:r>
      <w:r w:rsidR="006976D4" w:rsidRPr="008B1F04">
        <w:rPr>
          <w:rFonts w:cs="Arial"/>
        </w:rPr>
        <w:t>”</w:t>
      </w:r>
      <w:r w:rsidR="00494FB0" w:rsidRPr="008B1F04">
        <w:rPr>
          <w:rFonts w:cs="Arial"/>
        </w:rPr>
        <w:t xml:space="preserve"> </w:t>
      </w:r>
      <w:r w:rsidR="0083038F" w:rsidRPr="008B1F04">
        <w:rPr>
          <w:rFonts w:cs="Arial"/>
        </w:rPr>
        <w:t xml:space="preserve">State v. </w:t>
      </w:r>
      <w:proofErr w:type="spellStart"/>
      <w:r w:rsidR="0083038F" w:rsidRPr="008B1F04">
        <w:rPr>
          <w:rFonts w:cs="Arial"/>
        </w:rPr>
        <w:t>Hinnant</w:t>
      </w:r>
      <w:proofErr w:type="spellEnd"/>
      <w:r w:rsidR="0083038F" w:rsidRPr="008B1F04">
        <w:rPr>
          <w:rFonts w:cs="Arial"/>
        </w:rPr>
        <w:t>, 351 N.C. 277, 289 (2000)</w:t>
      </w:r>
      <w:r w:rsidR="00494FB0" w:rsidRPr="008B1F04">
        <w:rPr>
          <w:rFonts w:cs="Arial"/>
        </w:rPr>
        <w:t xml:space="preserve">. </w:t>
      </w:r>
    </w:p>
    <w:p w14:paraId="21734643" w14:textId="77777777" w:rsidR="007D2758" w:rsidRPr="008B1F04" w:rsidRDefault="00A71A9B" w:rsidP="007D2758">
      <w:pPr>
        <w:pStyle w:val="ListParagraph"/>
        <w:ind w:left="2880" w:firstLine="360"/>
        <w:rPr>
          <w:rFonts w:cs="Arial"/>
        </w:rPr>
      </w:pPr>
      <w:r w:rsidRPr="008B1F04">
        <w:rPr>
          <w:rFonts w:cs="Arial"/>
        </w:rPr>
        <w:t>Statements made after the de</w:t>
      </w:r>
      <w:r w:rsidR="000A6D04" w:rsidRPr="008B1F04">
        <w:rPr>
          <w:rFonts w:cs="Arial"/>
        </w:rPr>
        <w:t xml:space="preserve">clarant received medical treatment typically fail to meet this requirement. </w:t>
      </w:r>
      <w:proofErr w:type="spellStart"/>
      <w:r w:rsidR="0083038F" w:rsidRPr="008B1F04">
        <w:rPr>
          <w:rFonts w:cs="Arial"/>
          <w:i/>
        </w:rPr>
        <w:t>Hinnant</w:t>
      </w:r>
      <w:proofErr w:type="spellEnd"/>
      <w:r w:rsidR="0083038F" w:rsidRPr="008B1F04">
        <w:rPr>
          <w:rFonts w:cs="Arial"/>
        </w:rPr>
        <w:t>, 351 N.C. at 290 (a child’s statements to a clinical psychologist were not reasonably pertinent to medical diagnosis or treatment when the psychologist did not meet with the child until approximately two weeks after the child’s initial medical examination, which was conducted on the night in question, consisted of an external genital exam, and revealed no signs of trauma)</w:t>
      </w:r>
      <w:r w:rsidR="004D3728" w:rsidRPr="008B1F04">
        <w:rPr>
          <w:rFonts w:cs="Arial"/>
        </w:rPr>
        <w:t xml:space="preserve">; </w:t>
      </w:r>
      <w:r w:rsidR="0083038F" w:rsidRPr="008B1F04">
        <w:rPr>
          <w:rFonts w:cs="Arial"/>
        </w:rPr>
        <w:t>State v. Smith, 315 N.C. 76, 86 (victim’s statements to rape task force volunteer made after the victim received an initial diagnosis and treatment were inadmissible)</w:t>
      </w:r>
      <w:r w:rsidR="004D3728" w:rsidRPr="008B1F04">
        <w:rPr>
          <w:rFonts w:cs="Arial"/>
        </w:rPr>
        <w:t xml:space="preserve">; </w:t>
      </w:r>
      <w:r w:rsidR="0083038F" w:rsidRPr="008B1F04">
        <w:rPr>
          <w:rFonts w:cs="Arial"/>
        </w:rPr>
        <w:t>State v. Watts, 141 N.C. App. 104, 108 (2000) (statements to doctors inadmissible when made three months after the child’s initial medical examination)</w:t>
      </w:r>
      <w:r w:rsidR="004D3728" w:rsidRPr="008B1F04">
        <w:rPr>
          <w:rFonts w:cs="Arial"/>
        </w:rPr>
        <w:t>.</w:t>
      </w:r>
      <w:r w:rsidR="00493EE6" w:rsidRPr="008B1F04">
        <w:rPr>
          <w:rFonts w:cs="Arial"/>
        </w:rPr>
        <w:t xml:space="preserve"> </w:t>
      </w:r>
    </w:p>
    <w:p w14:paraId="5E5B4CC8" w14:textId="77777777" w:rsidR="007D2758" w:rsidRPr="008B1F04" w:rsidRDefault="00AD3ADD" w:rsidP="007D2758">
      <w:pPr>
        <w:pStyle w:val="ListParagraph"/>
        <w:ind w:left="2880" w:firstLine="360"/>
        <w:rPr>
          <w:rFonts w:cs="Arial"/>
        </w:rPr>
      </w:pPr>
      <w:r w:rsidRPr="008B1F04">
        <w:rPr>
          <w:rFonts w:cs="Arial"/>
        </w:rPr>
        <w:t>Also, s</w:t>
      </w:r>
      <w:r w:rsidR="005E342D" w:rsidRPr="008B1F04">
        <w:rPr>
          <w:rFonts w:cs="Arial"/>
        </w:rPr>
        <w:t>tatement</w:t>
      </w:r>
      <w:r w:rsidRPr="008B1F04">
        <w:rPr>
          <w:rFonts w:cs="Arial"/>
        </w:rPr>
        <w:t>s</w:t>
      </w:r>
      <w:r w:rsidR="005E342D" w:rsidRPr="008B1F04">
        <w:rPr>
          <w:rFonts w:cs="Arial"/>
        </w:rPr>
        <w:t xml:space="preserve"> as to fau</w:t>
      </w:r>
      <w:r w:rsidRPr="008B1F04">
        <w:rPr>
          <w:rFonts w:cs="Arial"/>
        </w:rPr>
        <w:t>lt generally fail to satisfy this</w:t>
      </w:r>
      <w:r w:rsidR="005E342D" w:rsidRPr="008B1F04">
        <w:rPr>
          <w:rFonts w:cs="Arial"/>
        </w:rPr>
        <w:t xml:space="preserve"> requirement. </w:t>
      </w:r>
      <w:r w:rsidR="0083038F" w:rsidRPr="008B1F04">
        <w:rPr>
          <w:rFonts w:cs="Arial"/>
        </w:rPr>
        <w:t xml:space="preserve">State v. </w:t>
      </w:r>
      <w:proofErr w:type="spellStart"/>
      <w:r w:rsidR="0083038F" w:rsidRPr="008B1F04">
        <w:rPr>
          <w:rFonts w:cs="Arial"/>
        </w:rPr>
        <w:t>Aguallo</w:t>
      </w:r>
      <w:proofErr w:type="spellEnd"/>
      <w:r w:rsidR="0083038F" w:rsidRPr="008B1F04">
        <w:rPr>
          <w:rFonts w:cs="Arial"/>
        </w:rPr>
        <w:t>, 318 N.C. 590, 596-97 (1986) (“in the overall run of cases, statements as to an assailant’s identity are seldom pertinent to diagnosis and do not ordinarily promote effective treatment”)</w:t>
      </w:r>
      <w:r w:rsidRPr="008B1F04">
        <w:rPr>
          <w:rFonts w:cs="Arial"/>
        </w:rPr>
        <w:t xml:space="preserve">; </w:t>
      </w:r>
      <w:r w:rsidR="0083038F" w:rsidRPr="008B1F04">
        <w:rPr>
          <w:rFonts w:cs="Arial"/>
        </w:rPr>
        <w:t xml:space="preserve">State v. </w:t>
      </w:r>
      <w:proofErr w:type="spellStart"/>
      <w:r w:rsidR="0083038F" w:rsidRPr="008B1F04">
        <w:rPr>
          <w:rFonts w:cs="Arial"/>
        </w:rPr>
        <w:t>Gattis</w:t>
      </w:r>
      <w:proofErr w:type="spellEnd"/>
      <w:r w:rsidR="0083038F" w:rsidRPr="008B1F04">
        <w:rPr>
          <w:rFonts w:cs="Arial"/>
        </w:rPr>
        <w:t>, 166 N.C. App. 1, 9 (2004) (defendant’s statement recounting that his injury occurred when a gun was “accidentally discharged” during an argument was inadmissible; noting that “the fact that defendant had suffered a gunshot wound would be pertinent to treatment,” but concluding that “the manner in which the bullet wound occurred—such as a gun accidentally discharging during an altercation—was not pertinent to how the wound was treated”)</w:t>
      </w:r>
      <w:r w:rsidR="005E342D" w:rsidRPr="008B1F04">
        <w:rPr>
          <w:rFonts w:cs="Arial"/>
        </w:rPr>
        <w:t>.</w:t>
      </w:r>
      <w:r w:rsidR="007D2758" w:rsidRPr="008B1F04">
        <w:rPr>
          <w:rFonts w:cs="Arial"/>
        </w:rPr>
        <w:t xml:space="preserve"> </w:t>
      </w:r>
    </w:p>
    <w:p w14:paraId="6F9D89B1" w14:textId="77777777" w:rsidR="00AB1A1C" w:rsidRPr="008B1F04" w:rsidRDefault="00830EE4" w:rsidP="007D2758">
      <w:pPr>
        <w:pStyle w:val="ListParagraph"/>
        <w:ind w:left="2880" w:firstLine="360"/>
        <w:rPr>
          <w:rFonts w:cs="Arial"/>
        </w:rPr>
      </w:pPr>
      <w:r w:rsidRPr="008B1F04">
        <w:rPr>
          <w:rFonts w:cs="Arial"/>
        </w:rPr>
        <w:t>However, t</w:t>
      </w:r>
      <w:r w:rsidR="00AB1A1C" w:rsidRPr="008B1F04">
        <w:rPr>
          <w:rFonts w:cs="Arial"/>
        </w:rPr>
        <w:t xml:space="preserve">he courts have repeatedly held that a child sexual assault victim’s identification of the perpetrator is reasonably pertinent to medical diagnosis and treatment. </w:t>
      </w:r>
      <w:proofErr w:type="spellStart"/>
      <w:r w:rsidR="0083038F" w:rsidRPr="008B1F04">
        <w:rPr>
          <w:rFonts w:cs="Arial"/>
          <w:i/>
        </w:rPr>
        <w:t>Aguallo</w:t>
      </w:r>
      <w:proofErr w:type="spellEnd"/>
      <w:r w:rsidR="0083038F" w:rsidRPr="008B1F04">
        <w:rPr>
          <w:rFonts w:cs="Arial"/>
        </w:rPr>
        <w:t>, 318 N.C.  at 597</w:t>
      </w:r>
      <w:r w:rsidR="00AB1A1C" w:rsidRPr="008B1F04">
        <w:rPr>
          <w:rFonts w:cs="Arial"/>
        </w:rPr>
        <w:t xml:space="preserve">; </w:t>
      </w:r>
      <w:r w:rsidR="0083038F" w:rsidRPr="008B1F04">
        <w:rPr>
          <w:rFonts w:cs="Arial"/>
          <w:i/>
        </w:rPr>
        <w:t>Smith</w:t>
      </w:r>
      <w:r w:rsidR="0083038F" w:rsidRPr="008B1F04">
        <w:rPr>
          <w:rFonts w:cs="Arial"/>
        </w:rPr>
        <w:t>, 315 N.C.  at 85</w:t>
      </w:r>
      <w:r w:rsidRPr="008B1F04">
        <w:rPr>
          <w:rFonts w:cs="Arial"/>
        </w:rPr>
        <w:t xml:space="preserve">; </w:t>
      </w:r>
      <w:r w:rsidR="0083038F" w:rsidRPr="008B1F04">
        <w:rPr>
          <w:rFonts w:cs="Arial"/>
          <w:i/>
        </w:rPr>
        <w:t>Isenberg</w:t>
      </w:r>
      <w:r w:rsidR="0083038F" w:rsidRPr="008B1F04">
        <w:rPr>
          <w:rFonts w:cs="Arial"/>
        </w:rPr>
        <w:t>, 148 N.C. App. at 38-39</w:t>
      </w:r>
      <w:r w:rsidR="00AB1A1C" w:rsidRPr="008B1F04">
        <w:rPr>
          <w:rFonts w:cs="Arial"/>
        </w:rPr>
        <w:t xml:space="preserve">; </w:t>
      </w:r>
      <w:r w:rsidR="0083038F" w:rsidRPr="008B1F04">
        <w:rPr>
          <w:rFonts w:cs="Arial"/>
        </w:rPr>
        <w:t xml:space="preserve">State v. Lewis, 172 N.C. App. 97, 105 (2005). As the courts have explained, this identification is pertinent to “continued treatment of the possible psychological and emotional problems resulting from” the offense. </w:t>
      </w:r>
      <w:proofErr w:type="spellStart"/>
      <w:r w:rsidR="0083038F" w:rsidRPr="008B1F04">
        <w:rPr>
          <w:rFonts w:cs="Arial"/>
          <w:i/>
        </w:rPr>
        <w:t>Aguallo</w:t>
      </w:r>
      <w:proofErr w:type="spellEnd"/>
      <w:r w:rsidR="0083038F" w:rsidRPr="008B1F04">
        <w:rPr>
          <w:rFonts w:cs="Arial"/>
        </w:rPr>
        <w:t>, 318 N.C. at 597</w:t>
      </w:r>
      <w:r w:rsidR="007717B6" w:rsidRPr="008B1F04">
        <w:rPr>
          <w:rFonts w:cs="Arial"/>
        </w:rPr>
        <w:t xml:space="preserve">. </w:t>
      </w:r>
    </w:p>
    <w:p w14:paraId="09B840DE" w14:textId="77777777" w:rsidR="00822D4A" w:rsidRPr="008B1F04" w:rsidRDefault="00645591" w:rsidP="00F83AD6">
      <w:pPr>
        <w:pStyle w:val="ListParagraph"/>
        <w:numPr>
          <w:ilvl w:val="0"/>
          <w:numId w:val="36"/>
        </w:numPr>
        <w:rPr>
          <w:rFonts w:cs="Arial"/>
        </w:rPr>
      </w:pPr>
      <w:bookmarkStart w:id="21" w:name="_Toc405983792"/>
      <w:r w:rsidRPr="00A2261E">
        <w:rPr>
          <w:rStyle w:val="Heading3Char"/>
        </w:rPr>
        <w:t>Recorded Recollection</w:t>
      </w:r>
      <w:bookmarkEnd w:id="21"/>
      <w:r w:rsidR="00F6098C" w:rsidRPr="008B1F04">
        <w:rPr>
          <w:b/>
        </w:rPr>
        <w:t xml:space="preserve">. </w:t>
      </w:r>
      <w:r w:rsidRPr="008B1F04">
        <w:rPr>
          <w:rFonts w:cs="Arial"/>
        </w:rPr>
        <w:t xml:space="preserve">Rule 803(5) contains a hearsay exception for </w:t>
      </w:r>
      <w:r w:rsidR="0048193B" w:rsidRPr="008B1F04">
        <w:rPr>
          <w:rFonts w:cs="Arial"/>
        </w:rPr>
        <w:t>“[a] memorandum or record concerning a matter about which a witness once had knowledge but now has insufficient recollection to enable him to testify fully and accurately, shown to have been made or adopted by the witness when the matter was fresh in his memory and to reflect that knowledge correctly.”</w:t>
      </w:r>
      <w:r w:rsidR="00917C25" w:rsidRPr="008B1F04">
        <w:rPr>
          <w:rFonts w:cs="Arial"/>
        </w:rPr>
        <w:t xml:space="preserve"> </w:t>
      </w:r>
      <w:r w:rsidR="0083038F" w:rsidRPr="008B1F04">
        <w:rPr>
          <w:rFonts w:cs="Arial"/>
          <w:smallCaps/>
        </w:rPr>
        <w:t>N.C. R. Evid.</w:t>
      </w:r>
      <w:r w:rsidR="0083038F" w:rsidRPr="008B1F04">
        <w:rPr>
          <w:rFonts w:cs="Arial"/>
        </w:rPr>
        <w:t xml:space="preserve"> 803(5)</w:t>
      </w:r>
      <w:r w:rsidR="00352F68" w:rsidRPr="008B1F04">
        <w:rPr>
          <w:rFonts w:cs="Arial"/>
        </w:rPr>
        <w:t>.</w:t>
      </w:r>
    </w:p>
    <w:p w14:paraId="7C9D37F9" w14:textId="77777777" w:rsidR="00822D4A" w:rsidRPr="008B1F04" w:rsidRDefault="00352F68" w:rsidP="00F6098C">
      <w:pPr>
        <w:ind w:left="2160" w:firstLine="360"/>
        <w:rPr>
          <w:rFonts w:cs="Arial"/>
        </w:rPr>
      </w:pPr>
      <w:r w:rsidRPr="008B1F04">
        <w:rPr>
          <w:rFonts w:cs="Arial"/>
        </w:rPr>
        <w:t xml:space="preserve">This hearsay exception sometimes is confused with the technique of present recollection refreshed under Evidence Rule 612. When a witness testifies that he or she cannot remember the matter in question, the proponent may have the witness review a document </w:t>
      </w:r>
      <w:r w:rsidR="00917C25" w:rsidRPr="008B1F04">
        <w:rPr>
          <w:rFonts w:cs="Arial"/>
        </w:rPr>
        <w:t xml:space="preserve">or item </w:t>
      </w:r>
      <w:r w:rsidRPr="008B1F04">
        <w:rPr>
          <w:rFonts w:cs="Arial"/>
        </w:rPr>
        <w:t>in order to refresh the witness’ memory. If reviewing the material sufficiently refreshes the witness’</w:t>
      </w:r>
      <w:r w:rsidR="00DB78AF" w:rsidRPr="008B1F04">
        <w:rPr>
          <w:rFonts w:cs="Arial"/>
        </w:rPr>
        <w:t>s</w:t>
      </w:r>
      <w:r w:rsidRPr="008B1F04">
        <w:rPr>
          <w:rFonts w:cs="Arial"/>
        </w:rPr>
        <w:t xml:space="preserve"> recollection, the witness then testifies to the matter in question</w:t>
      </w:r>
      <w:r w:rsidR="00094278" w:rsidRPr="008B1F04">
        <w:rPr>
          <w:rFonts w:cs="Arial"/>
        </w:rPr>
        <w:t xml:space="preserve"> and no hearsay issues are presented</w:t>
      </w:r>
      <w:r w:rsidRPr="008B1F04">
        <w:rPr>
          <w:rFonts w:cs="Arial"/>
        </w:rPr>
        <w:t>. That is present recollection refreshed. When</w:t>
      </w:r>
      <w:r w:rsidR="007717B6" w:rsidRPr="008B1F04">
        <w:rPr>
          <w:rFonts w:cs="Arial"/>
        </w:rPr>
        <w:t>,</w:t>
      </w:r>
      <w:r w:rsidRPr="008B1F04">
        <w:rPr>
          <w:rFonts w:cs="Arial"/>
        </w:rPr>
        <w:t xml:space="preserve"> however</w:t>
      </w:r>
      <w:r w:rsidR="007717B6" w:rsidRPr="008B1F04">
        <w:rPr>
          <w:rFonts w:cs="Arial"/>
        </w:rPr>
        <w:t>,</w:t>
      </w:r>
      <w:r w:rsidRPr="008B1F04">
        <w:rPr>
          <w:rFonts w:cs="Arial"/>
        </w:rPr>
        <w:t xml:space="preserve"> the witness’ memory cannot be </w:t>
      </w:r>
      <w:r w:rsidRPr="008B1F04">
        <w:rPr>
          <w:rFonts w:cs="Arial"/>
        </w:rPr>
        <w:lastRenderedPageBreak/>
        <w:t>refreshed, the proponent may seek to introduce the contents of a memorandum or record created by the witness as a recorded recollection, and in lieu of the witness’ trial testimony.</w:t>
      </w:r>
      <w:r w:rsidR="008B4F8C" w:rsidRPr="008B1F04">
        <w:rPr>
          <w:rFonts w:cs="Arial"/>
        </w:rPr>
        <w:t xml:space="preserve"> </w:t>
      </w:r>
      <w:r w:rsidR="008B4F8C" w:rsidRPr="008B1F04">
        <w:rPr>
          <w:rFonts w:cs="Arial"/>
          <w:i/>
        </w:rPr>
        <w:t>S</w:t>
      </w:r>
      <w:r w:rsidR="00157D39" w:rsidRPr="008B1F04">
        <w:rPr>
          <w:rFonts w:cs="Arial"/>
          <w:i/>
        </w:rPr>
        <w:t>ee, e.g</w:t>
      </w:r>
      <w:r w:rsidR="00157D39" w:rsidRPr="008B1F04">
        <w:rPr>
          <w:rFonts w:cs="Arial"/>
        </w:rPr>
        <w:t xml:space="preserve">., </w:t>
      </w:r>
      <w:r w:rsidR="0083038F" w:rsidRPr="008B1F04">
        <w:rPr>
          <w:rFonts w:cs="Arial"/>
        </w:rPr>
        <w:t>State v. Spinks, 136 N.C. App.153, 158 (1999) (State turned to this exception when unable to refresh the witness’ recollection)</w:t>
      </w:r>
      <w:r w:rsidR="00157D39" w:rsidRPr="008B1F04">
        <w:rPr>
          <w:rFonts w:cs="Arial"/>
        </w:rPr>
        <w:t>.</w:t>
      </w:r>
      <w:r w:rsidR="00493EE6" w:rsidRPr="008B1F04">
        <w:rPr>
          <w:rFonts w:cs="Arial"/>
        </w:rPr>
        <w:t xml:space="preserve"> </w:t>
      </w:r>
      <w:r w:rsidR="00094278" w:rsidRPr="008B1F04">
        <w:rPr>
          <w:rFonts w:cs="Arial"/>
        </w:rPr>
        <w:t xml:space="preserve">To be admissible as a recorded recollection, the contents of the memorandum or record must satisfy Rule 803(5). </w:t>
      </w:r>
      <w:r w:rsidR="00094278" w:rsidRPr="008B1F04">
        <w:rPr>
          <w:rFonts w:cs="Arial"/>
          <w:i/>
        </w:rPr>
        <w:t xml:space="preserve">See generally </w:t>
      </w:r>
      <w:r w:rsidR="0083038F" w:rsidRPr="008B1F04">
        <w:rPr>
          <w:rFonts w:cs="Arial"/>
        </w:rPr>
        <w:t>State v. Harrison, __ N.C. App. __, 721 S.E.2d 371, 375-76 (2012) (explaining the distinction)</w:t>
      </w:r>
      <w:r w:rsidR="00094278" w:rsidRPr="008B1F04">
        <w:rPr>
          <w:rFonts w:cs="Arial"/>
        </w:rPr>
        <w:t>.</w:t>
      </w:r>
      <w:r w:rsidR="00157D39" w:rsidRPr="008B1F04">
        <w:rPr>
          <w:rFonts w:cs="Arial"/>
        </w:rPr>
        <w:t xml:space="preserve"> </w:t>
      </w:r>
      <w:r w:rsidRPr="008B1F04">
        <w:rPr>
          <w:rFonts w:cs="Arial"/>
        </w:rPr>
        <w:t>The subsections below explore the requirements of this hearsay exception.</w:t>
      </w:r>
    </w:p>
    <w:p w14:paraId="3679358E" w14:textId="77777777" w:rsidR="00822D4A" w:rsidRPr="008B1F04" w:rsidRDefault="00822D4A" w:rsidP="00F83AD6">
      <w:pPr>
        <w:pStyle w:val="ListParagraph"/>
        <w:numPr>
          <w:ilvl w:val="0"/>
          <w:numId w:val="38"/>
        </w:numPr>
        <w:rPr>
          <w:rFonts w:cs="Arial"/>
        </w:rPr>
      </w:pPr>
      <w:r w:rsidRPr="008B1F04">
        <w:rPr>
          <w:b/>
        </w:rPr>
        <w:t>Memorandum or Record</w:t>
      </w:r>
      <w:r w:rsidR="00F6098C" w:rsidRPr="008B1F04">
        <w:rPr>
          <w:b/>
        </w:rPr>
        <w:t xml:space="preserve">. </w:t>
      </w:r>
      <w:r w:rsidRPr="008B1F04">
        <w:rPr>
          <w:rFonts w:cs="Arial"/>
        </w:rPr>
        <w:t xml:space="preserve">By its terms the rule applies to a “memorandum or record.” </w:t>
      </w:r>
      <w:r w:rsidR="0083038F" w:rsidRPr="008B1F04">
        <w:rPr>
          <w:rFonts w:cs="Arial"/>
          <w:smallCaps/>
        </w:rPr>
        <w:t>N.C. R. Evid.</w:t>
      </w:r>
      <w:r w:rsidRPr="008B1F04">
        <w:rPr>
          <w:rFonts w:cs="Arial"/>
        </w:rPr>
        <w:t xml:space="preserve"> 803(5). Case law has interpreted </w:t>
      </w:r>
      <w:r w:rsidR="005F1A4C" w:rsidRPr="008B1F04">
        <w:rPr>
          <w:rFonts w:cs="Arial"/>
        </w:rPr>
        <w:t xml:space="preserve">the rule to </w:t>
      </w:r>
      <w:r w:rsidR="00A35B91" w:rsidRPr="008B1F04">
        <w:rPr>
          <w:rFonts w:cs="Arial"/>
        </w:rPr>
        <w:t>include audio recordings.</w:t>
      </w:r>
      <w:r w:rsidRPr="008B1F04">
        <w:rPr>
          <w:rFonts w:cs="Arial"/>
        </w:rPr>
        <w:t xml:space="preserve"> </w:t>
      </w:r>
      <w:r w:rsidR="0083038F" w:rsidRPr="008B1F04">
        <w:rPr>
          <w:rFonts w:cs="Arial"/>
        </w:rPr>
        <w:t>State v. Wilson, 197 N.C. App. 154, 160 (2009)</w:t>
      </w:r>
      <w:r w:rsidRPr="008B1F04">
        <w:rPr>
          <w:rFonts w:cs="Arial"/>
        </w:rPr>
        <w:t>.</w:t>
      </w:r>
    </w:p>
    <w:p w14:paraId="63086A37" w14:textId="77777777" w:rsidR="00A337D6" w:rsidRPr="008B1F04" w:rsidRDefault="00184303" w:rsidP="00F83AD6">
      <w:pPr>
        <w:pStyle w:val="ListParagraph"/>
        <w:numPr>
          <w:ilvl w:val="0"/>
          <w:numId w:val="38"/>
        </w:numPr>
        <w:rPr>
          <w:rFonts w:cs="Arial"/>
        </w:rPr>
      </w:pPr>
      <w:r w:rsidRPr="008B1F04">
        <w:rPr>
          <w:b/>
        </w:rPr>
        <w:t xml:space="preserve">Recollection of </w:t>
      </w:r>
      <w:r w:rsidR="00822D4A" w:rsidRPr="008B1F04">
        <w:rPr>
          <w:b/>
        </w:rPr>
        <w:t>Having Made the Statement</w:t>
      </w:r>
      <w:r w:rsidR="00F6098C" w:rsidRPr="008B1F04">
        <w:rPr>
          <w:b/>
        </w:rPr>
        <w:t xml:space="preserve">. </w:t>
      </w:r>
      <w:r w:rsidR="00917C25" w:rsidRPr="008B1F04">
        <w:rPr>
          <w:rFonts w:cs="Arial"/>
        </w:rPr>
        <w:t>Typically</w:t>
      </w:r>
      <w:r w:rsidR="00580511" w:rsidRPr="008B1F04">
        <w:rPr>
          <w:rFonts w:cs="Arial"/>
        </w:rPr>
        <w:t xml:space="preserve"> the witness testifies that he or she remembers making the statement at issue. </w:t>
      </w:r>
      <w:r w:rsidR="0083038F" w:rsidRPr="008B1F04">
        <w:rPr>
          <w:rFonts w:cs="Arial"/>
        </w:rPr>
        <w:t>State v. Love, 156 N.C. App. 309, 315 (2003) (witness so testified)</w:t>
      </w:r>
      <w:r w:rsidR="00580511" w:rsidRPr="008B1F04">
        <w:rPr>
          <w:rFonts w:cs="Arial"/>
        </w:rPr>
        <w:t xml:space="preserve">. And it is </w:t>
      </w:r>
      <w:r w:rsidR="005F1A4C" w:rsidRPr="008B1F04">
        <w:rPr>
          <w:rFonts w:cs="Arial"/>
        </w:rPr>
        <w:t xml:space="preserve">often stated that </w:t>
      </w:r>
      <w:r w:rsidRPr="008B1F04">
        <w:rPr>
          <w:rFonts w:cs="Arial"/>
        </w:rPr>
        <w:t xml:space="preserve">the witness must be able to recall making </w:t>
      </w:r>
      <w:r w:rsidR="005F1A4C" w:rsidRPr="008B1F04">
        <w:rPr>
          <w:rFonts w:cs="Arial"/>
        </w:rPr>
        <w:t>th</w:t>
      </w:r>
      <w:r w:rsidRPr="008B1F04">
        <w:rPr>
          <w:rFonts w:cs="Arial"/>
        </w:rPr>
        <w:t xml:space="preserve">e statement. </w:t>
      </w:r>
      <w:r w:rsidR="0083038F" w:rsidRPr="008B1F04">
        <w:rPr>
          <w:rFonts w:cs="Arial"/>
        </w:rPr>
        <w:t xml:space="preserve">State v. Wilson, 197 N.C. App. 154, 160 (2009) (statement inadmissible when witness did not recall making the statement and because of her mental state testified that she was </w:t>
      </w:r>
      <w:r w:rsidR="00110472" w:rsidRPr="008B1F04">
        <w:rPr>
          <w:rFonts w:cs="Arial"/>
        </w:rPr>
        <w:t>“</w:t>
      </w:r>
      <w:r w:rsidR="0083038F" w:rsidRPr="008B1F04">
        <w:rPr>
          <w:rFonts w:cs="Arial"/>
        </w:rPr>
        <w:t>liable to say anything</w:t>
      </w:r>
      <w:r w:rsidR="00110472" w:rsidRPr="008B1F04">
        <w:rPr>
          <w:rFonts w:cs="Arial"/>
        </w:rPr>
        <w:t>”</w:t>
      </w:r>
      <w:r w:rsidR="0083038F" w:rsidRPr="008B1F04">
        <w:rPr>
          <w:rFonts w:cs="Arial"/>
        </w:rPr>
        <w:t>)</w:t>
      </w:r>
      <w:r w:rsidR="00822D4A" w:rsidRPr="008B1F04">
        <w:rPr>
          <w:rFonts w:cs="Arial"/>
        </w:rPr>
        <w:t>.</w:t>
      </w:r>
      <w:r w:rsidRPr="008B1F04">
        <w:rPr>
          <w:rFonts w:cs="Arial"/>
        </w:rPr>
        <w:t xml:space="preserve"> </w:t>
      </w:r>
      <w:r w:rsidR="005F1A4C" w:rsidRPr="008B1F04">
        <w:rPr>
          <w:rFonts w:cs="Arial"/>
        </w:rPr>
        <w:t>However, this requirement is not applied rigidly</w:t>
      </w:r>
      <w:r w:rsidRPr="008B1F04">
        <w:rPr>
          <w:rFonts w:cs="Arial"/>
        </w:rPr>
        <w:t xml:space="preserve">. State v. Leggett, 135 N.C. App. 168, 173 (1999) (statement properly admitted where </w:t>
      </w:r>
      <w:r w:rsidR="00917C25" w:rsidRPr="008B1F04">
        <w:rPr>
          <w:rFonts w:cs="Arial"/>
        </w:rPr>
        <w:t xml:space="preserve">the </w:t>
      </w:r>
      <w:r w:rsidRPr="008B1F04">
        <w:rPr>
          <w:rFonts w:cs="Arial"/>
        </w:rPr>
        <w:t xml:space="preserve">witness testified that the statement </w:t>
      </w:r>
      <w:r w:rsidR="00110472" w:rsidRPr="008B1F04">
        <w:rPr>
          <w:rFonts w:cs="Arial"/>
        </w:rPr>
        <w:t>“</w:t>
      </w:r>
      <w:r w:rsidRPr="008B1F04">
        <w:rPr>
          <w:rFonts w:cs="Arial"/>
        </w:rPr>
        <w:t>was in his handwriting and contained his signature, but he could not remember writing it</w:t>
      </w:r>
      <w:r w:rsidR="00110472" w:rsidRPr="008B1F04">
        <w:rPr>
          <w:rFonts w:cs="Arial"/>
        </w:rPr>
        <w:t>”</w:t>
      </w:r>
      <w:r w:rsidRPr="008B1F04">
        <w:rPr>
          <w:rFonts w:cs="Arial"/>
        </w:rPr>
        <w:t xml:space="preserve">; </w:t>
      </w:r>
      <w:r w:rsidR="00110472" w:rsidRPr="008B1F04">
        <w:rPr>
          <w:rFonts w:cs="Arial"/>
        </w:rPr>
        <w:t>the witness</w:t>
      </w:r>
      <w:r w:rsidRPr="008B1F04">
        <w:rPr>
          <w:rFonts w:cs="Arial"/>
        </w:rPr>
        <w:t xml:space="preserve"> </w:t>
      </w:r>
      <w:r w:rsidR="00110472" w:rsidRPr="008B1F04">
        <w:rPr>
          <w:rFonts w:cs="Arial"/>
        </w:rPr>
        <w:t>“</w:t>
      </w:r>
      <w:r w:rsidRPr="008B1F04">
        <w:rPr>
          <w:rFonts w:cs="Arial"/>
        </w:rPr>
        <w:t>further testified that, although he could not remember writing the statement, what he wrote was true</w:t>
      </w:r>
      <w:r w:rsidR="00110472" w:rsidRPr="008B1F04">
        <w:rPr>
          <w:rFonts w:cs="Arial"/>
        </w:rPr>
        <w:t>”</w:t>
      </w:r>
      <w:r w:rsidR="008B4F8C" w:rsidRPr="008B1F04">
        <w:rPr>
          <w:rFonts w:cs="Arial"/>
        </w:rPr>
        <w:t>).</w:t>
      </w:r>
    </w:p>
    <w:p w14:paraId="54DFB3D2" w14:textId="77777777" w:rsidR="00822D4A" w:rsidRPr="008B1F04" w:rsidRDefault="00822D4A" w:rsidP="00F83AD6">
      <w:pPr>
        <w:pStyle w:val="ListParagraph"/>
        <w:numPr>
          <w:ilvl w:val="0"/>
          <w:numId w:val="38"/>
        </w:numPr>
        <w:rPr>
          <w:rFonts w:cs="Arial"/>
        </w:rPr>
      </w:pPr>
      <w:r w:rsidRPr="008B1F04">
        <w:rPr>
          <w:b/>
        </w:rPr>
        <w:t>Insufficient Recollection</w:t>
      </w:r>
      <w:r w:rsidR="00A70403" w:rsidRPr="008B1F04">
        <w:rPr>
          <w:b/>
        </w:rPr>
        <w:t xml:space="preserve"> of Contents</w:t>
      </w:r>
      <w:r w:rsidR="00F6098C" w:rsidRPr="008B1F04">
        <w:rPr>
          <w:b/>
        </w:rPr>
        <w:t xml:space="preserve">. </w:t>
      </w:r>
      <w:r w:rsidR="00184303" w:rsidRPr="008B1F04">
        <w:rPr>
          <w:rFonts w:cs="Arial"/>
        </w:rPr>
        <w:t>The rule requires that the witness have “insufficient recollection to enable him</w:t>
      </w:r>
      <w:r w:rsidR="0048193B" w:rsidRPr="008B1F04">
        <w:rPr>
          <w:rFonts w:cs="Arial"/>
        </w:rPr>
        <w:t xml:space="preserve"> </w:t>
      </w:r>
      <w:r w:rsidR="00184303" w:rsidRPr="008B1F04">
        <w:rPr>
          <w:rFonts w:cs="Arial"/>
        </w:rPr>
        <w:t xml:space="preserve">to testify fully and accurately” about the matter. </w:t>
      </w:r>
      <w:r w:rsidR="0083038F" w:rsidRPr="008B1F04">
        <w:rPr>
          <w:rFonts w:cs="Arial"/>
          <w:smallCaps/>
        </w:rPr>
        <w:t>N.C. R. Evid</w:t>
      </w:r>
      <w:r w:rsidR="0083038F" w:rsidRPr="008B1F04">
        <w:rPr>
          <w:rFonts w:cs="Arial"/>
        </w:rPr>
        <w:t>. 803(5)</w:t>
      </w:r>
      <w:r w:rsidR="00580511" w:rsidRPr="008B1F04">
        <w:rPr>
          <w:rFonts w:cs="Arial"/>
        </w:rPr>
        <w:t xml:space="preserve">; </w:t>
      </w:r>
      <w:r w:rsidR="0083038F" w:rsidRPr="008B1F04">
        <w:rPr>
          <w:rFonts w:cs="Arial"/>
        </w:rPr>
        <w:t>State v Harrison, __ N.C. App. __, 721 S.E.2d. 371, 375 (2012) (stating this requirement); State v. Love, 156 N.C. App. 309, 315 (2003) (statement admissible where witness testified that she no longer had a sufficient recollection as to the matter)</w:t>
      </w:r>
      <w:r w:rsidR="00580511" w:rsidRPr="008B1F04">
        <w:rPr>
          <w:rFonts w:cs="Arial"/>
        </w:rPr>
        <w:t>.</w:t>
      </w:r>
      <w:r w:rsidR="00184303" w:rsidRPr="008B1F04">
        <w:rPr>
          <w:rFonts w:cs="Arial"/>
        </w:rPr>
        <w:t xml:space="preserve"> </w:t>
      </w:r>
      <w:r w:rsidR="00580511" w:rsidRPr="008B1F04">
        <w:rPr>
          <w:rFonts w:cs="Arial"/>
        </w:rPr>
        <w:t xml:space="preserve">Where there is no showing that the witness has an insufficient recollection or where the evidence shows that the </w:t>
      </w:r>
      <w:r w:rsidR="005F1A4C" w:rsidRPr="008B1F04">
        <w:rPr>
          <w:rFonts w:cs="Arial"/>
        </w:rPr>
        <w:t xml:space="preserve">witness’s memory of the event is clear and complete, the exception does not apply. </w:t>
      </w:r>
      <w:r w:rsidR="0083038F" w:rsidRPr="008B1F04">
        <w:rPr>
          <w:rFonts w:cs="Arial"/>
        </w:rPr>
        <w:t xml:space="preserve">State v. Cummings, 361 N.C. 438, 475 (2007) (evidence showed that </w:t>
      </w:r>
      <w:r w:rsidR="00676B14" w:rsidRPr="008B1F04">
        <w:rPr>
          <w:rFonts w:cs="Arial"/>
        </w:rPr>
        <w:t xml:space="preserve">the </w:t>
      </w:r>
      <w:r w:rsidR="0083038F" w:rsidRPr="008B1F04">
        <w:rPr>
          <w:rFonts w:cs="Arial"/>
        </w:rPr>
        <w:t>witness’s memory was sufficient)</w:t>
      </w:r>
      <w:r w:rsidR="00580511" w:rsidRPr="008B1F04">
        <w:rPr>
          <w:rFonts w:cs="Arial"/>
        </w:rPr>
        <w:t xml:space="preserve">; </w:t>
      </w:r>
      <w:r w:rsidR="0083038F" w:rsidRPr="008B1F04">
        <w:rPr>
          <w:rFonts w:cs="Arial"/>
        </w:rPr>
        <w:t>State v. Alston, 161 N.C. App. 367, 371 (2003) (no showing that the defendant had an insufficient memory)</w:t>
      </w:r>
      <w:r w:rsidR="00580511" w:rsidRPr="008B1F04">
        <w:rPr>
          <w:rFonts w:cs="Arial"/>
        </w:rPr>
        <w:t>.</w:t>
      </w:r>
    </w:p>
    <w:p w14:paraId="25025216" w14:textId="77777777" w:rsidR="00094278" w:rsidRPr="008B1F04" w:rsidRDefault="00094278" w:rsidP="00F83AD6">
      <w:pPr>
        <w:pStyle w:val="ListParagraph"/>
        <w:numPr>
          <w:ilvl w:val="0"/>
          <w:numId w:val="38"/>
        </w:numPr>
        <w:rPr>
          <w:rFonts w:cs="Arial"/>
        </w:rPr>
      </w:pPr>
      <w:r w:rsidRPr="008B1F04">
        <w:rPr>
          <w:b/>
        </w:rPr>
        <w:t>Witness Had Knowledge</w:t>
      </w:r>
      <w:r w:rsidR="00F6098C" w:rsidRPr="008B1F04">
        <w:rPr>
          <w:b/>
        </w:rPr>
        <w:t>.</w:t>
      </w:r>
      <w:r w:rsidR="009D4BE0" w:rsidRPr="008B1F04">
        <w:rPr>
          <w:b/>
        </w:rPr>
        <w:t xml:space="preserve"> </w:t>
      </w:r>
      <w:r w:rsidRPr="008B1F04">
        <w:rPr>
          <w:rFonts w:cs="Arial"/>
        </w:rPr>
        <w:t xml:space="preserve">In order to be admissible under this exception, the document must pertain to matters about which the declarant once had knowledge. </w:t>
      </w:r>
      <w:r w:rsidR="0083038F" w:rsidRPr="008B1F04">
        <w:rPr>
          <w:rFonts w:cs="Arial"/>
          <w:smallCaps/>
        </w:rPr>
        <w:t>N.C. R. Evid.</w:t>
      </w:r>
      <w:r w:rsidR="0083038F" w:rsidRPr="008B1F04">
        <w:rPr>
          <w:rFonts w:cs="Arial"/>
        </w:rPr>
        <w:t xml:space="preserve"> 803(5); </w:t>
      </w:r>
      <w:r w:rsidR="0083038F" w:rsidRPr="008B1F04">
        <w:rPr>
          <w:rFonts w:cs="Arial"/>
          <w:i/>
        </w:rPr>
        <w:t>see, e.g</w:t>
      </w:r>
      <w:r w:rsidR="0083038F" w:rsidRPr="008B1F04">
        <w:rPr>
          <w:rFonts w:cs="Arial"/>
        </w:rPr>
        <w:t>., State v. Love, 156 N.C. App. 309, 314 (2003)</w:t>
      </w:r>
      <w:r w:rsidR="00580511" w:rsidRPr="008B1F04">
        <w:rPr>
          <w:rFonts w:cs="Arial"/>
        </w:rPr>
        <w:t>.</w:t>
      </w:r>
    </w:p>
    <w:p w14:paraId="6513E4D1" w14:textId="77777777" w:rsidR="00580511" w:rsidRPr="008B1F04" w:rsidRDefault="00094278" w:rsidP="00F83AD6">
      <w:pPr>
        <w:pStyle w:val="ListParagraph"/>
        <w:numPr>
          <w:ilvl w:val="0"/>
          <w:numId w:val="38"/>
        </w:numPr>
        <w:rPr>
          <w:rFonts w:cs="Arial"/>
        </w:rPr>
      </w:pPr>
      <w:r w:rsidRPr="008B1F04">
        <w:rPr>
          <w:b/>
        </w:rPr>
        <w:t>Made or Adopted</w:t>
      </w:r>
      <w:r w:rsidR="00676B14" w:rsidRPr="008B1F04">
        <w:rPr>
          <w:b/>
        </w:rPr>
        <w:t xml:space="preserve"> b</w:t>
      </w:r>
      <w:r w:rsidRPr="008B1F04">
        <w:rPr>
          <w:b/>
        </w:rPr>
        <w:t>y the Witness</w:t>
      </w:r>
      <w:r w:rsidR="00676B14" w:rsidRPr="008B1F04">
        <w:rPr>
          <w:b/>
        </w:rPr>
        <w:t xml:space="preserve"> a</w:t>
      </w:r>
      <w:r w:rsidR="00A70403" w:rsidRPr="008B1F04">
        <w:rPr>
          <w:b/>
        </w:rPr>
        <w:t>t The Time</w:t>
      </w:r>
      <w:r w:rsidR="00F6098C" w:rsidRPr="008B1F04">
        <w:rPr>
          <w:b/>
        </w:rPr>
        <w:t xml:space="preserve">. </w:t>
      </w:r>
      <w:r w:rsidRPr="008B1F04">
        <w:rPr>
          <w:rFonts w:cs="Arial"/>
        </w:rPr>
        <w:t>The document need not have be</w:t>
      </w:r>
      <w:r w:rsidR="002928B6" w:rsidRPr="008B1F04">
        <w:rPr>
          <w:rFonts w:cs="Arial"/>
        </w:rPr>
        <w:t>en made by the witness, if</w:t>
      </w:r>
      <w:r w:rsidRPr="008B1F04">
        <w:rPr>
          <w:rFonts w:cs="Arial"/>
        </w:rPr>
        <w:t xml:space="preserve"> it was examined and adopted by the witness.</w:t>
      </w:r>
      <w:r w:rsidR="00991B7D" w:rsidRPr="008B1F04">
        <w:rPr>
          <w:rFonts w:cs="Arial"/>
        </w:rPr>
        <w:t xml:space="preserve"> </w:t>
      </w:r>
      <w:r w:rsidR="002928B6" w:rsidRPr="008B1F04">
        <w:rPr>
          <w:rFonts w:cs="Arial"/>
          <w:i/>
        </w:rPr>
        <w:t>Compare</w:t>
      </w:r>
      <w:r w:rsidR="002928B6" w:rsidRPr="008B1F04">
        <w:rPr>
          <w:rFonts w:cs="Arial"/>
        </w:rPr>
        <w:t xml:space="preserve"> </w:t>
      </w:r>
      <w:r w:rsidR="0083038F" w:rsidRPr="008B1F04">
        <w:rPr>
          <w:rFonts w:cs="Arial"/>
        </w:rPr>
        <w:t>State v. Love, 156 N.C. App. 309, 315 (2003) (victim adopted the statement)</w:t>
      </w:r>
      <w:r w:rsidR="002928B6" w:rsidRPr="008B1F04">
        <w:rPr>
          <w:rFonts w:cs="Arial"/>
        </w:rPr>
        <w:t xml:space="preserve">, </w:t>
      </w:r>
      <w:r w:rsidR="002928B6" w:rsidRPr="008B1F04">
        <w:rPr>
          <w:rFonts w:cs="Arial"/>
          <w:i/>
        </w:rPr>
        <w:t>with</w:t>
      </w:r>
      <w:r w:rsidR="00580511" w:rsidRPr="008B1F04">
        <w:rPr>
          <w:rFonts w:cs="Arial"/>
        </w:rPr>
        <w:t xml:space="preserve"> </w:t>
      </w:r>
      <w:r w:rsidR="0083038F" w:rsidRPr="008B1F04">
        <w:rPr>
          <w:rFonts w:cs="Arial"/>
        </w:rPr>
        <w:t xml:space="preserve">State v. Spinks, 136 N.C. App. 153, 159 (1999) (this requirement was not satisfied when the witness testified that she signed the statement </w:t>
      </w:r>
      <w:r w:rsidR="0083038F" w:rsidRPr="008B1F04">
        <w:rPr>
          <w:rFonts w:cs="Arial"/>
        </w:rPr>
        <w:lastRenderedPageBreak/>
        <w:t>without having read it)</w:t>
      </w:r>
      <w:r w:rsidR="00991B7D" w:rsidRPr="008B1F04">
        <w:rPr>
          <w:rFonts w:cs="Arial"/>
        </w:rPr>
        <w:t>.</w:t>
      </w:r>
      <w:r w:rsidR="00580511" w:rsidRPr="008B1F04">
        <w:rPr>
          <w:rFonts w:cs="Arial"/>
        </w:rPr>
        <w:t xml:space="preserve"> If the statement was prepared by someone else, it need not have been signed by the witness for it to have been adopted. </w:t>
      </w:r>
      <w:r w:rsidR="0083038F" w:rsidRPr="008B1F04">
        <w:rPr>
          <w:rFonts w:cs="Arial"/>
          <w:i/>
        </w:rPr>
        <w:t>Love</w:t>
      </w:r>
      <w:r w:rsidR="0083038F" w:rsidRPr="008B1F04">
        <w:rPr>
          <w:rFonts w:cs="Arial"/>
        </w:rPr>
        <w:t>, 156 N.C. App. at 315 n.1 (victim's recorded recollection given to police was admissible even though it was an unsigned computer printout)</w:t>
      </w:r>
      <w:r w:rsidR="00580511" w:rsidRPr="008B1F04">
        <w:rPr>
          <w:rFonts w:cs="Arial"/>
        </w:rPr>
        <w:t>.</w:t>
      </w:r>
    </w:p>
    <w:p w14:paraId="473E0310" w14:textId="77777777" w:rsidR="0048193B" w:rsidRPr="008B1F04" w:rsidRDefault="00094278" w:rsidP="00F83AD6">
      <w:pPr>
        <w:pStyle w:val="ListParagraph"/>
        <w:numPr>
          <w:ilvl w:val="0"/>
          <w:numId w:val="38"/>
        </w:numPr>
        <w:rPr>
          <w:rFonts w:cs="Arial"/>
          <w:i/>
        </w:rPr>
      </w:pPr>
      <w:r w:rsidRPr="008B1F04">
        <w:rPr>
          <w:b/>
        </w:rPr>
        <w:t>Made When Memory Was Fresh</w:t>
      </w:r>
      <w:r w:rsidR="00F6098C" w:rsidRPr="008B1F04">
        <w:rPr>
          <w:b/>
        </w:rPr>
        <w:t xml:space="preserve">. </w:t>
      </w:r>
      <w:r w:rsidR="00822D4A" w:rsidRPr="008B1F04">
        <w:rPr>
          <w:rFonts w:cs="Arial"/>
        </w:rPr>
        <w:t xml:space="preserve">The memorandum or record </w:t>
      </w:r>
      <w:r w:rsidR="00AA2D01" w:rsidRPr="008B1F04">
        <w:rPr>
          <w:rFonts w:cs="Arial"/>
        </w:rPr>
        <w:t>must have been</w:t>
      </w:r>
      <w:r w:rsidR="00184303" w:rsidRPr="008B1F04">
        <w:rPr>
          <w:rFonts w:cs="Arial"/>
        </w:rPr>
        <w:t xml:space="preserve"> made or adopted </w:t>
      </w:r>
      <w:r w:rsidR="0048193B" w:rsidRPr="008B1F04">
        <w:rPr>
          <w:rFonts w:cs="Arial"/>
        </w:rPr>
        <w:t>when the matter was fresh in the witness’s m</w:t>
      </w:r>
      <w:r w:rsidR="00184303" w:rsidRPr="008B1F04">
        <w:rPr>
          <w:rFonts w:cs="Arial"/>
        </w:rPr>
        <w:t>emory</w:t>
      </w:r>
      <w:r w:rsidR="0048193B" w:rsidRPr="008B1F04">
        <w:rPr>
          <w:rFonts w:cs="Arial"/>
        </w:rPr>
        <w:t>.</w:t>
      </w:r>
      <w:r w:rsidR="00184303" w:rsidRPr="008B1F04">
        <w:rPr>
          <w:rFonts w:cs="Arial"/>
        </w:rPr>
        <w:t xml:space="preserve"> </w:t>
      </w:r>
      <w:r w:rsidR="0083038F" w:rsidRPr="008B1F04">
        <w:rPr>
          <w:rFonts w:cs="Arial"/>
          <w:smallCaps/>
        </w:rPr>
        <w:t>N.C. R. Evid.</w:t>
      </w:r>
      <w:r w:rsidR="0083038F" w:rsidRPr="008B1F04">
        <w:rPr>
          <w:rFonts w:cs="Arial"/>
        </w:rPr>
        <w:t xml:space="preserve"> 803(5)</w:t>
      </w:r>
      <w:r w:rsidR="00A70403" w:rsidRPr="008B1F04">
        <w:rPr>
          <w:rFonts w:cs="Arial"/>
        </w:rPr>
        <w:t xml:space="preserve">. There are no bright line rules </w:t>
      </w:r>
      <w:r w:rsidR="00AA2D01" w:rsidRPr="008B1F04">
        <w:rPr>
          <w:rFonts w:cs="Arial"/>
        </w:rPr>
        <w:t>a</w:t>
      </w:r>
      <w:r w:rsidR="00A70403" w:rsidRPr="008B1F04">
        <w:rPr>
          <w:rFonts w:cs="Arial"/>
        </w:rPr>
        <w:t xml:space="preserve">s to the timing of the </w:t>
      </w:r>
      <w:r w:rsidR="00AA2D01" w:rsidRPr="008B1F04">
        <w:rPr>
          <w:rFonts w:cs="Arial"/>
        </w:rPr>
        <w:t>memorandum or report’s</w:t>
      </w:r>
      <w:r w:rsidR="00A70403" w:rsidRPr="008B1F04">
        <w:rPr>
          <w:rFonts w:cs="Arial"/>
        </w:rPr>
        <w:t xml:space="preserve"> creation; the matter need only </w:t>
      </w:r>
      <w:r w:rsidR="00AA2D01" w:rsidRPr="008B1F04">
        <w:rPr>
          <w:rFonts w:cs="Arial"/>
        </w:rPr>
        <w:t xml:space="preserve">have been fresh in the witness’s memory when </w:t>
      </w:r>
      <w:r w:rsidR="00A70403" w:rsidRPr="008B1F04">
        <w:rPr>
          <w:rFonts w:cs="Arial"/>
        </w:rPr>
        <w:t xml:space="preserve">created. </w:t>
      </w:r>
      <w:r w:rsidR="00A70403" w:rsidRPr="008B1F04">
        <w:rPr>
          <w:rFonts w:cs="Arial"/>
          <w:i/>
        </w:rPr>
        <w:t>S</w:t>
      </w:r>
      <w:r w:rsidRPr="008B1F04">
        <w:rPr>
          <w:rFonts w:cs="Arial"/>
          <w:i/>
        </w:rPr>
        <w:t xml:space="preserve">ee </w:t>
      </w:r>
      <w:r w:rsidR="0083038F" w:rsidRPr="008B1F04">
        <w:rPr>
          <w:rFonts w:cs="Arial"/>
        </w:rPr>
        <w:t>State v. Nickerson, 320 N.C. 603, 607 (1987) (witness’s testimony established that the statement was adopted when the matter was fresh in the witness’ memory)</w:t>
      </w:r>
      <w:r w:rsidR="00580511" w:rsidRPr="008B1F04">
        <w:rPr>
          <w:rFonts w:cs="Arial"/>
        </w:rPr>
        <w:t xml:space="preserve">; </w:t>
      </w:r>
      <w:r w:rsidR="0083038F" w:rsidRPr="008B1F04">
        <w:rPr>
          <w:rFonts w:cs="Arial"/>
        </w:rPr>
        <w:t>State v. Love, 156 N.C. App. 309, 315 (2003) (statement admissible when witness testified that she made the statement when the events of the night were “fresh in her mind”)</w:t>
      </w:r>
      <w:r w:rsidR="00A70403" w:rsidRPr="008B1F04">
        <w:rPr>
          <w:rFonts w:cs="Arial"/>
        </w:rPr>
        <w:t xml:space="preserve">; </w:t>
      </w:r>
      <w:r w:rsidR="00A70403" w:rsidRPr="008B1F04">
        <w:rPr>
          <w:rFonts w:cs="Arial"/>
          <w:i/>
        </w:rPr>
        <w:t xml:space="preserve">see generally </w:t>
      </w:r>
      <w:r w:rsidR="00A70403" w:rsidRPr="008B1F04">
        <w:rPr>
          <w:rFonts w:cs="Arial"/>
        </w:rPr>
        <w:t xml:space="preserve">2 </w:t>
      </w:r>
      <w:r w:rsidR="00A70403" w:rsidRPr="008B1F04">
        <w:rPr>
          <w:rFonts w:cs="Arial"/>
          <w:smallCaps/>
        </w:rPr>
        <w:t>McCormick</w:t>
      </w:r>
      <w:r w:rsidR="00A70403" w:rsidRPr="008B1F04">
        <w:rPr>
          <w:rFonts w:cs="Arial"/>
        </w:rPr>
        <w:t xml:space="preserve"> at 421 (inquir</w:t>
      </w:r>
      <w:r w:rsidR="0027631B" w:rsidRPr="008B1F04">
        <w:rPr>
          <w:rFonts w:cs="Arial"/>
        </w:rPr>
        <w:t>y is not how much time has passed</w:t>
      </w:r>
      <w:r w:rsidR="00A70403" w:rsidRPr="008B1F04">
        <w:rPr>
          <w:rFonts w:cs="Arial"/>
        </w:rPr>
        <w:t xml:space="preserve"> but whether the matter was fresh in the witness’s mind when the record was created)</w:t>
      </w:r>
      <w:r w:rsidR="00580511" w:rsidRPr="008B1F04">
        <w:rPr>
          <w:rFonts w:cs="Arial"/>
        </w:rPr>
        <w:t>.</w:t>
      </w:r>
      <w:r w:rsidRPr="008B1F04">
        <w:rPr>
          <w:rFonts w:cs="Arial"/>
          <w:i/>
        </w:rPr>
        <w:t xml:space="preserve"> </w:t>
      </w:r>
    </w:p>
    <w:p w14:paraId="31084E30" w14:textId="77777777" w:rsidR="00A35338" w:rsidRPr="008B1F04" w:rsidRDefault="00A70403" w:rsidP="00F83AD6">
      <w:pPr>
        <w:pStyle w:val="ListParagraph"/>
        <w:numPr>
          <w:ilvl w:val="0"/>
          <w:numId w:val="38"/>
        </w:numPr>
        <w:rPr>
          <w:rFonts w:cs="Arial"/>
          <w:i/>
        </w:rPr>
      </w:pPr>
      <w:r w:rsidRPr="008B1F04">
        <w:rPr>
          <w:b/>
        </w:rPr>
        <w:t>Accurate</w:t>
      </w:r>
      <w:r w:rsidR="00F6098C" w:rsidRPr="008B1F04">
        <w:rPr>
          <w:b/>
        </w:rPr>
        <w:t xml:space="preserve">. </w:t>
      </w:r>
      <w:r w:rsidR="0048193B" w:rsidRPr="008B1F04">
        <w:rPr>
          <w:rFonts w:cs="Arial"/>
        </w:rPr>
        <w:t>The rule also requires that the</w:t>
      </w:r>
      <w:r w:rsidR="00332161" w:rsidRPr="008B1F04">
        <w:rPr>
          <w:rFonts w:cs="Arial"/>
        </w:rPr>
        <w:t xml:space="preserve"> memorandum o</w:t>
      </w:r>
      <w:r w:rsidR="008B4F8C" w:rsidRPr="008B1F04">
        <w:rPr>
          <w:rFonts w:cs="Arial"/>
        </w:rPr>
        <w:t>r</w:t>
      </w:r>
      <w:r w:rsidR="0048193B" w:rsidRPr="008B1F04">
        <w:rPr>
          <w:rFonts w:cs="Arial"/>
        </w:rPr>
        <w:t xml:space="preserve"> record </w:t>
      </w:r>
      <w:r w:rsidR="00332161" w:rsidRPr="008B1F04">
        <w:rPr>
          <w:rFonts w:cs="Arial"/>
        </w:rPr>
        <w:t xml:space="preserve">correctly </w:t>
      </w:r>
      <w:r w:rsidR="0048193B" w:rsidRPr="008B1F04">
        <w:rPr>
          <w:rFonts w:cs="Arial"/>
        </w:rPr>
        <w:t>reflects the</w:t>
      </w:r>
      <w:r w:rsidR="00332161" w:rsidRPr="008B1F04">
        <w:rPr>
          <w:rFonts w:cs="Arial"/>
        </w:rPr>
        <w:t xml:space="preserve"> </w:t>
      </w:r>
      <w:r w:rsidR="0048193B" w:rsidRPr="008B1F04">
        <w:rPr>
          <w:rFonts w:cs="Arial"/>
        </w:rPr>
        <w:t xml:space="preserve">witness’s </w:t>
      </w:r>
      <w:r w:rsidRPr="008B1F04">
        <w:rPr>
          <w:rFonts w:cs="Arial"/>
        </w:rPr>
        <w:t xml:space="preserve">knowledge at the time. </w:t>
      </w:r>
      <w:r w:rsidR="0083038F" w:rsidRPr="008B1F04">
        <w:rPr>
          <w:rFonts w:cs="Arial"/>
          <w:smallCaps/>
        </w:rPr>
        <w:t xml:space="preserve">N.C. </w:t>
      </w:r>
      <w:proofErr w:type="spellStart"/>
      <w:r w:rsidR="0083038F" w:rsidRPr="008B1F04">
        <w:rPr>
          <w:rFonts w:cs="Arial"/>
          <w:smallCaps/>
        </w:rPr>
        <w:t>R.Evid</w:t>
      </w:r>
      <w:proofErr w:type="spellEnd"/>
      <w:r w:rsidR="0083038F" w:rsidRPr="008B1F04">
        <w:rPr>
          <w:rFonts w:cs="Arial"/>
        </w:rPr>
        <w:t>. 803(5)</w:t>
      </w:r>
      <w:r w:rsidRPr="008B1F04">
        <w:rPr>
          <w:rFonts w:cs="Arial"/>
        </w:rPr>
        <w:t xml:space="preserve">. Simply put, the record must be accurate. </w:t>
      </w:r>
      <w:r w:rsidR="00184303" w:rsidRPr="008B1F04">
        <w:rPr>
          <w:rFonts w:cs="Arial"/>
        </w:rPr>
        <w:t>Thus, in one case a statement was</w:t>
      </w:r>
      <w:r w:rsidR="00332161" w:rsidRPr="008B1F04">
        <w:rPr>
          <w:rFonts w:cs="Arial"/>
        </w:rPr>
        <w:t xml:space="preserve"> held to be</w:t>
      </w:r>
      <w:r w:rsidR="00184303" w:rsidRPr="008B1F04">
        <w:rPr>
          <w:rFonts w:cs="Arial"/>
        </w:rPr>
        <w:t xml:space="preserve"> inadmissible when the witness testified that because of her mental state at the time she was “liable to say anything.” </w:t>
      </w:r>
      <w:r w:rsidR="0083038F" w:rsidRPr="008B1F04">
        <w:rPr>
          <w:rFonts w:cs="Arial"/>
        </w:rPr>
        <w:t>State v. Wilson, 197 N.C. App. 154, 160 (2009)</w:t>
      </w:r>
      <w:r w:rsidR="00A35338" w:rsidRPr="008B1F04">
        <w:rPr>
          <w:rFonts w:cs="Arial"/>
        </w:rPr>
        <w:t xml:space="preserve">; </w:t>
      </w:r>
      <w:r w:rsidR="00A35338" w:rsidRPr="008B1F04">
        <w:rPr>
          <w:rFonts w:cs="Arial"/>
          <w:i/>
        </w:rPr>
        <w:t xml:space="preserve">see also </w:t>
      </w:r>
      <w:r w:rsidR="0083038F" w:rsidRPr="008B1F04">
        <w:rPr>
          <w:rFonts w:cs="Arial"/>
        </w:rPr>
        <w:t>State v. Hollingsworth, 78 N.C. App. 578, 581 (1985) (statement inadmissible when witness testified that the letter did not correctly reflect her knowledge of the events and that the “whole letter [was] a lie”)</w:t>
      </w:r>
      <w:r w:rsidR="00A35338" w:rsidRPr="008B1F04">
        <w:rPr>
          <w:rFonts w:cs="Arial"/>
        </w:rPr>
        <w:t xml:space="preserve">. </w:t>
      </w:r>
      <w:r w:rsidR="00332161" w:rsidRPr="008B1F04">
        <w:rPr>
          <w:rFonts w:cs="Arial"/>
        </w:rPr>
        <w:t xml:space="preserve">Accuracy </w:t>
      </w:r>
      <w:r w:rsidRPr="008B1F04">
        <w:rPr>
          <w:rFonts w:cs="Arial"/>
        </w:rPr>
        <w:t xml:space="preserve">typically </w:t>
      </w:r>
      <w:r w:rsidR="00917C25" w:rsidRPr="008B1F04">
        <w:rPr>
          <w:rFonts w:cs="Arial"/>
        </w:rPr>
        <w:t xml:space="preserve">is </w:t>
      </w:r>
      <w:r w:rsidRPr="008B1F04">
        <w:rPr>
          <w:rFonts w:cs="Arial"/>
        </w:rPr>
        <w:t xml:space="preserve">established by </w:t>
      </w:r>
      <w:r w:rsidR="0033285C" w:rsidRPr="008B1F04">
        <w:rPr>
          <w:rFonts w:cs="Arial"/>
        </w:rPr>
        <w:t xml:space="preserve">the </w:t>
      </w:r>
      <w:r w:rsidRPr="008B1F04">
        <w:rPr>
          <w:rFonts w:cs="Arial"/>
        </w:rPr>
        <w:t xml:space="preserve">witness’s testimony that that he or she remembers recording the facts correctly or that he or she had a habit of recording such matters correctly and checking them. </w:t>
      </w:r>
      <w:r w:rsidRPr="008B1F04">
        <w:rPr>
          <w:rFonts w:cs="Arial"/>
          <w:smallCaps/>
        </w:rPr>
        <w:t>2 McCormick</w:t>
      </w:r>
      <w:r w:rsidRPr="008B1F04">
        <w:rPr>
          <w:rFonts w:cs="Arial"/>
        </w:rPr>
        <w:t xml:space="preserve"> at 424. </w:t>
      </w:r>
    </w:p>
    <w:p w14:paraId="26AC44F5" w14:textId="77777777" w:rsidR="004C0063" w:rsidRPr="008B1F04" w:rsidRDefault="005F1A4C" w:rsidP="00F83AD6">
      <w:pPr>
        <w:pStyle w:val="ListParagraph"/>
        <w:numPr>
          <w:ilvl w:val="0"/>
          <w:numId w:val="38"/>
        </w:numPr>
        <w:rPr>
          <w:rFonts w:cs="Arial"/>
        </w:rPr>
      </w:pPr>
      <w:r w:rsidRPr="008B1F04">
        <w:rPr>
          <w:b/>
        </w:rPr>
        <w:t>Trial Practice</w:t>
      </w:r>
      <w:r w:rsidR="00F6098C" w:rsidRPr="008B1F04">
        <w:rPr>
          <w:b/>
        </w:rPr>
        <w:t xml:space="preserve">. </w:t>
      </w:r>
      <w:r w:rsidR="00645591" w:rsidRPr="008B1F04">
        <w:rPr>
          <w:rFonts w:cs="Arial"/>
        </w:rPr>
        <w:t>I</w:t>
      </w:r>
      <w:r w:rsidRPr="008B1F04">
        <w:rPr>
          <w:rFonts w:cs="Arial"/>
        </w:rPr>
        <w:t>f</w:t>
      </w:r>
      <w:r w:rsidR="00645591" w:rsidRPr="008B1F04">
        <w:rPr>
          <w:rFonts w:cs="Arial"/>
        </w:rPr>
        <w:t xml:space="preserve"> </w:t>
      </w:r>
      <w:r w:rsidR="004C0063" w:rsidRPr="008B1F04">
        <w:rPr>
          <w:rFonts w:cs="Arial"/>
        </w:rPr>
        <w:t xml:space="preserve">admitted, the memorandum or record may be </w:t>
      </w:r>
      <w:r w:rsidR="00445804" w:rsidRPr="008B1F04">
        <w:rPr>
          <w:rFonts w:cs="Arial"/>
        </w:rPr>
        <w:t xml:space="preserve">read into evidence but may not </w:t>
      </w:r>
      <w:r w:rsidR="004C0063" w:rsidRPr="008B1F04">
        <w:rPr>
          <w:rFonts w:cs="Arial"/>
        </w:rPr>
        <w:t>be received as an exhibit unless offered by an adverse party.</w:t>
      </w:r>
      <w:r w:rsidR="00645591" w:rsidRPr="008B1F04">
        <w:rPr>
          <w:rFonts w:cs="Arial"/>
        </w:rPr>
        <w:t xml:space="preserve"> </w:t>
      </w:r>
      <w:r w:rsidR="0083038F" w:rsidRPr="008B1F04">
        <w:rPr>
          <w:rFonts w:cs="Arial"/>
          <w:smallCaps/>
        </w:rPr>
        <w:t>N.C. R. Evid</w:t>
      </w:r>
      <w:r w:rsidR="0083038F" w:rsidRPr="008B1F04">
        <w:rPr>
          <w:rFonts w:cs="Arial"/>
        </w:rPr>
        <w:t>. 803(5)</w:t>
      </w:r>
      <w:r w:rsidR="00645591" w:rsidRPr="008B1F04">
        <w:rPr>
          <w:rFonts w:cs="Arial"/>
        </w:rPr>
        <w:t xml:space="preserve">. </w:t>
      </w:r>
      <w:r w:rsidRPr="008B1F04">
        <w:rPr>
          <w:rFonts w:cs="Arial"/>
        </w:rPr>
        <w:t xml:space="preserve">The rationale behind this provision is to </w:t>
      </w:r>
      <w:r w:rsidR="00AC30F8" w:rsidRPr="008B1F04">
        <w:rPr>
          <w:rFonts w:cs="Arial"/>
        </w:rPr>
        <w:t>“</w:t>
      </w:r>
      <w:r w:rsidRPr="008B1F04">
        <w:rPr>
          <w:rFonts w:cs="Arial"/>
        </w:rPr>
        <w:t>prevent a jury from giving too much weight to a written statement that cannot be effectively cross-examined.</w:t>
      </w:r>
      <w:r w:rsidR="00AC30F8" w:rsidRPr="008B1F04">
        <w:rPr>
          <w:rFonts w:cs="Arial"/>
        </w:rPr>
        <w:t>”</w:t>
      </w:r>
      <w:r w:rsidRPr="008B1F04">
        <w:rPr>
          <w:rFonts w:cs="Arial"/>
        </w:rPr>
        <w:t xml:space="preserve"> </w:t>
      </w:r>
      <w:r w:rsidR="0083038F" w:rsidRPr="008B1F04">
        <w:rPr>
          <w:rFonts w:cs="Arial"/>
        </w:rPr>
        <w:t>State v. Spinks, 136 N.C. App. 153, 159 (1999)</w:t>
      </w:r>
      <w:r w:rsidR="00AC30F8" w:rsidRPr="008B1F04">
        <w:rPr>
          <w:rFonts w:cs="Arial"/>
        </w:rPr>
        <w:t xml:space="preserve"> (citation omitted)</w:t>
      </w:r>
      <w:r w:rsidRPr="008B1F04">
        <w:rPr>
          <w:rFonts w:cs="Arial"/>
        </w:rPr>
        <w:t>.</w:t>
      </w:r>
    </w:p>
    <w:p w14:paraId="39DE235A" w14:textId="77777777" w:rsidR="00676B14" w:rsidRPr="00AA085B" w:rsidRDefault="00645591" w:rsidP="00AA085B">
      <w:pPr>
        <w:pStyle w:val="ListParagraph"/>
        <w:numPr>
          <w:ilvl w:val="0"/>
          <w:numId w:val="36"/>
        </w:numPr>
        <w:rPr>
          <w:rFonts w:cs="Arial"/>
        </w:rPr>
      </w:pPr>
      <w:bookmarkStart w:id="22" w:name="_Toc405983793"/>
      <w:r w:rsidRPr="00A2261E">
        <w:rPr>
          <w:rStyle w:val="Heading3Char"/>
        </w:rPr>
        <w:t xml:space="preserve">Records of Regularly Conducted </w:t>
      </w:r>
      <w:r w:rsidR="00622184" w:rsidRPr="00A2261E">
        <w:rPr>
          <w:rStyle w:val="Heading3Char"/>
        </w:rPr>
        <w:t xml:space="preserve">Business </w:t>
      </w:r>
      <w:r w:rsidRPr="00A2261E">
        <w:rPr>
          <w:rStyle w:val="Heading3Char"/>
        </w:rPr>
        <w:t>Activity</w:t>
      </w:r>
      <w:bookmarkEnd w:id="22"/>
      <w:r w:rsidR="0026386A" w:rsidRPr="008B1F04">
        <w:rPr>
          <w:b/>
        </w:rPr>
        <w:t xml:space="preserve">. </w:t>
      </w:r>
      <w:r w:rsidRPr="008B1F04">
        <w:rPr>
          <w:rFonts w:cs="Arial"/>
        </w:rPr>
        <w:t xml:space="preserve">Rule 803(6) contains a hearsay exception for </w:t>
      </w:r>
      <w:r w:rsidRPr="00AA085B">
        <w:rPr>
          <w:rFonts w:cs="Arial"/>
        </w:rPr>
        <w:t xml:space="preserve">a </w:t>
      </w:r>
      <w:r w:rsidR="004C0063" w:rsidRPr="00AA085B">
        <w:rPr>
          <w:rFonts w:cs="Arial"/>
        </w:rPr>
        <w:t>memorandum, report, record, or data compilation, in any form, of acts, events, conditions, opinions, or diagnoses, made at or near the time by, or from information transmitted by, a person with knowledge, if kept in the course of a regularly conducted business activity, and if it was the regular practice of that business activity to make the memorandum, report, record, or data compilation</w:t>
      </w:r>
      <w:r w:rsidR="0033394C" w:rsidRPr="00AA085B">
        <w:rPr>
          <w:rFonts w:cs="Arial"/>
        </w:rPr>
        <w:t>, all shown by the testimony of the custodian or other qualified witness, unless the source of information or the method or circumstances of preparation indicate lack of trustworthiness</w:t>
      </w:r>
      <w:r w:rsidR="00B243D5" w:rsidRPr="00AA085B">
        <w:rPr>
          <w:rFonts w:cs="Arial"/>
        </w:rPr>
        <w:t>.</w:t>
      </w:r>
    </w:p>
    <w:p w14:paraId="19FEFDF4" w14:textId="77777777" w:rsidR="00E16089" w:rsidRPr="008B1F04" w:rsidRDefault="005B1341" w:rsidP="00AA085B">
      <w:pPr>
        <w:pStyle w:val="ListParagraph"/>
        <w:ind w:left="2160" w:firstLine="720"/>
        <w:rPr>
          <w:rFonts w:cs="Arial"/>
        </w:rPr>
      </w:pPr>
      <w:r w:rsidRPr="008B1F04">
        <w:rPr>
          <w:rFonts w:cs="Arial"/>
        </w:rPr>
        <w:t>The subsection</w:t>
      </w:r>
      <w:r w:rsidR="00302899" w:rsidRPr="008B1F04">
        <w:rPr>
          <w:rFonts w:cs="Arial"/>
        </w:rPr>
        <w:t>s</w:t>
      </w:r>
      <w:r w:rsidRPr="008B1F04">
        <w:rPr>
          <w:rFonts w:cs="Arial"/>
        </w:rPr>
        <w:t xml:space="preserve"> </w:t>
      </w:r>
      <w:r w:rsidR="006120FB" w:rsidRPr="008B1F04">
        <w:rPr>
          <w:rFonts w:cs="Arial"/>
        </w:rPr>
        <w:t xml:space="preserve">that follow </w:t>
      </w:r>
      <w:r w:rsidRPr="008B1F04">
        <w:rPr>
          <w:rFonts w:cs="Arial"/>
        </w:rPr>
        <w:t>explore this exception.</w:t>
      </w:r>
      <w:r w:rsidR="002C36E2" w:rsidRPr="008B1F04">
        <w:rPr>
          <w:rFonts w:cs="Arial"/>
        </w:rPr>
        <w:t xml:space="preserve"> </w:t>
      </w:r>
      <w:r w:rsidR="0083038F" w:rsidRPr="008B1F04">
        <w:rPr>
          <w:rFonts w:cs="Arial"/>
          <w:smallCaps/>
        </w:rPr>
        <w:t>N.C. R.</w:t>
      </w:r>
      <w:r w:rsidR="00AA085B">
        <w:rPr>
          <w:rFonts w:cs="Arial"/>
          <w:smallCaps/>
        </w:rPr>
        <w:t xml:space="preserve"> </w:t>
      </w:r>
      <w:proofErr w:type="spellStart"/>
      <w:r w:rsidR="0083038F" w:rsidRPr="008B1F04">
        <w:rPr>
          <w:rFonts w:cs="Arial"/>
          <w:smallCaps/>
        </w:rPr>
        <w:t>Evid</w:t>
      </w:r>
      <w:proofErr w:type="spellEnd"/>
      <w:r w:rsidR="002C36E2" w:rsidRPr="008B1F04">
        <w:rPr>
          <w:rFonts w:cs="Arial"/>
        </w:rPr>
        <w:t>. 803(6).</w:t>
      </w:r>
    </w:p>
    <w:p w14:paraId="66612D57" w14:textId="77777777" w:rsidR="003E6244" w:rsidRPr="008B1F04" w:rsidRDefault="003E6244" w:rsidP="00F83AD6">
      <w:pPr>
        <w:pStyle w:val="ListParagraph"/>
        <w:numPr>
          <w:ilvl w:val="0"/>
          <w:numId w:val="39"/>
        </w:numPr>
        <w:rPr>
          <w:rFonts w:cs="Arial"/>
        </w:rPr>
      </w:pPr>
      <w:r w:rsidRPr="008B1F04">
        <w:rPr>
          <w:b/>
        </w:rPr>
        <w:lastRenderedPageBreak/>
        <w:t>Covered Records</w:t>
      </w:r>
      <w:r w:rsidR="0026386A" w:rsidRPr="008B1F04">
        <w:rPr>
          <w:b/>
        </w:rPr>
        <w:t xml:space="preserve">. </w:t>
      </w:r>
      <w:r w:rsidRPr="008B1F04">
        <w:rPr>
          <w:rFonts w:cs="Arial"/>
        </w:rPr>
        <w:t xml:space="preserve">By its terms, the rule applies to “a memorandum, report, record, or data compilation, in any form, of acts, events, conditions, opinions, or diagnoses.” </w:t>
      </w:r>
      <w:r w:rsidR="0083038F" w:rsidRPr="008B1F04">
        <w:rPr>
          <w:rFonts w:cs="Arial"/>
          <w:smallCaps/>
        </w:rPr>
        <w:t>N.C. R.</w:t>
      </w:r>
      <w:r w:rsidR="00B44FD0" w:rsidRPr="008B1F04">
        <w:rPr>
          <w:rFonts w:cs="Arial"/>
          <w:smallCaps/>
        </w:rPr>
        <w:t xml:space="preserve"> </w:t>
      </w:r>
      <w:r w:rsidR="0083038F" w:rsidRPr="008B1F04">
        <w:rPr>
          <w:rFonts w:cs="Arial"/>
          <w:smallCaps/>
        </w:rPr>
        <w:t>Evid</w:t>
      </w:r>
      <w:r w:rsidRPr="008B1F04">
        <w:rPr>
          <w:rFonts w:cs="Arial"/>
        </w:rPr>
        <w:t xml:space="preserve">. 803(6). </w:t>
      </w:r>
    </w:p>
    <w:p w14:paraId="3915492F" w14:textId="77777777" w:rsidR="00613C59" w:rsidRPr="008B1F04" w:rsidRDefault="00A04D37" w:rsidP="00F83AD6">
      <w:pPr>
        <w:pStyle w:val="ListParagraph"/>
        <w:numPr>
          <w:ilvl w:val="0"/>
          <w:numId w:val="39"/>
        </w:numPr>
        <w:rPr>
          <w:rFonts w:cs="Arial"/>
        </w:rPr>
      </w:pPr>
      <w:r w:rsidRPr="008B1F04">
        <w:rPr>
          <w:b/>
        </w:rPr>
        <w:t xml:space="preserve">Made </w:t>
      </w:r>
      <w:r w:rsidR="00676B14" w:rsidRPr="008B1F04">
        <w:rPr>
          <w:b/>
        </w:rPr>
        <w:t>a</w:t>
      </w:r>
      <w:r w:rsidRPr="008B1F04">
        <w:rPr>
          <w:b/>
        </w:rPr>
        <w:t>t or Near Time of the Event, Etc.</w:t>
      </w:r>
      <w:r w:rsidR="0026386A" w:rsidRPr="008B1F04">
        <w:rPr>
          <w:b/>
        </w:rPr>
        <w:t xml:space="preserve"> </w:t>
      </w:r>
      <w:r w:rsidR="00F07441" w:rsidRPr="008B1F04">
        <w:rPr>
          <w:rFonts w:cs="Arial"/>
        </w:rPr>
        <w:t xml:space="preserve">The rule requires that the record be made “at or near the time” of occurrence. </w:t>
      </w:r>
      <w:r w:rsidR="0083038F" w:rsidRPr="008B1F04">
        <w:rPr>
          <w:rFonts w:cs="Arial"/>
          <w:smallCaps/>
        </w:rPr>
        <w:t>N.C. R. Evid.</w:t>
      </w:r>
      <w:r w:rsidR="0083038F" w:rsidRPr="008B1F04">
        <w:rPr>
          <w:rFonts w:cs="Arial"/>
        </w:rPr>
        <w:t xml:space="preserve"> 803(6).</w:t>
      </w:r>
      <w:r w:rsidR="00EB4DE1" w:rsidRPr="008B1F04">
        <w:rPr>
          <w:rFonts w:cs="Arial"/>
        </w:rPr>
        <w:t xml:space="preserve"> If the records themselves show that they were made at or near the time of the transaction in question, they are self-authenticating as to this foundational element. </w:t>
      </w:r>
      <w:r w:rsidR="0083038F" w:rsidRPr="008B1F04">
        <w:rPr>
          <w:rFonts w:cs="Arial"/>
        </w:rPr>
        <w:t>State v. Frierson, 153 N.C. App. 242, 247-48 (2002) (stating this rule and applying it with respect to a restaurant’s deposit slips and validation reports)</w:t>
      </w:r>
      <w:r w:rsidR="00F07441" w:rsidRPr="008B1F04">
        <w:rPr>
          <w:rFonts w:cs="Arial"/>
        </w:rPr>
        <w:t xml:space="preserve">; </w:t>
      </w:r>
      <w:r w:rsidR="00F07441" w:rsidRPr="008B1F04">
        <w:rPr>
          <w:rFonts w:cs="Arial"/>
          <w:i/>
        </w:rPr>
        <w:t xml:space="preserve">see also </w:t>
      </w:r>
      <w:r w:rsidR="0083038F" w:rsidRPr="008B1F04">
        <w:rPr>
          <w:rFonts w:cs="Arial"/>
        </w:rPr>
        <w:t xml:space="preserve">State v. </w:t>
      </w:r>
      <w:proofErr w:type="spellStart"/>
      <w:r w:rsidR="0083038F" w:rsidRPr="008B1F04">
        <w:rPr>
          <w:rFonts w:cs="Arial"/>
        </w:rPr>
        <w:t>Rupe</w:t>
      </w:r>
      <w:proofErr w:type="spellEnd"/>
      <w:r w:rsidR="0083038F" w:rsidRPr="008B1F04">
        <w:rPr>
          <w:rFonts w:cs="Arial"/>
        </w:rPr>
        <w:t>, 109 N.C. App. 601, 610-11 (1993) (reservation deposit receipts, copies of checks, and receipts for public offering statements were admissible where the documents themselves were dated)</w:t>
      </w:r>
      <w:r w:rsidR="00960C31" w:rsidRPr="008B1F04">
        <w:rPr>
          <w:rFonts w:cs="Arial"/>
        </w:rPr>
        <w:t>.</w:t>
      </w:r>
      <w:r w:rsidR="00F07441" w:rsidRPr="008B1F04">
        <w:rPr>
          <w:rFonts w:cs="Arial"/>
        </w:rPr>
        <w:t xml:space="preserve"> </w:t>
      </w:r>
      <w:r w:rsidR="00FB594F" w:rsidRPr="008B1F04">
        <w:rPr>
          <w:rFonts w:cs="Arial"/>
        </w:rPr>
        <w:t xml:space="preserve">When the records are not dated, witness testimony can provide the required foundation. </w:t>
      </w:r>
      <w:r w:rsidR="00FB594F" w:rsidRPr="008B1F04">
        <w:rPr>
          <w:rFonts w:cs="Arial"/>
          <w:i/>
        </w:rPr>
        <w:t>See, e.g</w:t>
      </w:r>
      <w:r w:rsidR="00FB594F" w:rsidRPr="008B1F04">
        <w:rPr>
          <w:rFonts w:cs="Arial"/>
        </w:rPr>
        <w:t xml:space="preserve">., </w:t>
      </w:r>
      <w:r w:rsidR="0083038F" w:rsidRPr="008B1F04">
        <w:rPr>
          <w:rFonts w:cs="Arial"/>
        </w:rPr>
        <w:t>State v. Tyler, 346 N.C. 187, 204-05 (1997) (medical records satisfied this requirement when a nurse testified that the records were created during the victim’s stay at the hospital and were kept contemporaneously with the victim’s care)</w:t>
      </w:r>
      <w:r w:rsidR="00FB594F" w:rsidRPr="008B1F04">
        <w:rPr>
          <w:rFonts w:cs="Arial"/>
        </w:rPr>
        <w:t>.</w:t>
      </w:r>
    </w:p>
    <w:p w14:paraId="00A55D1B" w14:textId="77777777" w:rsidR="002772ED" w:rsidRPr="008B1F04" w:rsidRDefault="00A04D37" w:rsidP="00F83AD6">
      <w:pPr>
        <w:pStyle w:val="ListParagraph"/>
        <w:numPr>
          <w:ilvl w:val="0"/>
          <w:numId w:val="39"/>
        </w:numPr>
        <w:rPr>
          <w:rFonts w:cs="Arial"/>
          <w:i/>
        </w:rPr>
      </w:pPr>
      <w:r w:rsidRPr="008B1F04">
        <w:rPr>
          <w:b/>
        </w:rPr>
        <w:t>Knowledge</w:t>
      </w:r>
      <w:r w:rsidR="0026386A" w:rsidRPr="008B1F04">
        <w:rPr>
          <w:b/>
        </w:rPr>
        <w:t xml:space="preserve">. </w:t>
      </w:r>
      <w:r w:rsidR="005F4025" w:rsidRPr="008B1F04">
        <w:rPr>
          <w:rFonts w:cs="Arial"/>
        </w:rPr>
        <w:t xml:space="preserve">The record must have been made by </w:t>
      </w:r>
      <w:r w:rsidR="0000418B" w:rsidRPr="008B1F04">
        <w:rPr>
          <w:rFonts w:cs="Arial"/>
        </w:rPr>
        <w:t xml:space="preserve">or from information transmitted by “a person </w:t>
      </w:r>
      <w:r w:rsidR="005F4025" w:rsidRPr="008B1F04">
        <w:rPr>
          <w:rFonts w:cs="Arial"/>
        </w:rPr>
        <w:t xml:space="preserve">with knowledge” of the event, etc. </w:t>
      </w:r>
      <w:r w:rsidR="0083038F" w:rsidRPr="008B1F04">
        <w:rPr>
          <w:rFonts w:cs="Arial"/>
          <w:smallCaps/>
        </w:rPr>
        <w:t>N.C. R. Evid</w:t>
      </w:r>
      <w:r w:rsidR="0083038F" w:rsidRPr="008B1F04">
        <w:rPr>
          <w:rFonts w:cs="Arial"/>
        </w:rPr>
        <w:t>. 803(6)</w:t>
      </w:r>
      <w:r w:rsidR="008B4F8C" w:rsidRPr="008B1F04">
        <w:rPr>
          <w:rFonts w:cs="Arial"/>
        </w:rPr>
        <w:t xml:space="preserve">; </w:t>
      </w:r>
      <w:r w:rsidR="008B4F8C" w:rsidRPr="008B1F04">
        <w:rPr>
          <w:rFonts w:cs="Arial"/>
          <w:i/>
        </w:rPr>
        <w:t xml:space="preserve">see, e.g., </w:t>
      </w:r>
      <w:r w:rsidR="0083038F" w:rsidRPr="008B1F04">
        <w:rPr>
          <w:rFonts w:cs="Arial"/>
        </w:rPr>
        <w:t>State v. Scott, 343 N.C. 313, 333-34 (1996) (a domestic violence shelter’s intake form fell within this exception even though the form was completed by the victim; the victim completed the form at a shelter employee’s direction, preparation of such forms was a regular practice of the shelter, and the employee observed the victim complete the form)</w:t>
      </w:r>
      <w:r w:rsidR="00620581" w:rsidRPr="008B1F04">
        <w:rPr>
          <w:rFonts w:cs="Arial"/>
        </w:rPr>
        <w:t>;</w:t>
      </w:r>
      <w:r w:rsidR="002772ED" w:rsidRPr="008B1F04">
        <w:rPr>
          <w:rFonts w:cs="Arial"/>
        </w:rPr>
        <w:t xml:space="preserve"> </w:t>
      </w:r>
      <w:r w:rsidR="00B91E8E" w:rsidRPr="008B1F04">
        <w:rPr>
          <w:rFonts w:cs="Arial"/>
          <w:i/>
        </w:rPr>
        <w:t>s</w:t>
      </w:r>
      <w:r w:rsidR="002772ED" w:rsidRPr="008B1F04">
        <w:rPr>
          <w:rFonts w:cs="Arial"/>
          <w:i/>
        </w:rPr>
        <w:t xml:space="preserve">ee also </w:t>
      </w:r>
      <w:r w:rsidR="0083038F" w:rsidRPr="008B1F04">
        <w:rPr>
          <w:rFonts w:cs="Arial"/>
        </w:rPr>
        <w:t>State v. Marshall, 94 N.C. App. 20, 34 (1989) (relevant information on a pretrial release record was completed by the defendant)</w:t>
      </w:r>
      <w:r w:rsidR="002772ED" w:rsidRPr="008B1F04">
        <w:rPr>
          <w:rFonts w:cs="Arial"/>
        </w:rPr>
        <w:t xml:space="preserve">. </w:t>
      </w:r>
    </w:p>
    <w:p w14:paraId="62F17DCB" w14:textId="77777777" w:rsidR="00170F1E" w:rsidRPr="008B1F04" w:rsidRDefault="00A04D37" w:rsidP="00F83AD6">
      <w:pPr>
        <w:pStyle w:val="ListParagraph"/>
        <w:numPr>
          <w:ilvl w:val="0"/>
          <w:numId w:val="39"/>
        </w:numPr>
        <w:rPr>
          <w:rFonts w:cs="Arial"/>
        </w:rPr>
      </w:pPr>
      <w:r w:rsidRPr="008B1F04">
        <w:rPr>
          <w:b/>
        </w:rPr>
        <w:t>Made in the Regular Course of Business</w:t>
      </w:r>
      <w:r w:rsidR="0026386A" w:rsidRPr="008B1F04">
        <w:rPr>
          <w:b/>
        </w:rPr>
        <w:t xml:space="preserve">. </w:t>
      </w:r>
      <w:r w:rsidR="00170F1E" w:rsidRPr="008B1F04">
        <w:rPr>
          <w:rFonts w:cs="Arial"/>
        </w:rPr>
        <w:t>The rule requires that the record be made in</w:t>
      </w:r>
      <w:r w:rsidR="00290CEA" w:rsidRPr="008B1F04">
        <w:rPr>
          <w:rFonts w:cs="Arial"/>
        </w:rPr>
        <w:t xml:space="preserve"> the</w:t>
      </w:r>
      <w:r w:rsidR="00170F1E" w:rsidRPr="008B1F04">
        <w:rPr>
          <w:rFonts w:cs="Arial"/>
        </w:rPr>
        <w:t xml:space="preserve"> </w:t>
      </w:r>
      <w:r w:rsidR="00620581" w:rsidRPr="008B1F04">
        <w:rPr>
          <w:rFonts w:cs="Arial"/>
        </w:rPr>
        <w:t xml:space="preserve">course of a regularly conducted business activity, </w:t>
      </w:r>
      <w:r w:rsidR="0083038F" w:rsidRPr="008B1F04">
        <w:rPr>
          <w:rFonts w:cs="Arial"/>
          <w:smallCaps/>
        </w:rPr>
        <w:t>N.C. R. Evid</w:t>
      </w:r>
      <w:r w:rsidR="0083038F" w:rsidRPr="008B1F04">
        <w:rPr>
          <w:rFonts w:cs="Arial"/>
        </w:rPr>
        <w:t>. 803(6)</w:t>
      </w:r>
      <w:r w:rsidR="00620581" w:rsidRPr="008B1F04">
        <w:rPr>
          <w:rFonts w:cs="Arial"/>
        </w:rPr>
        <w:t>,</w:t>
      </w:r>
      <w:r w:rsidR="004D0B24" w:rsidRPr="008B1F04">
        <w:rPr>
          <w:rFonts w:cs="Arial"/>
        </w:rPr>
        <w:t xml:space="preserve"> such as a re</w:t>
      </w:r>
      <w:r w:rsidR="00F2270B" w:rsidRPr="008B1F04">
        <w:rPr>
          <w:rFonts w:cs="Arial"/>
        </w:rPr>
        <w:t>ceipt given by a merchant to a</w:t>
      </w:r>
      <w:r w:rsidR="004D0B24" w:rsidRPr="008B1F04">
        <w:rPr>
          <w:rFonts w:cs="Arial"/>
        </w:rPr>
        <w:t xml:space="preserve"> purchaser at the time of sale</w:t>
      </w:r>
      <w:r w:rsidR="00DA0DB4" w:rsidRPr="008B1F04">
        <w:rPr>
          <w:rFonts w:cs="Arial"/>
        </w:rPr>
        <w:t>.</w:t>
      </w:r>
      <w:r w:rsidR="00D94B74" w:rsidRPr="008B1F04">
        <w:rPr>
          <w:rFonts w:cs="Arial"/>
        </w:rPr>
        <w:t xml:space="preserve"> </w:t>
      </w:r>
      <w:r w:rsidR="0083038F" w:rsidRPr="008B1F04">
        <w:rPr>
          <w:rFonts w:cs="Arial"/>
        </w:rPr>
        <w:t xml:space="preserve">State v. Ligon, 332 N.C. 224, 232-34 (1992) (a sales ticket for the purchase of ammunition was made in the regular course of business). Also covered are forms completed in connection with a business transaction, </w:t>
      </w:r>
      <w:r w:rsidR="0083038F" w:rsidRPr="008B1F04">
        <w:rPr>
          <w:rFonts w:cs="Arial"/>
          <w:i/>
        </w:rPr>
        <w:t>State v. Holden</w:t>
      </w:r>
      <w:r w:rsidR="0083038F" w:rsidRPr="008B1F04">
        <w:rPr>
          <w:rFonts w:cs="Arial"/>
        </w:rPr>
        <w:t>, 321 N.C. 125, 143 (1987) (a federal firearms form filled out at the time of sale)</w:t>
      </w:r>
      <w:r w:rsidR="00D94B74" w:rsidRPr="008B1F04">
        <w:rPr>
          <w:rFonts w:cs="Arial"/>
        </w:rPr>
        <w:t xml:space="preserve">, </w:t>
      </w:r>
      <w:r w:rsidR="00F2270B" w:rsidRPr="008B1F04">
        <w:rPr>
          <w:rFonts w:cs="Arial"/>
        </w:rPr>
        <w:t>company bank deposit slips</w:t>
      </w:r>
      <w:r w:rsidR="00DA0DB4" w:rsidRPr="008B1F04">
        <w:rPr>
          <w:rFonts w:cs="Arial"/>
        </w:rPr>
        <w:t xml:space="preserve">, </w:t>
      </w:r>
      <w:r w:rsidR="0083038F" w:rsidRPr="008B1F04">
        <w:rPr>
          <w:rFonts w:cs="Arial"/>
          <w:i/>
        </w:rPr>
        <w:t>State v. Frierson</w:t>
      </w:r>
      <w:r w:rsidR="0083038F" w:rsidRPr="008B1F04">
        <w:rPr>
          <w:rFonts w:cs="Arial"/>
        </w:rPr>
        <w:t>, 153 N.C. App. 242, 247-48 (2002)</w:t>
      </w:r>
      <w:r w:rsidR="00F2270B" w:rsidRPr="008B1F04">
        <w:rPr>
          <w:rFonts w:cs="Arial"/>
        </w:rPr>
        <w:t>,</w:t>
      </w:r>
      <w:r w:rsidR="00D94B74" w:rsidRPr="008B1F04">
        <w:rPr>
          <w:rFonts w:cs="Arial"/>
        </w:rPr>
        <w:t xml:space="preserve"> </w:t>
      </w:r>
      <w:r w:rsidR="00F2270B" w:rsidRPr="008B1F04">
        <w:rPr>
          <w:rFonts w:cs="Arial"/>
        </w:rPr>
        <w:t>bank statements</w:t>
      </w:r>
      <w:r w:rsidR="00D94B74" w:rsidRPr="008B1F04">
        <w:rPr>
          <w:rFonts w:cs="Arial"/>
        </w:rPr>
        <w:t xml:space="preserve">, </w:t>
      </w:r>
      <w:r w:rsidR="0083038F" w:rsidRPr="008B1F04">
        <w:rPr>
          <w:rFonts w:cs="Arial"/>
          <w:i/>
        </w:rPr>
        <w:t>id</w:t>
      </w:r>
      <w:r w:rsidR="0083038F" w:rsidRPr="008B1F04">
        <w:rPr>
          <w:rFonts w:cs="Arial"/>
        </w:rPr>
        <w:t>.</w:t>
      </w:r>
      <w:r w:rsidR="00F2270B" w:rsidRPr="008B1F04">
        <w:rPr>
          <w:rFonts w:cs="Arial"/>
        </w:rPr>
        <w:t>,</w:t>
      </w:r>
      <w:r w:rsidR="005E66D8" w:rsidRPr="008B1F04">
        <w:rPr>
          <w:rFonts w:cs="Arial"/>
        </w:rPr>
        <w:t xml:space="preserve"> and information</w:t>
      </w:r>
      <w:r w:rsidR="00F2270B" w:rsidRPr="008B1F04">
        <w:rPr>
          <w:rFonts w:cs="Arial"/>
        </w:rPr>
        <w:t xml:space="preserve"> required to be</w:t>
      </w:r>
      <w:r w:rsidR="005E66D8" w:rsidRPr="008B1F04">
        <w:rPr>
          <w:rFonts w:cs="Arial"/>
        </w:rPr>
        <w:t xml:space="preserve"> logged by company employees. </w:t>
      </w:r>
      <w:r w:rsidR="0083038F" w:rsidRPr="008B1F04">
        <w:rPr>
          <w:rFonts w:cs="Arial"/>
        </w:rPr>
        <w:t>State v. Hewson, 182 N.C. App. 196, 208 (2007) (pass on information records by private security guards)</w:t>
      </w:r>
      <w:r w:rsidR="00D94B74" w:rsidRPr="008B1F04">
        <w:rPr>
          <w:rFonts w:cs="Arial"/>
        </w:rPr>
        <w:t>.</w:t>
      </w:r>
    </w:p>
    <w:p w14:paraId="6573BC4C" w14:textId="77777777" w:rsidR="00D5151E" w:rsidRPr="008B1F04" w:rsidRDefault="00170F1E" w:rsidP="0026386A">
      <w:pPr>
        <w:ind w:left="2880" w:firstLine="360"/>
        <w:rPr>
          <w:rFonts w:cs="Arial"/>
        </w:rPr>
      </w:pPr>
      <w:r w:rsidRPr="008B1F04">
        <w:rPr>
          <w:rFonts w:cs="Arial"/>
        </w:rPr>
        <w:t>The exception</w:t>
      </w:r>
      <w:r w:rsidR="00A04D37" w:rsidRPr="008B1F04">
        <w:rPr>
          <w:rFonts w:cs="Arial"/>
        </w:rPr>
        <w:t xml:space="preserve"> is not limited to</w:t>
      </w:r>
      <w:r w:rsidR="00DA0DB4" w:rsidRPr="008B1F04">
        <w:rPr>
          <w:rFonts w:cs="Arial"/>
        </w:rPr>
        <w:t xml:space="preserve"> records that are created by what</w:t>
      </w:r>
      <w:r w:rsidR="00A04D37" w:rsidRPr="008B1F04">
        <w:rPr>
          <w:rFonts w:cs="Arial"/>
        </w:rPr>
        <w:t xml:space="preserve"> we typically think of as private business</w:t>
      </w:r>
      <w:r w:rsidR="00DA0DB4" w:rsidRPr="008B1F04">
        <w:rPr>
          <w:rFonts w:cs="Arial"/>
        </w:rPr>
        <w:t>es</w:t>
      </w:r>
      <w:r w:rsidR="00A04D37" w:rsidRPr="008B1F04">
        <w:rPr>
          <w:rFonts w:cs="Arial"/>
        </w:rPr>
        <w:t xml:space="preserve">. </w:t>
      </w:r>
      <w:r w:rsidR="00527C6B" w:rsidRPr="008B1F04">
        <w:rPr>
          <w:rFonts w:cs="Arial"/>
        </w:rPr>
        <w:t>The</w:t>
      </w:r>
      <w:r w:rsidR="00A04D37" w:rsidRPr="008B1F04">
        <w:rPr>
          <w:rFonts w:cs="Arial"/>
        </w:rPr>
        <w:t xml:space="preserve"> rule provides that the term "business" includes business, institution, association, profession, occupation, and calling of every kind, whether or not conducted for profit. </w:t>
      </w:r>
      <w:r w:rsidR="0083038F" w:rsidRPr="008B1F04">
        <w:rPr>
          <w:rFonts w:cs="Arial"/>
          <w:smallCaps/>
        </w:rPr>
        <w:t>N.C. R. Evid. 803(6)</w:t>
      </w:r>
      <w:r w:rsidR="00A04D37" w:rsidRPr="008B1F04">
        <w:rPr>
          <w:rFonts w:cs="Arial"/>
        </w:rPr>
        <w:t xml:space="preserve">. </w:t>
      </w:r>
      <w:r w:rsidR="00527C6B" w:rsidRPr="008B1F04">
        <w:rPr>
          <w:rFonts w:cs="Arial"/>
        </w:rPr>
        <w:t xml:space="preserve">It thus has been held to cover </w:t>
      </w:r>
      <w:r w:rsidR="00A328DF" w:rsidRPr="008B1F04">
        <w:rPr>
          <w:rFonts w:cs="Arial"/>
        </w:rPr>
        <w:t>a domestic violence shelter</w:t>
      </w:r>
      <w:r w:rsidR="00527C6B" w:rsidRPr="008B1F04">
        <w:rPr>
          <w:rFonts w:cs="Arial"/>
        </w:rPr>
        <w:t>’s records</w:t>
      </w:r>
      <w:r w:rsidR="00A328DF" w:rsidRPr="008B1F04">
        <w:rPr>
          <w:rFonts w:cs="Arial"/>
        </w:rPr>
        <w:t xml:space="preserve">, </w:t>
      </w:r>
      <w:r w:rsidR="0083038F" w:rsidRPr="008B1F04">
        <w:rPr>
          <w:rFonts w:cs="Arial"/>
          <w:i/>
        </w:rPr>
        <w:t>State v. Scott</w:t>
      </w:r>
      <w:r w:rsidR="0083038F" w:rsidRPr="008B1F04">
        <w:rPr>
          <w:rFonts w:cs="Arial"/>
        </w:rPr>
        <w:t>, 343 N.C. 313, 333-34 (1996)</w:t>
      </w:r>
      <w:r w:rsidR="00527C6B" w:rsidRPr="008B1F04">
        <w:rPr>
          <w:rFonts w:cs="Arial"/>
        </w:rPr>
        <w:t>,</w:t>
      </w:r>
      <w:r w:rsidR="00D5151E" w:rsidRPr="008B1F04">
        <w:rPr>
          <w:rFonts w:cs="Arial"/>
        </w:rPr>
        <w:t xml:space="preserve"> </w:t>
      </w:r>
      <w:r w:rsidR="00B91E8E" w:rsidRPr="008B1F04">
        <w:rPr>
          <w:rFonts w:cs="Arial"/>
        </w:rPr>
        <w:t>and hospital records,</w:t>
      </w:r>
      <w:r w:rsidR="00A328DF" w:rsidRPr="008B1F04">
        <w:rPr>
          <w:rFonts w:cs="Arial"/>
        </w:rPr>
        <w:t xml:space="preserve"> </w:t>
      </w:r>
      <w:r w:rsidR="0083038F" w:rsidRPr="008B1F04">
        <w:rPr>
          <w:rFonts w:cs="Arial"/>
          <w:i/>
        </w:rPr>
        <w:t>State v. Tyler</w:t>
      </w:r>
      <w:r w:rsidR="0083038F" w:rsidRPr="008B1F04">
        <w:rPr>
          <w:rFonts w:cs="Arial"/>
        </w:rPr>
        <w:t xml:space="preserve">, 346 </w:t>
      </w:r>
      <w:r w:rsidR="0083038F" w:rsidRPr="008B1F04">
        <w:rPr>
          <w:rFonts w:cs="Arial"/>
        </w:rPr>
        <w:lastRenderedPageBreak/>
        <w:t>N.C. 187, 204-05 (1997)</w:t>
      </w:r>
      <w:r w:rsidR="00527C6B" w:rsidRPr="008B1F04">
        <w:rPr>
          <w:rFonts w:cs="Arial"/>
        </w:rPr>
        <w:t xml:space="preserve">; </w:t>
      </w:r>
      <w:r w:rsidR="0083038F" w:rsidRPr="008B1F04">
        <w:rPr>
          <w:rFonts w:cs="Arial"/>
          <w:i/>
        </w:rPr>
        <w:t>State v. Smith</w:t>
      </w:r>
      <w:r w:rsidR="0083038F" w:rsidRPr="008B1F04">
        <w:rPr>
          <w:rFonts w:cs="Arial"/>
        </w:rPr>
        <w:t>, 157 N.C. App. 493, 496 (2003)</w:t>
      </w:r>
      <w:r w:rsidR="00527C6B" w:rsidRPr="008B1F04">
        <w:rPr>
          <w:rFonts w:cs="Arial"/>
        </w:rPr>
        <w:t xml:space="preserve">. </w:t>
      </w:r>
      <w:r w:rsidR="00D5151E" w:rsidRPr="008B1F04">
        <w:rPr>
          <w:rFonts w:cs="Arial"/>
        </w:rPr>
        <w:t xml:space="preserve">Although a leading treatise on North Carolina evidence suggests that </w:t>
      </w:r>
      <w:r w:rsidR="00527C6B" w:rsidRPr="008B1F04">
        <w:rPr>
          <w:rFonts w:cs="Arial"/>
        </w:rPr>
        <w:t>Rule 803</w:t>
      </w:r>
      <w:r w:rsidR="00D5151E" w:rsidRPr="008B1F04">
        <w:rPr>
          <w:rFonts w:cs="Arial"/>
        </w:rPr>
        <w:t xml:space="preserve">(6) does not </w:t>
      </w:r>
      <w:r w:rsidR="00527C6B" w:rsidRPr="008B1F04">
        <w:rPr>
          <w:rFonts w:cs="Arial"/>
        </w:rPr>
        <w:t>cover</w:t>
      </w:r>
      <w:r w:rsidR="00D5151E" w:rsidRPr="008B1F04">
        <w:rPr>
          <w:rFonts w:cs="Arial"/>
        </w:rPr>
        <w:t xml:space="preserve"> government records, </w:t>
      </w:r>
      <w:r w:rsidR="00527C6B" w:rsidRPr="008B1F04">
        <w:rPr>
          <w:rFonts w:cs="Arial"/>
        </w:rPr>
        <w:t xml:space="preserve">2 </w:t>
      </w:r>
      <w:r w:rsidR="00527C6B" w:rsidRPr="008B1F04">
        <w:rPr>
          <w:rFonts w:cs="Arial"/>
          <w:smallCaps/>
        </w:rPr>
        <w:t>Brandis &amp; Bro</w:t>
      </w:r>
      <w:r w:rsidR="0059207C" w:rsidRPr="008B1F04">
        <w:rPr>
          <w:rFonts w:cs="Arial"/>
          <w:smallCaps/>
        </w:rPr>
        <w:t>u</w:t>
      </w:r>
      <w:r w:rsidR="00527C6B" w:rsidRPr="008B1F04">
        <w:rPr>
          <w:rFonts w:cs="Arial"/>
          <w:smallCaps/>
        </w:rPr>
        <w:t>n</w:t>
      </w:r>
      <w:r w:rsidR="00527C6B" w:rsidRPr="008B1F04">
        <w:rPr>
          <w:rFonts w:cs="Arial"/>
        </w:rPr>
        <w:t xml:space="preserve"> at</w:t>
      </w:r>
      <w:r w:rsidR="00917C25" w:rsidRPr="008B1F04">
        <w:rPr>
          <w:rFonts w:cs="Arial"/>
        </w:rPr>
        <w:t xml:space="preserve"> </w:t>
      </w:r>
      <w:r w:rsidR="00527C6B" w:rsidRPr="008B1F04">
        <w:rPr>
          <w:rFonts w:cs="Arial"/>
        </w:rPr>
        <w:t>886,</w:t>
      </w:r>
      <w:r w:rsidR="00D5151E" w:rsidRPr="008B1F04">
        <w:rPr>
          <w:rFonts w:cs="Arial"/>
        </w:rPr>
        <w:t xml:space="preserve"> case law suggests otherwise. </w:t>
      </w:r>
      <w:r w:rsidR="00D5151E" w:rsidRPr="008B1F04">
        <w:rPr>
          <w:rFonts w:cs="Arial"/>
          <w:i/>
        </w:rPr>
        <w:t>See, e.g.,</w:t>
      </w:r>
      <w:r w:rsidR="00D5151E" w:rsidRPr="008B1F04">
        <w:rPr>
          <w:rFonts w:cs="Arial"/>
        </w:rPr>
        <w:t xml:space="preserve"> </w:t>
      </w:r>
      <w:r w:rsidR="0083038F" w:rsidRPr="008B1F04">
        <w:rPr>
          <w:rFonts w:cs="Arial"/>
        </w:rPr>
        <w:t>State v. Sneed, 210 N.C. App. 622, 629 (2011) (NCIC database information indicating that a gun was stolen)</w:t>
      </w:r>
      <w:r w:rsidR="00D5151E" w:rsidRPr="008B1F04">
        <w:rPr>
          <w:rFonts w:cs="Arial"/>
        </w:rPr>
        <w:t xml:space="preserve">; </w:t>
      </w:r>
      <w:r w:rsidR="0083038F" w:rsidRPr="008B1F04">
        <w:rPr>
          <w:rFonts w:cs="Arial"/>
        </w:rPr>
        <w:t>State v. Hewson, 182 N.C. App. 196, 207-08 (2007) (911 event report detailing the timeline of the victim’s 911 call and an officer’s responses)</w:t>
      </w:r>
      <w:r w:rsidR="00D5151E" w:rsidRPr="008B1F04">
        <w:rPr>
          <w:rFonts w:cs="Arial"/>
        </w:rPr>
        <w:t xml:space="preserve">; </w:t>
      </w:r>
      <w:r w:rsidR="0083038F" w:rsidRPr="008B1F04">
        <w:rPr>
          <w:rFonts w:cs="Arial"/>
        </w:rPr>
        <w:t>State v. Wise, 178 N.C. App. 154, 160 (2006) (“notice of pending registration” and “sex offender registration worksheet”)</w:t>
      </w:r>
      <w:r w:rsidR="00D5151E" w:rsidRPr="008B1F04">
        <w:rPr>
          <w:rFonts w:cs="Arial"/>
        </w:rPr>
        <w:t xml:space="preserve">; </w:t>
      </w:r>
      <w:r w:rsidR="00B91E8E" w:rsidRPr="008B1F04">
        <w:rPr>
          <w:rFonts w:cs="Arial"/>
          <w:i/>
        </w:rPr>
        <w:t>s</w:t>
      </w:r>
      <w:r w:rsidR="0060032D" w:rsidRPr="008B1F04">
        <w:rPr>
          <w:rFonts w:cs="Arial"/>
          <w:i/>
        </w:rPr>
        <w:t>ee also</w:t>
      </w:r>
      <w:r w:rsidR="0060032D" w:rsidRPr="008B1F04">
        <w:rPr>
          <w:rFonts w:cs="Arial"/>
        </w:rPr>
        <w:t xml:space="preserve"> </w:t>
      </w:r>
      <w:r w:rsidR="0083038F" w:rsidRPr="008B1F04">
        <w:rPr>
          <w:rFonts w:cs="Arial"/>
        </w:rPr>
        <w:t>State v. Windley, 173 N.C. App. 187, 193 (2005) (fingerprint card contained in AFIS database)</w:t>
      </w:r>
      <w:r w:rsidR="00D5151E" w:rsidRPr="008B1F04">
        <w:rPr>
          <w:rFonts w:cs="Arial"/>
        </w:rPr>
        <w:t>.</w:t>
      </w:r>
    </w:p>
    <w:p w14:paraId="240B95F7" w14:textId="77777777" w:rsidR="009E4170" w:rsidRPr="008B1F04" w:rsidRDefault="00A04D37" w:rsidP="00F83AD6">
      <w:pPr>
        <w:pStyle w:val="ListParagraph"/>
        <w:numPr>
          <w:ilvl w:val="0"/>
          <w:numId w:val="39"/>
        </w:numPr>
        <w:rPr>
          <w:rFonts w:cs="Arial"/>
        </w:rPr>
      </w:pPr>
      <w:r w:rsidRPr="008B1F04">
        <w:rPr>
          <w:b/>
        </w:rPr>
        <w:t>Lack of Trustworthiness</w:t>
      </w:r>
      <w:r w:rsidR="0026386A" w:rsidRPr="008B1F04">
        <w:rPr>
          <w:b/>
        </w:rPr>
        <w:t xml:space="preserve">. </w:t>
      </w:r>
      <w:r w:rsidR="00B243D5" w:rsidRPr="008B1F04">
        <w:rPr>
          <w:rFonts w:cs="Arial"/>
        </w:rPr>
        <w:t>The exception does not apply if “t</w:t>
      </w:r>
      <w:r w:rsidR="004C0063" w:rsidRPr="008B1F04">
        <w:rPr>
          <w:rFonts w:cs="Arial"/>
        </w:rPr>
        <w:t>he source of information or the method or circumstances of preparation indicate lack of trustworthiness</w:t>
      </w:r>
      <w:r w:rsidR="0083038F" w:rsidRPr="008B1F04">
        <w:rPr>
          <w:rFonts w:cs="Arial"/>
        </w:rPr>
        <w:t xml:space="preserve">.” </w:t>
      </w:r>
      <w:r w:rsidR="0083038F" w:rsidRPr="008B1F04">
        <w:rPr>
          <w:rFonts w:cs="Arial"/>
          <w:smallCaps/>
        </w:rPr>
        <w:t>N.C. R. Evid.</w:t>
      </w:r>
      <w:r w:rsidR="0083038F" w:rsidRPr="008B1F04">
        <w:rPr>
          <w:rFonts w:cs="Arial"/>
        </w:rPr>
        <w:t xml:space="preserve"> 803(6)</w:t>
      </w:r>
      <w:r w:rsidR="00D912B7" w:rsidRPr="008B1F04">
        <w:rPr>
          <w:rFonts w:cs="Arial"/>
        </w:rPr>
        <w:t xml:space="preserve">. </w:t>
      </w:r>
      <w:r w:rsidR="004D0B24" w:rsidRPr="008B1F04">
        <w:rPr>
          <w:rFonts w:cs="Arial"/>
        </w:rPr>
        <w:t xml:space="preserve">This may be an issue when </w:t>
      </w:r>
      <w:r w:rsidR="00D912B7" w:rsidRPr="008B1F04">
        <w:rPr>
          <w:rFonts w:cs="Arial"/>
        </w:rPr>
        <w:t xml:space="preserve">there is doubt as to the source of the information. </w:t>
      </w:r>
      <w:r w:rsidR="0083038F" w:rsidRPr="008B1F04">
        <w:rPr>
          <w:rFonts w:cs="Arial"/>
        </w:rPr>
        <w:t>State v. Galloway, 145 N.C. App. 555, 565-67 (2001) (the trial court did not abuse its discretion by refusing to admit a doctor’s discharge summary statements where the doctor could not recall the source of the information he relied upon when preparing the statements and suggested that the information was “probably culled” from various records and statements of defendant’s mother; the trial court did not err by refusing to admit medical records prepared by a second doctor where the records contained “several inconsistencies, such as names, dates of birth, medical record numbers, and symptoms” and the second doctor was not present to clarify the inconsistencies</w:t>
      </w:r>
      <w:r w:rsidR="00D912B7" w:rsidRPr="008B1F04">
        <w:rPr>
          <w:rFonts w:cs="Arial"/>
        </w:rPr>
        <w:t xml:space="preserve">); </w:t>
      </w:r>
      <w:r w:rsidR="0083038F" w:rsidRPr="008B1F04">
        <w:rPr>
          <w:rFonts w:cs="Arial"/>
        </w:rPr>
        <w:t xml:space="preserve">State v. </w:t>
      </w:r>
      <w:proofErr w:type="spellStart"/>
      <w:r w:rsidR="0083038F" w:rsidRPr="008B1F04">
        <w:rPr>
          <w:rFonts w:cs="Arial"/>
        </w:rPr>
        <w:t>Agudelo</w:t>
      </w:r>
      <w:proofErr w:type="spellEnd"/>
      <w:r w:rsidR="0083038F" w:rsidRPr="008B1F04">
        <w:rPr>
          <w:rFonts w:cs="Arial"/>
        </w:rPr>
        <w:t xml:space="preserve">, 89 N.C. App. 640, 645 (motel telephone records produced by a telephone company machine were untrustworthy; the accuracy of the machine had not been verified and the motel employee who testified had “no idea when the machine was last checked for maintenance”), </w:t>
      </w:r>
      <w:r w:rsidR="0083038F" w:rsidRPr="008B1F04">
        <w:rPr>
          <w:rFonts w:cs="Arial"/>
          <w:i/>
        </w:rPr>
        <w:t>overruled on other grounds by</w:t>
      </w:r>
      <w:r w:rsidR="0083038F" w:rsidRPr="008B1F04">
        <w:rPr>
          <w:rFonts w:cs="Arial"/>
        </w:rPr>
        <w:t xml:space="preserve"> State v. Barnes, 324 N.C. 539 (1989)</w:t>
      </w:r>
      <w:r w:rsidR="00D912B7" w:rsidRPr="008B1F04">
        <w:rPr>
          <w:rFonts w:cs="Arial"/>
        </w:rPr>
        <w:t xml:space="preserve">; </w:t>
      </w:r>
      <w:r w:rsidR="0083038F" w:rsidRPr="008B1F04">
        <w:rPr>
          <w:rFonts w:cs="Arial"/>
        </w:rPr>
        <w:t xml:space="preserve">State v. </w:t>
      </w:r>
      <w:proofErr w:type="spellStart"/>
      <w:r w:rsidR="0083038F" w:rsidRPr="008B1F04">
        <w:rPr>
          <w:rFonts w:cs="Arial"/>
        </w:rPr>
        <w:t>Brewington</w:t>
      </w:r>
      <w:proofErr w:type="spellEnd"/>
      <w:r w:rsidR="0083038F" w:rsidRPr="008B1F04">
        <w:rPr>
          <w:rFonts w:cs="Arial"/>
        </w:rPr>
        <w:t>, 80 N.C. App. 42, 51-52 (1986) (error to admit telephone company records indicating that payphones in the area had placed collect calls to the defendant’s phone number; the accuracy of the phone company’s records of which particular payphones made the calls depends entirely on the trustworthiness of the unknown caller who provides the number from which he is calling to the operator)</w:t>
      </w:r>
      <w:r w:rsidR="00D912B7" w:rsidRPr="008B1F04">
        <w:rPr>
          <w:rFonts w:cs="Arial"/>
        </w:rPr>
        <w:t>.</w:t>
      </w:r>
      <w:r w:rsidR="004D0B24" w:rsidRPr="008B1F04">
        <w:rPr>
          <w:rFonts w:cs="Arial"/>
        </w:rPr>
        <w:t xml:space="preserve"> Records prepared in advance of litigation will often, but not always</w:t>
      </w:r>
      <w:r w:rsidR="00411683" w:rsidRPr="008B1F04">
        <w:rPr>
          <w:rFonts w:cs="Arial"/>
        </w:rPr>
        <w:t>,</w:t>
      </w:r>
      <w:r w:rsidR="004D0B24" w:rsidRPr="008B1F04">
        <w:rPr>
          <w:rFonts w:cs="Arial"/>
        </w:rPr>
        <w:t xml:space="preserve"> be </w:t>
      </w:r>
      <w:r w:rsidR="00917C25" w:rsidRPr="008B1F04">
        <w:rPr>
          <w:rFonts w:cs="Arial"/>
        </w:rPr>
        <w:t xml:space="preserve">deemed </w:t>
      </w:r>
      <w:r w:rsidR="004D0B24" w:rsidRPr="008B1F04">
        <w:rPr>
          <w:rFonts w:cs="Arial"/>
        </w:rPr>
        <w:t xml:space="preserve">untrustworthy. 2 </w:t>
      </w:r>
      <w:r w:rsidR="004D0B24" w:rsidRPr="008B1F04">
        <w:rPr>
          <w:rFonts w:cs="Arial"/>
          <w:smallCaps/>
        </w:rPr>
        <w:t>McCormick</w:t>
      </w:r>
      <w:r w:rsidR="004D0B24" w:rsidRPr="008B1F04">
        <w:rPr>
          <w:rFonts w:cs="Arial"/>
        </w:rPr>
        <w:t xml:space="preserve"> at</w:t>
      </w:r>
      <w:r w:rsidR="00227326" w:rsidRPr="008B1F04">
        <w:rPr>
          <w:rFonts w:cs="Arial"/>
        </w:rPr>
        <w:t xml:space="preserve"> 440-41</w:t>
      </w:r>
      <w:r w:rsidR="004D0B24" w:rsidRPr="008B1F04">
        <w:rPr>
          <w:rFonts w:cs="Arial"/>
        </w:rPr>
        <w:t xml:space="preserve">. </w:t>
      </w:r>
    </w:p>
    <w:p w14:paraId="6B84DCD9" w14:textId="77777777" w:rsidR="00811635" w:rsidRPr="008B1F04" w:rsidRDefault="00811635" w:rsidP="00F83AD6">
      <w:pPr>
        <w:pStyle w:val="ListParagraph"/>
        <w:numPr>
          <w:ilvl w:val="0"/>
          <w:numId w:val="39"/>
        </w:numPr>
        <w:rPr>
          <w:rFonts w:cs="Arial"/>
        </w:rPr>
      </w:pPr>
      <w:r w:rsidRPr="008B1F04">
        <w:rPr>
          <w:b/>
        </w:rPr>
        <w:t>“Custodian” or Other “Qualified Witness</w:t>
      </w:r>
      <w:r w:rsidR="0026386A" w:rsidRPr="008B1F04">
        <w:rPr>
          <w:b/>
        </w:rPr>
        <w:t>.</w:t>
      </w:r>
      <w:r w:rsidRPr="008B1F04">
        <w:rPr>
          <w:b/>
        </w:rPr>
        <w:t>”</w:t>
      </w:r>
      <w:r w:rsidR="00B44FD0" w:rsidRPr="008B1F04">
        <w:rPr>
          <w:b/>
        </w:rPr>
        <w:t xml:space="preserve"> </w:t>
      </w:r>
      <w:r w:rsidRPr="008B1F04">
        <w:rPr>
          <w:rFonts w:cs="Arial"/>
        </w:rPr>
        <w:t xml:space="preserve">The foundational requirements must be “shown by the testimony of the custodian or other qualified witness.” </w:t>
      </w:r>
      <w:r w:rsidR="0083038F" w:rsidRPr="008B1F04">
        <w:rPr>
          <w:rFonts w:cs="Arial"/>
          <w:smallCaps/>
        </w:rPr>
        <w:t>N.C. R. Evid.</w:t>
      </w:r>
      <w:r w:rsidR="0083038F" w:rsidRPr="008B1F04">
        <w:rPr>
          <w:rFonts w:cs="Arial"/>
        </w:rPr>
        <w:t xml:space="preserve"> 803(6)</w:t>
      </w:r>
      <w:r w:rsidRPr="008B1F04">
        <w:rPr>
          <w:rFonts w:cs="Arial"/>
        </w:rPr>
        <w:t>. The custodian can be the person who maintains records for the entity</w:t>
      </w:r>
      <w:r w:rsidR="007422E5" w:rsidRPr="008B1F04">
        <w:rPr>
          <w:rFonts w:cs="Arial"/>
        </w:rPr>
        <w:t xml:space="preserve"> or a person who has </w:t>
      </w:r>
      <w:r w:rsidRPr="008B1F04">
        <w:rPr>
          <w:rFonts w:cs="Arial"/>
        </w:rPr>
        <w:t xml:space="preserve">custody of the document; the custodian need not have been involved in the record’s creation. </w:t>
      </w:r>
      <w:r w:rsidRPr="008B1F04">
        <w:rPr>
          <w:rFonts w:cs="Arial"/>
          <w:i/>
        </w:rPr>
        <w:t xml:space="preserve">See, e.g., </w:t>
      </w:r>
      <w:r w:rsidR="0083038F" w:rsidRPr="008B1F04">
        <w:rPr>
          <w:rFonts w:cs="Arial"/>
        </w:rPr>
        <w:t>State v. Woods, 126 N.C. App. 581, 589-90 (1997) (foundation properly established for hospital records by records custodian who was not involved in their creation)</w:t>
      </w:r>
      <w:r w:rsidRPr="008B1F04">
        <w:rPr>
          <w:rFonts w:cs="Arial"/>
        </w:rPr>
        <w:t xml:space="preserve">; </w:t>
      </w:r>
      <w:r w:rsidR="0083038F" w:rsidRPr="008B1F04">
        <w:rPr>
          <w:rFonts w:cs="Arial"/>
        </w:rPr>
        <w:t xml:space="preserve">State v. Wise, 178 N.C. App. 154, 158 (2006) (various sex offender registration documents were properly </w:t>
      </w:r>
      <w:r w:rsidR="0083038F" w:rsidRPr="008B1F04">
        <w:rPr>
          <w:rFonts w:cs="Arial"/>
        </w:rPr>
        <w:lastRenderedPageBreak/>
        <w:t>authenticated by a deputy sheriff who was the custodian for the defendant’s file; no evidence suggested that he prepared the documents)</w:t>
      </w:r>
      <w:r w:rsidRPr="008B1F04">
        <w:rPr>
          <w:rFonts w:cs="Arial"/>
        </w:rPr>
        <w:t xml:space="preserve">; </w:t>
      </w:r>
      <w:r w:rsidR="0083038F" w:rsidRPr="008B1F04">
        <w:rPr>
          <w:rFonts w:cs="Arial"/>
        </w:rPr>
        <w:t>State v. Marshall, 94 N.C. App. 20, 34 (1989) (a pretrial release officer who was not the records custodian for the entire pretrial release office properly authenticated a pretrial release form where she had custody and control over the defendant's file)</w:t>
      </w:r>
      <w:r w:rsidRPr="008B1F04">
        <w:rPr>
          <w:rFonts w:cs="Arial"/>
        </w:rPr>
        <w:t>.</w:t>
      </w:r>
    </w:p>
    <w:p w14:paraId="631972E8" w14:textId="77777777" w:rsidR="00811635" w:rsidRPr="008B1F04" w:rsidRDefault="00811635" w:rsidP="0026386A">
      <w:pPr>
        <w:ind w:left="2880" w:firstLine="360"/>
        <w:rPr>
          <w:rFonts w:cs="Arial"/>
        </w:rPr>
      </w:pPr>
      <w:r w:rsidRPr="008B1F04">
        <w:rPr>
          <w:rFonts w:cs="Arial"/>
        </w:rPr>
        <w:t>In addition to a records custodian, the rule allows for the foundational requirements to be satisfied by</w:t>
      </w:r>
      <w:r w:rsidR="005649A5" w:rsidRPr="008B1F04">
        <w:rPr>
          <w:rFonts w:cs="Arial"/>
        </w:rPr>
        <w:t xml:space="preserve"> some</w:t>
      </w:r>
      <w:r w:rsidRPr="008B1F04">
        <w:rPr>
          <w:rFonts w:cs="Arial"/>
        </w:rPr>
        <w:t xml:space="preserve"> “other qualified person.” This can include, for example, </w:t>
      </w:r>
      <w:r w:rsidR="00B171BD" w:rsidRPr="008B1F04">
        <w:rPr>
          <w:rFonts w:cs="Arial"/>
        </w:rPr>
        <w:t xml:space="preserve">the business owner, </w:t>
      </w:r>
      <w:r w:rsidR="0083038F" w:rsidRPr="008B1F04">
        <w:rPr>
          <w:rFonts w:cs="Arial"/>
        </w:rPr>
        <w:t>State v. Holden, 321 N.C. 125, 143 (1987) (owner of shop where the gun was purchased authenticated a federal firearms form filled out by the defendant and the salesman)</w:t>
      </w:r>
      <w:r w:rsidR="00623CA4" w:rsidRPr="008B1F04">
        <w:rPr>
          <w:rFonts w:cs="Arial"/>
        </w:rPr>
        <w:t>,</w:t>
      </w:r>
      <w:r w:rsidR="00B171BD" w:rsidRPr="008B1F04">
        <w:rPr>
          <w:rFonts w:cs="Arial"/>
        </w:rPr>
        <w:t xml:space="preserve"> or </w:t>
      </w:r>
      <w:r w:rsidRPr="008B1F04">
        <w:rPr>
          <w:rFonts w:cs="Arial"/>
        </w:rPr>
        <w:t xml:space="preserve">someone who works at </w:t>
      </w:r>
      <w:r w:rsidR="00917C25" w:rsidRPr="008B1F04">
        <w:rPr>
          <w:rFonts w:cs="Arial"/>
        </w:rPr>
        <w:t xml:space="preserve">the </w:t>
      </w:r>
      <w:r w:rsidRPr="008B1F04">
        <w:rPr>
          <w:rFonts w:cs="Arial"/>
        </w:rPr>
        <w:t xml:space="preserve">entity that produced the records. </w:t>
      </w:r>
      <w:r w:rsidRPr="008B1F04">
        <w:rPr>
          <w:rFonts w:cs="Arial"/>
          <w:i/>
        </w:rPr>
        <w:t>See, e.g.,</w:t>
      </w:r>
      <w:r w:rsidRPr="008B1F04">
        <w:rPr>
          <w:rFonts w:cs="Arial"/>
        </w:rPr>
        <w:t xml:space="preserve"> </w:t>
      </w:r>
      <w:r w:rsidR="0083038F" w:rsidRPr="008B1F04">
        <w:rPr>
          <w:rFonts w:cs="Arial"/>
        </w:rPr>
        <w:t>State v. Tyler, 346 N.C. 187, 204-05 (1997) (proper foundation was laid for hospital records by nurse who worked in the relevant trauma unit and was familiar with the records)</w:t>
      </w:r>
      <w:r w:rsidRPr="008B1F04">
        <w:rPr>
          <w:rFonts w:cs="Arial"/>
        </w:rPr>
        <w:t xml:space="preserve">; </w:t>
      </w:r>
      <w:r w:rsidR="0083038F" w:rsidRPr="008B1F04">
        <w:rPr>
          <w:rFonts w:cs="Arial"/>
        </w:rPr>
        <w:t xml:space="preserve">State v. </w:t>
      </w:r>
      <w:proofErr w:type="spellStart"/>
      <w:r w:rsidR="0083038F" w:rsidRPr="008B1F04">
        <w:rPr>
          <w:rFonts w:cs="Arial"/>
        </w:rPr>
        <w:t>Rupe</w:t>
      </w:r>
      <w:proofErr w:type="spellEnd"/>
      <w:r w:rsidR="0083038F" w:rsidRPr="008B1F04">
        <w:rPr>
          <w:rFonts w:cs="Arial"/>
        </w:rPr>
        <w:t>, 109 N.C. App. 601, 610-11 (1993) (testimony by a salesman who created six of the seven documents at issue properly established the foundation for admission for all of the records)</w:t>
      </w:r>
      <w:r w:rsidRPr="008B1F04">
        <w:rPr>
          <w:rFonts w:cs="Arial"/>
        </w:rPr>
        <w:t xml:space="preserve">; </w:t>
      </w:r>
      <w:r w:rsidR="0083038F" w:rsidRPr="008B1F04">
        <w:rPr>
          <w:rFonts w:cs="Arial"/>
        </w:rPr>
        <w:t>State v. Mebane, 106 N.C. App. 516, 530 (1992) (foundation for admission of an individual’s work time card was properly established by the company’s director of manufacturing, who was “familiar with the timecard records and procedures in recording the time that employees work”)</w:t>
      </w:r>
      <w:r w:rsidRPr="008B1F04">
        <w:rPr>
          <w:rFonts w:cs="Arial"/>
        </w:rPr>
        <w:t xml:space="preserve">. </w:t>
      </w:r>
    </w:p>
    <w:p w14:paraId="625A14B5" w14:textId="77777777" w:rsidR="00811635" w:rsidRPr="008B1F04" w:rsidRDefault="00811635" w:rsidP="0026386A">
      <w:pPr>
        <w:ind w:left="2880" w:firstLine="360"/>
        <w:rPr>
          <w:rFonts w:cs="Arial"/>
        </w:rPr>
      </w:pPr>
      <w:r w:rsidRPr="008B1F04">
        <w:rPr>
          <w:rFonts w:cs="Arial"/>
        </w:rPr>
        <w:t xml:space="preserve">In both cases it appears that authentication is a relatively simple matter and that the </w:t>
      </w:r>
      <w:r w:rsidR="00F109EE" w:rsidRPr="008B1F04">
        <w:rPr>
          <w:rFonts w:cs="Arial"/>
        </w:rPr>
        <w:t>“</w:t>
      </w:r>
      <w:r w:rsidRPr="008B1F04">
        <w:rPr>
          <w:rFonts w:cs="Arial"/>
        </w:rPr>
        <w:t xml:space="preserve">authenticating witness need only be familiar with the business’ </w:t>
      </w:r>
      <w:r w:rsidR="00F109EE" w:rsidRPr="008B1F04">
        <w:rPr>
          <w:rFonts w:cs="Arial"/>
        </w:rPr>
        <w:t>filing</w:t>
      </w:r>
      <w:r w:rsidRPr="008B1F04">
        <w:rPr>
          <w:rFonts w:cs="Arial"/>
        </w:rPr>
        <w:t xml:space="preserve"> system, have taken the record from the right file, and recognize the </w:t>
      </w:r>
      <w:r w:rsidR="00F109EE" w:rsidRPr="008B1F04">
        <w:rPr>
          <w:rFonts w:cs="Arial"/>
        </w:rPr>
        <w:t>exhibit</w:t>
      </w:r>
      <w:r w:rsidRPr="008B1F04">
        <w:rPr>
          <w:rFonts w:cs="Arial"/>
        </w:rPr>
        <w:t xml:space="preserve"> as having come from the file.</w:t>
      </w:r>
      <w:r w:rsidR="00F109EE" w:rsidRPr="008B1F04">
        <w:rPr>
          <w:rFonts w:cs="Arial"/>
        </w:rPr>
        <w:t>”</w:t>
      </w:r>
      <w:r w:rsidRPr="008B1F04">
        <w:rPr>
          <w:rFonts w:cs="Arial"/>
        </w:rPr>
        <w:t xml:space="preserve"> </w:t>
      </w:r>
      <w:r w:rsidR="00F109EE" w:rsidRPr="008B1F04">
        <w:rPr>
          <w:rFonts w:cs="Arial"/>
          <w:smallCaps/>
        </w:rPr>
        <w:t>Robert P. Mosteller et al.,</w:t>
      </w:r>
      <w:r w:rsidR="00F109EE" w:rsidRPr="008B1F04">
        <w:rPr>
          <w:rFonts w:cs="Arial"/>
        </w:rPr>
        <w:t xml:space="preserve"> </w:t>
      </w:r>
      <w:r w:rsidRPr="008B1F04">
        <w:rPr>
          <w:rFonts w:cs="Arial"/>
          <w:smallCaps/>
        </w:rPr>
        <w:t>North Carolina Evidentiary Foundations</w:t>
      </w:r>
      <w:r w:rsidRPr="008B1F04">
        <w:rPr>
          <w:rFonts w:cs="Arial"/>
        </w:rPr>
        <w:t xml:space="preserve"> 5-13 (2</w:t>
      </w:r>
      <w:r w:rsidRPr="008B1F04">
        <w:rPr>
          <w:rFonts w:cs="Arial"/>
          <w:vertAlign w:val="superscript"/>
        </w:rPr>
        <w:t>nd</w:t>
      </w:r>
      <w:r w:rsidRPr="008B1F04">
        <w:rPr>
          <w:rFonts w:cs="Arial"/>
        </w:rPr>
        <w:t xml:space="preserve"> ed. 2009)</w:t>
      </w:r>
      <w:r w:rsidR="00F109EE" w:rsidRPr="008B1F04">
        <w:rPr>
          <w:rFonts w:cs="Arial"/>
        </w:rPr>
        <w:t xml:space="preserve"> [hereinafter </w:t>
      </w:r>
      <w:r w:rsidR="00F109EE" w:rsidRPr="008B1F04">
        <w:rPr>
          <w:rFonts w:cs="Arial"/>
          <w:smallCaps/>
        </w:rPr>
        <w:t>Evidentiary Foundations]</w:t>
      </w:r>
      <w:r w:rsidRPr="008B1F04">
        <w:rPr>
          <w:rFonts w:cs="Arial"/>
        </w:rPr>
        <w:t>.</w:t>
      </w:r>
    </w:p>
    <w:p w14:paraId="34D94935" w14:textId="77777777" w:rsidR="00811635" w:rsidRPr="008B1F04" w:rsidRDefault="00811635" w:rsidP="0026386A">
      <w:pPr>
        <w:ind w:left="2880" w:firstLine="360"/>
        <w:rPr>
          <w:rFonts w:cs="Arial"/>
        </w:rPr>
      </w:pPr>
      <w:r w:rsidRPr="008B1F04">
        <w:rPr>
          <w:rFonts w:cs="Arial"/>
        </w:rPr>
        <w:t>At least one North Carolina ca</w:t>
      </w:r>
      <w:r w:rsidR="00AC6A4C" w:rsidRPr="008B1F04">
        <w:rPr>
          <w:rFonts w:cs="Arial"/>
        </w:rPr>
        <w:t>se suggests that a person who is</w:t>
      </w:r>
      <w:r w:rsidRPr="008B1F04">
        <w:rPr>
          <w:rFonts w:cs="Arial"/>
        </w:rPr>
        <w:t xml:space="preserve"> neither a records custodia</w:t>
      </w:r>
      <w:r w:rsidR="00B81AA7" w:rsidRPr="008B1F04">
        <w:rPr>
          <w:rFonts w:cs="Arial"/>
        </w:rPr>
        <w:t>n</w:t>
      </w:r>
      <w:r w:rsidRPr="008B1F04">
        <w:rPr>
          <w:rFonts w:cs="Arial"/>
        </w:rPr>
        <w:t xml:space="preserve"> nor affiliated with the entity that created the document can be a “qualified witness.” </w:t>
      </w:r>
      <w:r w:rsidR="0083038F" w:rsidRPr="008B1F04">
        <w:rPr>
          <w:rFonts w:cs="Arial"/>
        </w:rPr>
        <w:t>State v. Sneed, 210 N.C. App. 622, 630-31 (2011) (</w:t>
      </w:r>
      <w:r w:rsidR="00676B14" w:rsidRPr="008B1F04">
        <w:rPr>
          <w:rFonts w:cs="Arial"/>
        </w:rPr>
        <w:t xml:space="preserve">no plain error when the trial court held that </w:t>
      </w:r>
      <w:r w:rsidR="0083038F" w:rsidRPr="008B1F04">
        <w:rPr>
          <w:rFonts w:cs="Arial"/>
        </w:rPr>
        <w:t>foundation was properly laid for printouts from the National Crime Information Center database indicating that a gun in the defendant’s possession had been reported stolen by a detective who was not involved with entering items into the database but rather used it in his regular course of his business)</w:t>
      </w:r>
      <w:r w:rsidRPr="008B1F04">
        <w:rPr>
          <w:rFonts w:cs="Arial"/>
        </w:rPr>
        <w:t xml:space="preserve">. </w:t>
      </w:r>
      <w:r w:rsidR="00701FE1" w:rsidRPr="008B1F04">
        <w:rPr>
          <w:rFonts w:cs="Arial"/>
        </w:rPr>
        <w:t>Note,</w:t>
      </w:r>
      <w:r w:rsidRPr="008B1F04">
        <w:rPr>
          <w:rFonts w:cs="Arial"/>
        </w:rPr>
        <w:t xml:space="preserve"> however, </w:t>
      </w:r>
      <w:r w:rsidR="00701FE1" w:rsidRPr="008B1F04">
        <w:rPr>
          <w:rFonts w:cs="Arial"/>
        </w:rPr>
        <w:t xml:space="preserve">that </w:t>
      </w:r>
      <w:r w:rsidR="00701FE1" w:rsidRPr="008B1F04">
        <w:rPr>
          <w:rFonts w:cs="Arial"/>
          <w:i/>
        </w:rPr>
        <w:t>Sneed</w:t>
      </w:r>
      <w:r w:rsidR="00701FE1" w:rsidRPr="008B1F04">
        <w:rPr>
          <w:rFonts w:cs="Arial"/>
        </w:rPr>
        <w:t xml:space="preserve"> </w:t>
      </w:r>
      <w:r w:rsidRPr="008B1F04">
        <w:rPr>
          <w:rFonts w:cs="Arial"/>
        </w:rPr>
        <w:t xml:space="preserve">was a plain error case. </w:t>
      </w:r>
      <w:r w:rsidR="00701FE1" w:rsidRPr="008B1F04">
        <w:rPr>
          <w:rFonts w:cs="Arial"/>
        </w:rPr>
        <w:t xml:space="preserve">Note also that other authority </w:t>
      </w:r>
      <w:r w:rsidR="00623CA4" w:rsidRPr="008B1F04">
        <w:rPr>
          <w:rFonts w:cs="Arial"/>
        </w:rPr>
        <w:t>requires</w:t>
      </w:r>
      <w:r w:rsidRPr="008B1F04">
        <w:rPr>
          <w:rFonts w:cs="Arial"/>
        </w:rPr>
        <w:t xml:space="preserve"> a tighter nexus betw</w:t>
      </w:r>
      <w:r w:rsidR="00701FE1" w:rsidRPr="008B1F04">
        <w:rPr>
          <w:rFonts w:cs="Arial"/>
        </w:rPr>
        <w:t>een the witness and the</w:t>
      </w:r>
      <w:r w:rsidRPr="008B1F04">
        <w:rPr>
          <w:rFonts w:cs="Arial"/>
        </w:rPr>
        <w:t xml:space="preserve"> entity</w:t>
      </w:r>
      <w:r w:rsidR="00701FE1" w:rsidRPr="008B1F04">
        <w:rPr>
          <w:rFonts w:cs="Arial"/>
        </w:rPr>
        <w:t xml:space="preserve"> that created the document</w:t>
      </w:r>
      <w:r w:rsidRPr="008B1F04">
        <w:rPr>
          <w:rFonts w:cs="Arial"/>
        </w:rPr>
        <w:t xml:space="preserve">. </w:t>
      </w:r>
      <w:r w:rsidRPr="008B1F04">
        <w:rPr>
          <w:rFonts w:cs="Arial"/>
          <w:i/>
        </w:rPr>
        <w:t xml:space="preserve">See, e.g., </w:t>
      </w:r>
      <w:r w:rsidR="0083038F" w:rsidRPr="008B1F04">
        <w:rPr>
          <w:rFonts w:cs="Arial"/>
        </w:rPr>
        <w:t>United States v. Porter, 821 F.2d 968, 977 (4th Cir. 1987) (error to allow company’s security officer to lay foundation for company employment records; officer was not the custodian of the records, did not work in the personnel department where such records were made, and he did not know the record keeping requirements of the company)</w:t>
      </w:r>
      <w:r w:rsidRPr="008B1F04">
        <w:rPr>
          <w:rFonts w:cs="Arial"/>
        </w:rPr>
        <w:t xml:space="preserve">. Finally, an attenuated link between the witness and the records </w:t>
      </w:r>
      <w:r w:rsidR="00701FE1" w:rsidRPr="008B1F04">
        <w:rPr>
          <w:rFonts w:cs="Arial"/>
        </w:rPr>
        <w:t xml:space="preserve">may </w:t>
      </w:r>
      <w:r w:rsidRPr="008B1F04">
        <w:rPr>
          <w:rFonts w:cs="Arial"/>
        </w:rPr>
        <w:t>suggest a lack of trust</w:t>
      </w:r>
      <w:r w:rsidR="00701FE1" w:rsidRPr="008B1F04">
        <w:rPr>
          <w:rFonts w:cs="Arial"/>
        </w:rPr>
        <w:t>worthiness. See Section</w:t>
      </w:r>
      <w:r w:rsidR="00917C25" w:rsidRPr="008B1F04">
        <w:rPr>
          <w:rFonts w:cs="Arial"/>
        </w:rPr>
        <w:t xml:space="preserve"> II.B.</w:t>
      </w:r>
      <w:r w:rsidR="00B666DE" w:rsidRPr="008B1F04">
        <w:rPr>
          <w:rFonts w:cs="Arial"/>
        </w:rPr>
        <w:t>6</w:t>
      </w:r>
      <w:r w:rsidR="00917C25" w:rsidRPr="008B1F04">
        <w:rPr>
          <w:rFonts w:cs="Arial"/>
        </w:rPr>
        <w:t xml:space="preserve">.e </w:t>
      </w:r>
      <w:r w:rsidR="00701FE1" w:rsidRPr="008B1F04">
        <w:rPr>
          <w:rFonts w:cs="Arial"/>
        </w:rPr>
        <w:t>above</w:t>
      </w:r>
      <w:r w:rsidRPr="008B1F04">
        <w:rPr>
          <w:rFonts w:cs="Arial"/>
        </w:rPr>
        <w:t xml:space="preserve"> (explaining that records are inadmissible </w:t>
      </w:r>
      <w:r w:rsidRPr="008B1F04">
        <w:rPr>
          <w:rFonts w:cs="Arial"/>
        </w:rPr>
        <w:lastRenderedPageBreak/>
        <w:t xml:space="preserve">under this exception when circumstances indicate a lack of trustworthiness). On the other hand, other </w:t>
      </w:r>
      <w:r w:rsidR="00CF4653" w:rsidRPr="008B1F04">
        <w:rPr>
          <w:rFonts w:cs="Arial"/>
        </w:rPr>
        <w:t xml:space="preserve">decisions are in accord with </w:t>
      </w:r>
      <w:r w:rsidR="00CF4653" w:rsidRPr="008B1F04">
        <w:rPr>
          <w:rFonts w:cs="Arial"/>
          <w:i/>
        </w:rPr>
        <w:t>Sneed</w:t>
      </w:r>
      <w:r w:rsidR="00CF4653" w:rsidRPr="008B1F04">
        <w:rPr>
          <w:rFonts w:cs="Arial"/>
        </w:rPr>
        <w:t>.</w:t>
      </w:r>
      <w:r w:rsidRPr="008B1F04">
        <w:rPr>
          <w:rFonts w:cs="Arial"/>
        </w:rPr>
        <w:t xml:space="preserve"> </w:t>
      </w:r>
      <w:r w:rsidRPr="008B1F04">
        <w:rPr>
          <w:rFonts w:cs="Arial"/>
          <w:i/>
        </w:rPr>
        <w:t xml:space="preserve">See, e.g., </w:t>
      </w:r>
      <w:r w:rsidR="0083038F" w:rsidRPr="008B1F04">
        <w:rPr>
          <w:rFonts w:cs="Arial"/>
        </w:rPr>
        <w:t>Saks Int'l, Inc. v. M/V Exp. C</w:t>
      </w:r>
      <w:r w:rsidR="00676B14" w:rsidRPr="008B1F04">
        <w:rPr>
          <w:rFonts w:cs="Arial"/>
        </w:rPr>
        <w:t>hampion, 817 F.2d 1011, 1013 (2</w:t>
      </w:r>
      <w:r w:rsidR="0083038F" w:rsidRPr="008B1F04">
        <w:rPr>
          <w:rFonts w:cs="Arial"/>
        </w:rPr>
        <w:t>d Cir. 1987) (civil case stating: “Documents may properly be admitted under this Rule . . . even though they are the records of a business entity other than one of the parties, and even though the foundation for their receipt is laid by a witness who is not an employee of the entity that owns and prepared them.” (citations omitted))</w:t>
      </w:r>
      <w:r w:rsidRPr="008B1F04">
        <w:rPr>
          <w:rFonts w:cs="Arial"/>
        </w:rPr>
        <w:t>.</w:t>
      </w:r>
    </w:p>
    <w:p w14:paraId="0EDA4DD9" w14:textId="77777777" w:rsidR="004E2986" w:rsidRPr="008B1F04" w:rsidRDefault="00811635" w:rsidP="0026386A">
      <w:pPr>
        <w:ind w:left="2880" w:firstLine="360"/>
        <w:rPr>
          <w:rFonts w:cs="Arial"/>
        </w:rPr>
      </w:pPr>
      <w:r w:rsidRPr="008B1F04">
        <w:rPr>
          <w:rFonts w:cs="Arial"/>
        </w:rPr>
        <w:t xml:space="preserve">Under </w:t>
      </w:r>
      <w:r w:rsidR="0083038F" w:rsidRPr="008B1F04">
        <w:rPr>
          <w:rFonts w:cs="Arial"/>
        </w:rPr>
        <w:t xml:space="preserve">G.S 8-44.1 and </w:t>
      </w:r>
      <w:r w:rsidR="0083038F" w:rsidRPr="008B1F04">
        <w:rPr>
          <w:rFonts w:cs="Arial"/>
          <w:smallCaps/>
        </w:rPr>
        <w:t>N.C. R. Civ. P</w:t>
      </w:r>
      <w:r w:rsidR="00B44FD0" w:rsidRPr="008B1F04">
        <w:rPr>
          <w:rFonts w:cs="Arial"/>
          <w:smallCaps/>
        </w:rPr>
        <w:t>.</w:t>
      </w:r>
      <w:r w:rsidR="0083038F" w:rsidRPr="008B1F04">
        <w:rPr>
          <w:rFonts w:cs="Arial"/>
        </w:rPr>
        <w:t xml:space="preserve"> 45</w:t>
      </w:r>
      <w:r w:rsidRPr="008B1F04">
        <w:rPr>
          <w:rFonts w:cs="Arial"/>
        </w:rPr>
        <w:t xml:space="preserve">, which applies in criminal cases, </w:t>
      </w:r>
      <w:r w:rsidR="0083038F" w:rsidRPr="008B1F04">
        <w:rPr>
          <w:rFonts w:cs="Arial"/>
        </w:rPr>
        <w:t>G.S.15A-802; G.S. 8-61</w:t>
      </w:r>
      <w:r w:rsidRPr="008B1F04">
        <w:rPr>
          <w:rFonts w:cs="Arial"/>
        </w:rPr>
        <w:t xml:space="preserve">, the foundation for certain hospital medical records may be made by affidavit by the records custodian; the custodian’s personal appearance is not required. </w:t>
      </w:r>
      <w:r w:rsidR="004B4EDF" w:rsidRPr="008B1F04">
        <w:rPr>
          <w:rFonts w:cs="Arial"/>
        </w:rPr>
        <w:t xml:space="preserve">Specifically, the rule provides that </w:t>
      </w:r>
    </w:p>
    <w:p w14:paraId="67E93E45" w14:textId="77777777" w:rsidR="00623CA4" w:rsidRPr="008B1F04" w:rsidRDefault="00623CA4" w:rsidP="0026386A">
      <w:pPr>
        <w:ind w:left="2880"/>
        <w:rPr>
          <w:rFonts w:cs="Arial"/>
        </w:rPr>
      </w:pPr>
    </w:p>
    <w:p w14:paraId="7A06BEFF" w14:textId="77777777" w:rsidR="004E2986" w:rsidRPr="008B1F04" w:rsidRDefault="004B4EDF" w:rsidP="0026386A">
      <w:pPr>
        <w:ind w:left="3600" w:right="720"/>
        <w:rPr>
          <w:rFonts w:cs="Arial"/>
        </w:rPr>
      </w:pPr>
      <w:r w:rsidRPr="008B1F04">
        <w:rPr>
          <w:rFonts w:cs="Arial"/>
        </w:rPr>
        <w:t>[</w:t>
      </w:r>
      <w:r w:rsidR="00623CA4" w:rsidRPr="008B1F04">
        <w:rPr>
          <w:rFonts w:cs="Arial"/>
        </w:rPr>
        <w:t>W</w:t>
      </w:r>
      <w:r w:rsidRPr="008B1F04">
        <w:rPr>
          <w:rFonts w:cs="Arial"/>
        </w:rPr>
        <w:t>]here the subpoena commands . . . any custodian of hospital medical records, as defined in G.S. 8-44.1, to appear for the sole purpose of producing certain records in the custodian's custody, the custodian subpoenaed may, in lieu of personal appearance, tender to the court in which the action is pending by registered or certified mail or by personal delivery, on or before the time specified in the subpoena, certified copies of the records requested together with a copy of the subpoena and an affidavit by the custodian testifying that the copies are true and correct copies and that the records were made and kept in the regular course of business, or if no such records are in the custodian's custody, an affidavit to that effect.</w:t>
      </w:r>
    </w:p>
    <w:p w14:paraId="6FDA25FC" w14:textId="77777777" w:rsidR="004E2986" w:rsidRPr="008B1F04" w:rsidRDefault="004E2986" w:rsidP="0026386A">
      <w:pPr>
        <w:ind w:left="2880"/>
        <w:rPr>
          <w:rFonts w:cs="Arial"/>
        </w:rPr>
      </w:pPr>
    </w:p>
    <w:p w14:paraId="1EF01D60" w14:textId="77777777" w:rsidR="004B4EDF" w:rsidRPr="008B1F04" w:rsidRDefault="0083038F" w:rsidP="0026386A">
      <w:pPr>
        <w:ind w:left="2880"/>
        <w:rPr>
          <w:rFonts w:cs="Arial"/>
        </w:rPr>
      </w:pPr>
      <w:r w:rsidRPr="008B1F04">
        <w:rPr>
          <w:rFonts w:cs="Arial"/>
          <w:smallCaps/>
        </w:rPr>
        <w:t>N.C. R. Civ. P</w:t>
      </w:r>
      <w:r w:rsidRPr="008B1F04">
        <w:rPr>
          <w:rFonts w:cs="Arial"/>
        </w:rPr>
        <w:t>. 45(c)(2)</w:t>
      </w:r>
      <w:r w:rsidR="00623CA4" w:rsidRPr="008B1F04">
        <w:rPr>
          <w:rFonts w:cs="Arial"/>
        </w:rPr>
        <w:t xml:space="preserve">. </w:t>
      </w:r>
      <w:r w:rsidR="004B4EDF" w:rsidRPr="008B1F04">
        <w:rPr>
          <w:rFonts w:cs="Arial"/>
        </w:rPr>
        <w:t>Rule 45 continues: “Any original or certified copy of records or an affidavit delivered according to the provisions of this subdivision, unless otherwise objectionable, shall be admissible in any action or proceeding without further certification or authentication</w:t>
      </w:r>
      <w:r w:rsidRPr="008B1F04">
        <w:rPr>
          <w:rFonts w:cs="Arial"/>
        </w:rPr>
        <w:t xml:space="preserve">.” </w:t>
      </w:r>
      <w:r w:rsidRPr="008B1F04">
        <w:rPr>
          <w:rFonts w:cs="Arial"/>
          <w:smallCaps/>
        </w:rPr>
        <w:t>N.C. R.  Civ. P</w:t>
      </w:r>
      <w:r w:rsidRPr="008B1F04">
        <w:rPr>
          <w:rFonts w:cs="Arial"/>
        </w:rPr>
        <w:t>. 45(c)(2); s</w:t>
      </w:r>
      <w:r w:rsidRPr="008B1F04">
        <w:rPr>
          <w:rFonts w:cs="Arial"/>
          <w:i/>
        </w:rPr>
        <w:t xml:space="preserve">ee, e.g., </w:t>
      </w:r>
      <w:r w:rsidRPr="008B1F04">
        <w:rPr>
          <w:rFonts w:cs="Arial"/>
        </w:rPr>
        <w:t>State v. Woods, 126 N.C. App. 581, 589 (1997) (the State offered the challenged medical records by presenting written affidavits/certifications from the custodian of the records)</w:t>
      </w:r>
      <w:r w:rsidR="004B4EDF" w:rsidRPr="008B1F04">
        <w:rPr>
          <w:rFonts w:cs="Arial"/>
        </w:rPr>
        <w:t>.</w:t>
      </w:r>
    </w:p>
    <w:p w14:paraId="7CA3A3D8" w14:textId="77777777" w:rsidR="00645591" w:rsidRPr="008B1F04" w:rsidRDefault="00645591" w:rsidP="00F83AD6">
      <w:pPr>
        <w:pStyle w:val="ListParagraph"/>
        <w:numPr>
          <w:ilvl w:val="0"/>
          <w:numId w:val="36"/>
        </w:numPr>
        <w:rPr>
          <w:rFonts w:cs="Arial"/>
        </w:rPr>
      </w:pPr>
      <w:bookmarkStart w:id="23" w:name="_Toc405983794"/>
      <w:r w:rsidRPr="00A2261E">
        <w:rPr>
          <w:rStyle w:val="Heading3Char"/>
        </w:rPr>
        <w:t>Public Records and Reports</w:t>
      </w:r>
      <w:bookmarkEnd w:id="23"/>
      <w:r w:rsidR="00040BF4" w:rsidRPr="008B1F04">
        <w:rPr>
          <w:b/>
        </w:rPr>
        <w:t xml:space="preserve">. </w:t>
      </w:r>
      <w:r w:rsidR="00BE19FF" w:rsidRPr="008B1F04">
        <w:rPr>
          <w:rFonts w:cs="Arial"/>
        </w:rPr>
        <w:t>Rule 803(8) provides a hearsay exception for</w:t>
      </w:r>
      <w:r w:rsidRPr="008B1F04">
        <w:rPr>
          <w:rFonts w:cs="Arial"/>
        </w:rPr>
        <w:t xml:space="preserve"> </w:t>
      </w:r>
      <w:r w:rsidR="00623CA4" w:rsidRPr="008B1F04">
        <w:rPr>
          <w:rFonts w:cs="Arial"/>
        </w:rPr>
        <w:t>“[r]</w:t>
      </w:r>
      <w:r w:rsidR="004C0063" w:rsidRPr="008B1F04">
        <w:rPr>
          <w:rFonts w:cs="Arial"/>
        </w:rPr>
        <w:t>ecords, reports, statements, or data compilations, in any form, of public offices or agencies, setting forth</w:t>
      </w:r>
      <w:r w:rsidRPr="008B1F04">
        <w:rPr>
          <w:rFonts w:cs="Arial"/>
        </w:rPr>
        <w:t>:</w:t>
      </w:r>
    </w:p>
    <w:p w14:paraId="2CD1899C" w14:textId="77777777" w:rsidR="00645591" w:rsidRPr="008B1F04" w:rsidRDefault="00645591" w:rsidP="00F83AD6">
      <w:pPr>
        <w:rPr>
          <w:rFonts w:cs="Arial"/>
        </w:rPr>
      </w:pPr>
    </w:p>
    <w:p w14:paraId="7D98EE20" w14:textId="77777777" w:rsidR="00B56F3C" w:rsidRPr="008B1F04" w:rsidRDefault="004C0063" w:rsidP="00A8334F">
      <w:pPr>
        <w:pStyle w:val="ListParagraph"/>
        <w:numPr>
          <w:ilvl w:val="1"/>
          <w:numId w:val="2"/>
        </w:numPr>
        <w:ind w:left="2880"/>
        <w:rPr>
          <w:rFonts w:cs="Arial"/>
        </w:rPr>
      </w:pPr>
      <w:r w:rsidRPr="008B1F04">
        <w:rPr>
          <w:rFonts w:cs="Arial"/>
        </w:rPr>
        <w:t xml:space="preserve">the activities of the office or agency, </w:t>
      </w:r>
    </w:p>
    <w:p w14:paraId="6EF43443" w14:textId="77777777" w:rsidR="00B56F3C" w:rsidRPr="008B1F04" w:rsidRDefault="004C0063" w:rsidP="00A8334F">
      <w:pPr>
        <w:pStyle w:val="ListParagraph"/>
        <w:numPr>
          <w:ilvl w:val="1"/>
          <w:numId w:val="2"/>
        </w:numPr>
        <w:ind w:left="2880"/>
        <w:rPr>
          <w:rFonts w:cs="Arial"/>
        </w:rPr>
      </w:pPr>
      <w:r w:rsidRPr="008B1F04">
        <w:rPr>
          <w:rFonts w:cs="Arial"/>
        </w:rPr>
        <w:t>matters observed pursuant to duty imposed by law as to which matters there was a duty to report, excluding, however, in criminal cases matters observed by police officers and other law</w:t>
      </w:r>
      <w:r w:rsidRPr="008B1F04">
        <w:rPr>
          <w:rFonts w:eastAsia="MS Gothic" w:hAnsi="MS Gothic" w:cs="Arial"/>
        </w:rPr>
        <w:t>‑</w:t>
      </w:r>
      <w:r w:rsidRPr="008B1F04">
        <w:rPr>
          <w:rFonts w:cs="Arial"/>
        </w:rPr>
        <w:t xml:space="preserve">enforcement personnel, or </w:t>
      </w:r>
    </w:p>
    <w:p w14:paraId="2985EB3F" w14:textId="77777777" w:rsidR="009F2D89" w:rsidRPr="008B1F04" w:rsidRDefault="004C0063" w:rsidP="00A8334F">
      <w:pPr>
        <w:pStyle w:val="ListParagraph"/>
        <w:numPr>
          <w:ilvl w:val="1"/>
          <w:numId w:val="2"/>
        </w:numPr>
        <w:ind w:left="2880"/>
        <w:rPr>
          <w:rFonts w:cs="Arial"/>
        </w:rPr>
      </w:pPr>
      <w:r w:rsidRPr="008B1F04">
        <w:rPr>
          <w:rFonts w:cs="Arial"/>
        </w:rPr>
        <w:lastRenderedPageBreak/>
        <w:t>in civil actions and proceedings and against the State in criminal cases, factual findings resulting from an investigation made pursuant to authority granted by law</w:t>
      </w:r>
      <w:r w:rsidR="004C157E" w:rsidRPr="008B1F04">
        <w:rPr>
          <w:rFonts w:cs="Arial"/>
        </w:rPr>
        <w:t>.</w:t>
      </w:r>
      <w:r w:rsidRPr="008B1F04">
        <w:rPr>
          <w:rFonts w:cs="Arial"/>
        </w:rPr>
        <w:t xml:space="preserve"> </w:t>
      </w:r>
    </w:p>
    <w:p w14:paraId="119EA1F0" w14:textId="77777777" w:rsidR="009F2D89" w:rsidRPr="008B1F04" w:rsidRDefault="009F2D89" w:rsidP="00A8334F">
      <w:pPr>
        <w:pStyle w:val="ListParagraph"/>
        <w:ind w:left="2880"/>
        <w:rPr>
          <w:rFonts w:cs="Arial"/>
        </w:rPr>
      </w:pPr>
    </w:p>
    <w:p w14:paraId="0DB723B2" w14:textId="77777777" w:rsidR="004C0063" w:rsidRPr="008B1F04" w:rsidRDefault="00C40B39" w:rsidP="00A8334F">
      <w:pPr>
        <w:ind w:left="2160"/>
        <w:rPr>
          <w:rFonts w:cs="Arial"/>
        </w:rPr>
      </w:pPr>
      <w:r w:rsidRPr="008B1F04">
        <w:rPr>
          <w:rFonts w:cs="Arial"/>
        </w:rPr>
        <w:t>The exception applies</w:t>
      </w:r>
      <w:r w:rsidR="005E66D8" w:rsidRPr="008B1F04">
        <w:rPr>
          <w:rFonts w:cs="Arial"/>
        </w:rPr>
        <w:t xml:space="preserve"> </w:t>
      </w:r>
      <w:r w:rsidRPr="008B1F04">
        <w:rPr>
          <w:rFonts w:cs="Arial"/>
        </w:rPr>
        <w:t>“</w:t>
      </w:r>
      <w:r w:rsidR="004C0063" w:rsidRPr="008B1F04">
        <w:rPr>
          <w:rFonts w:cs="Arial"/>
        </w:rPr>
        <w:t>unless the sources of information or other circumstances indicate lack of trustworthiness.</w:t>
      </w:r>
      <w:r w:rsidRPr="008B1F04">
        <w:rPr>
          <w:rFonts w:cs="Arial"/>
        </w:rPr>
        <w:t xml:space="preserve">” </w:t>
      </w:r>
      <w:r w:rsidRPr="008B1F04">
        <w:rPr>
          <w:rFonts w:cs="Arial"/>
          <w:smallCaps/>
        </w:rPr>
        <w:t>N.C.</w:t>
      </w:r>
      <w:r w:rsidR="00174620" w:rsidRPr="008B1F04">
        <w:rPr>
          <w:rFonts w:cs="Arial"/>
          <w:smallCaps/>
        </w:rPr>
        <w:t xml:space="preserve"> </w:t>
      </w:r>
      <w:r w:rsidRPr="008B1F04">
        <w:rPr>
          <w:rFonts w:cs="Arial"/>
          <w:smallCaps/>
        </w:rPr>
        <w:t>R. Evid</w:t>
      </w:r>
      <w:r w:rsidRPr="008B1F04">
        <w:rPr>
          <w:rFonts w:cs="Arial"/>
        </w:rPr>
        <w:t>. 803(8).</w:t>
      </w:r>
    </w:p>
    <w:p w14:paraId="45E11D49" w14:textId="77777777" w:rsidR="00A328DF" w:rsidRPr="008B1F04" w:rsidRDefault="00A328DF" w:rsidP="00F83AD6">
      <w:pPr>
        <w:pStyle w:val="ListParagraph"/>
        <w:numPr>
          <w:ilvl w:val="0"/>
          <w:numId w:val="40"/>
        </w:numPr>
        <w:rPr>
          <w:rFonts w:cs="Arial"/>
        </w:rPr>
      </w:pPr>
      <w:r w:rsidRPr="008B1F04">
        <w:rPr>
          <w:b/>
        </w:rPr>
        <w:t>Covered Records and Reports</w:t>
      </w:r>
      <w:r w:rsidR="00A8334F" w:rsidRPr="008B1F04">
        <w:rPr>
          <w:b/>
        </w:rPr>
        <w:t xml:space="preserve">. </w:t>
      </w:r>
      <w:r w:rsidRPr="008B1F04">
        <w:rPr>
          <w:rFonts w:cs="Arial"/>
        </w:rPr>
        <w:t>The rule refers to “</w:t>
      </w:r>
      <w:r w:rsidR="00174620" w:rsidRPr="008B1F04">
        <w:rPr>
          <w:rFonts w:cs="Arial"/>
        </w:rPr>
        <w:t>[</w:t>
      </w:r>
      <w:r w:rsidRPr="008B1F04">
        <w:rPr>
          <w:rFonts w:cs="Arial"/>
        </w:rPr>
        <w:t>r</w:t>
      </w:r>
      <w:r w:rsidR="00174620" w:rsidRPr="008B1F04">
        <w:rPr>
          <w:rFonts w:cs="Arial"/>
        </w:rPr>
        <w:t>]</w:t>
      </w:r>
      <w:r w:rsidRPr="008B1F04">
        <w:rPr>
          <w:rFonts w:cs="Arial"/>
        </w:rPr>
        <w:t xml:space="preserve">ecords, reports, statements, or data compilations, in any form.” </w:t>
      </w:r>
      <w:r w:rsidR="0083038F" w:rsidRPr="008B1F04">
        <w:rPr>
          <w:rFonts w:cs="Arial"/>
          <w:smallCaps/>
        </w:rPr>
        <w:t>N.C. R. Evid.</w:t>
      </w:r>
      <w:r w:rsidRPr="008B1F04">
        <w:rPr>
          <w:rFonts w:cs="Arial"/>
        </w:rPr>
        <w:t xml:space="preserve"> 803(8)</w:t>
      </w:r>
      <w:r w:rsidR="00917C25" w:rsidRPr="008B1F04">
        <w:rPr>
          <w:rFonts w:cs="Arial"/>
        </w:rPr>
        <w:t>(A)</w:t>
      </w:r>
      <w:r w:rsidRPr="008B1F04">
        <w:rPr>
          <w:rFonts w:cs="Arial"/>
        </w:rPr>
        <w:t xml:space="preserve">. </w:t>
      </w:r>
      <w:r w:rsidR="00592FFA" w:rsidRPr="008B1F04">
        <w:rPr>
          <w:rFonts w:cs="Arial"/>
        </w:rPr>
        <w:t>One</w:t>
      </w:r>
      <w:r w:rsidRPr="008B1F04">
        <w:rPr>
          <w:rFonts w:cs="Arial"/>
        </w:rPr>
        <w:t xml:space="preserve"> treatise states that it does not apply to oral statements, private memos by </w:t>
      </w:r>
      <w:r w:rsidR="004C157E" w:rsidRPr="008B1F04">
        <w:rPr>
          <w:rFonts w:cs="Arial"/>
        </w:rPr>
        <w:t xml:space="preserve">an officer, or </w:t>
      </w:r>
      <w:r w:rsidR="00F3169F" w:rsidRPr="008B1F04">
        <w:rPr>
          <w:rFonts w:cs="Arial"/>
        </w:rPr>
        <w:t>informal notes</w:t>
      </w:r>
      <w:r w:rsidRPr="008B1F04">
        <w:rPr>
          <w:rFonts w:cs="Arial"/>
        </w:rPr>
        <w:t xml:space="preserve"> and minutes when a more formal record is contemplated and available. </w:t>
      </w:r>
      <w:r w:rsidRPr="008B1F04">
        <w:rPr>
          <w:rFonts w:cs="Arial"/>
          <w:smallCaps/>
        </w:rPr>
        <w:t xml:space="preserve">2 Brandis &amp; Broun </w:t>
      </w:r>
      <w:r w:rsidRPr="008B1F04">
        <w:rPr>
          <w:rFonts w:cs="Arial"/>
        </w:rPr>
        <w:t xml:space="preserve">at </w:t>
      </w:r>
      <w:r w:rsidR="004C157E" w:rsidRPr="008B1F04">
        <w:rPr>
          <w:rFonts w:cs="Arial"/>
        </w:rPr>
        <w:t>896</w:t>
      </w:r>
      <w:r w:rsidRPr="008B1F04">
        <w:rPr>
          <w:rFonts w:cs="Arial"/>
        </w:rPr>
        <w:t>.</w:t>
      </w:r>
    </w:p>
    <w:p w14:paraId="682D4725" w14:textId="77777777" w:rsidR="00814968" w:rsidRPr="008B1F04" w:rsidRDefault="00811635" w:rsidP="00F83AD6">
      <w:pPr>
        <w:pStyle w:val="ListParagraph"/>
        <w:numPr>
          <w:ilvl w:val="0"/>
          <w:numId w:val="40"/>
        </w:numPr>
        <w:rPr>
          <w:rFonts w:cs="Arial"/>
        </w:rPr>
      </w:pPr>
      <w:r w:rsidRPr="008B1F04">
        <w:rPr>
          <w:b/>
        </w:rPr>
        <w:t>Activities of the Office or A</w:t>
      </w:r>
      <w:r w:rsidR="00FD0374" w:rsidRPr="008B1F04">
        <w:rPr>
          <w:b/>
        </w:rPr>
        <w:t>gency</w:t>
      </w:r>
      <w:r w:rsidR="00A8334F" w:rsidRPr="008B1F04">
        <w:rPr>
          <w:b/>
        </w:rPr>
        <w:t xml:space="preserve">. </w:t>
      </w:r>
      <w:r w:rsidR="003A78E4" w:rsidRPr="008B1F04">
        <w:rPr>
          <w:rFonts w:cs="Arial"/>
        </w:rPr>
        <w:t>The</w:t>
      </w:r>
      <w:r w:rsidR="005E66D8" w:rsidRPr="008B1F04">
        <w:rPr>
          <w:rFonts w:cs="Arial"/>
        </w:rPr>
        <w:t xml:space="preserve"> rule covers records, etc. setting forth </w:t>
      </w:r>
      <w:r w:rsidR="003A78E4" w:rsidRPr="008B1F04">
        <w:rPr>
          <w:rFonts w:cs="Arial"/>
        </w:rPr>
        <w:t>“</w:t>
      </w:r>
      <w:r w:rsidR="005E66D8" w:rsidRPr="008B1F04">
        <w:rPr>
          <w:rFonts w:cs="Arial"/>
        </w:rPr>
        <w:t>the activities of the office or agency.</w:t>
      </w:r>
      <w:r w:rsidR="003A78E4" w:rsidRPr="008B1F04">
        <w:rPr>
          <w:rFonts w:cs="Arial"/>
        </w:rPr>
        <w:t xml:space="preserve">” </w:t>
      </w:r>
      <w:r w:rsidR="0083038F" w:rsidRPr="008B1F04">
        <w:rPr>
          <w:rFonts w:cs="Arial"/>
          <w:smallCaps/>
        </w:rPr>
        <w:t>N.C. R. Evid</w:t>
      </w:r>
      <w:r w:rsidR="0083038F" w:rsidRPr="008B1F04">
        <w:rPr>
          <w:rFonts w:cs="Arial"/>
        </w:rPr>
        <w:t>. 803(8)</w:t>
      </w:r>
      <w:r w:rsidR="003A78E4" w:rsidRPr="008B1F04">
        <w:rPr>
          <w:rFonts w:cs="Arial"/>
        </w:rPr>
        <w:t>.</w:t>
      </w:r>
      <w:r w:rsidR="00493EE6" w:rsidRPr="008B1F04">
        <w:rPr>
          <w:rFonts w:cs="Arial"/>
        </w:rPr>
        <w:t xml:space="preserve"> </w:t>
      </w:r>
      <w:r w:rsidR="00814968" w:rsidRPr="008B1F04">
        <w:rPr>
          <w:rFonts w:cs="Arial"/>
        </w:rPr>
        <w:t>Examples include</w:t>
      </w:r>
      <w:r w:rsidR="003A78E4" w:rsidRPr="008B1F04">
        <w:rPr>
          <w:rFonts w:cs="Arial"/>
        </w:rPr>
        <w:t>:</w:t>
      </w:r>
    </w:p>
    <w:p w14:paraId="2C0F372D" w14:textId="77777777" w:rsidR="009D4BE0" w:rsidRPr="008B1F04" w:rsidRDefault="009D4BE0" w:rsidP="009D4BE0">
      <w:pPr>
        <w:pStyle w:val="ListParagraph"/>
        <w:ind w:left="2880"/>
        <w:rPr>
          <w:rFonts w:cs="Arial"/>
        </w:rPr>
      </w:pPr>
    </w:p>
    <w:p w14:paraId="5EC47FEE" w14:textId="77777777" w:rsidR="00F87821" w:rsidRPr="008B1F04" w:rsidRDefault="00F87821" w:rsidP="00F83AD6">
      <w:pPr>
        <w:pStyle w:val="ListParagraph"/>
        <w:numPr>
          <w:ilvl w:val="0"/>
          <w:numId w:val="5"/>
        </w:numPr>
        <w:rPr>
          <w:rFonts w:cs="Arial"/>
        </w:rPr>
      </w:pPr>
      <w:r w:rsidRPr="008B1F04">
        <w:rPr>
          <w:rFonts w:cs="Arial"/>
        </w:rPr>
        <w:t>r</w:t>
      </w:r>
      <w:r w:rsidR="00FD0374" w:rsidRPr="008B1F04">
        <w:rPr>
          <w:rFonts w:cs="Arial"/>
        </w:rPr>
        <w:t>ec</w:t>
      </w:r>
      <w:r w:rsidR="003A78E4" w:rsidRPr="008B1F04">
        <w:rPr>
          <w:rFonts w:cs="Arial"/>
        </w:rPr>
        <w:t>ords of a county tax department,</w:t>
      </w:r>
      <w:r w:rsidR="00FD0374" w:rsidRPr="008B1F04">
        <w:rPr>
          <w:rFonts w:cs="Arial"/>
        </w:rPr>
        <w:t xml:space="preserve"> </w:t>
      </w:r>
      <w:r w:rsidR="0083038F" w:rsidRPr="008B1F04">
        <w:rPr>
          <w:rFonts w:cs="Arial"/>
        </w:rPr>
        <w:t>State v. Oxendine, 112 N.C. App. 731, 738 (1993)</w:t>
      </w:r>
      <w:r w:rsidRPr="008B1F04">
        <w:rPr>
          <w:rFonts w:cs="Arial"/>
        </w:rPr>
        <w:t xml:space="preserve">; and </w:t>
      </w:r>
    </w:p>
    <w:p w14:paraId="336CAB59" w14:textId="77777777" w:rsidR="00814968" w:rsidRPr="008B1F04" w:rsidRDefault="00F87821" w:rsidP="00F83AD6">
      <w:pPr>
        <w:pStyle w:val="ListParagraph"/>
        <w:numPr>
          <w:ilvl w:val="0"/>
          <w:numId w:val="5"/>
        </w:numPr>
        <w:rPr>
          <w:rFonts w:cs="Arial"/>
        </w:rPr>
      </w:pPr>
      <w:r w:rsidRPr="008B1F04">
        <w:rPr>
          <w:rFonts w:cs="Arial"/>
        </w:rPr>
        <w:t>a</w:t>
      </w:r>
      <w:r w:rsidR="00814968" w:rsidRPr="008B1F04">
        <w:rPr>
          <w:rFonts w:cs="Arial"/>
        </w:rPr>
        <w:t xml:space="preserve"> magistrate’s civil driver</w:t>
      </w:r>
      <w:r w:rsidR="00CD3B5C" w:rsidRPr="008B1F04">
        <w:rPr>
          <w:rFonts w:cs="Arial"/>
        </w:rPr>
        <w:t>’</w:t>
      </w:r>
      <w:r w:rsidR="00814968" w:rsidRPr="008B1F04">
        <w:rPr>
          <w:rFonts w:cs="Arial"/>
        </w:rPr>
        <w:t>s license revocation order</w:t>
      </w:r>
      <w:r w:rsidRPr="008B1F04">
        <w:rPr>
          <w:rFonts w:cs="Arial"/>
        </w:rPr>
        <w:t>,</w:t>
      </w:r>
      <w:r w:rsidR="00814968" w:rsidRPr="008B1F04">
        <w:rPr>
          <w:rFonts w:cs="Arial"/>
        </w:rPr>
        <w:t xml:space="preserve"> </w:t>
      </w:r>
      <w:r w:rsidR="0083038F" w:rsidRPr="008B1F04">
        <w:rPr>
          <w:rFonts w:cs="Arial"/>
        </w:rPr>
        <w:t>State v. Woody, 102 N.C. App. 576, 578 (1991)</w:t>
      </w:r>
      <w:r w:rsidR="00814968" w:rsidRPr="008B1F04">
        <w:rPr>
          <w:rFonts w:cs="Arial"/>
        </w:rPr>
        <w:t>.</w:t>
      </w:r>
    </w:p>
    <w:p w14:paraId="6AF63FA9" w14:textId="77777777" w:rsidR="009D4BE0" w:rsidRPr="008B1F04" w:rsidRDefault="009D4BE0" w:rsidP="009D4BE0">
      <w:pPr>
        <w:pStyle w:val="ListParagraph"/>
        <w:ind w:left="3240"/>
        <w:rPr>
          <w:rFonts w:cs="Arial"/>
        </w:rPr>
      </w:pPr>
    </w:p>
    <w:p w14:paraId="03F5176E" w14:textId="77777777" w:rsidR="002313D6" w:rsidRPr="008B1F04" w:rsidRDefault="00811635" w:rsidP="00F83AD6">
      <w:pPr>
        <w:pStyle w:val="ListParagraph"/>
        <w:numPr>
          <w:ilvl w:val="0"/>
          <w:numId w:val="40"/>
        </w:numPr>
        <w:rPr>
          <w:rFonts w:cs="Arial"/>
        </w:rPr>
      </w:pPr>
      <w:r w:rsidRPr="008B1F04">
        <w:rPr>
          <w:b/>
        </w:rPr>
        <w:t>Pursuant to Duty Imposed By L</w:t>
      </w:r>
      <w:r w:rsidR="00C93F42" w:rsidRPr="008B1F04">
        <w:rPr>
          <w:b/>
        </w:rPr>
        <w:t>aw</w:t>
      </w:r>
      <w:r w:rsidR="00A8334F" w:rsidRPr="008B1F04">
        <w:rPr>
          <w:b/>
        </w:rPr>
        <w:t xml:space="preserve">. </w:t>
      </w:r>
      <w:r w:rsidR="00F87821" w:rsidRPr="008B1F04">
        <w:rPr>
          <w:rFonts w:cs="Arial"/>
        </w:rPr>
        <w:t>T</w:t>
      </w:r>
      <w:r w:rsidR="005E66D8" w:rsidRPr="008B1F04">
        <w:rPr>
          <w:rFonts w:cs="Arial"/>
        </w:rPr>
        <w:t xml:space="preserve">he rule covers records, etc. setting forth “matters observed pursuant to duty imposed by law as to which matters there was a duty to report.” </w:t>
      </w:r>
      <w:r w:rsidR="0083038F" w:rsidRPr="008B1F04">
        <w:rPr>
          <w:rFonts w:cs="Arial"/>
          <w:smallCaps/>
        </w:rPr>
        <w:t>N.C. R. Evid.</w:t>
      </w:r>
      <w:r w:rsidR="0083038F" w:rsidRPr="008B1F04">
        <w:rPr>
          <w:rFonts w:cs="Arial"/>
        </w:rPr>
        <w:t xml:space="preserve"> 803(8)(B)</w:t>
      </w:r>
      <w:r w:rsidR="00917C25" w:rsidRPr="008B1F04">
        <w:rPr>
          <w:rFonts w:cs="Arial"/>
        </w:rPr>
        <w:t>.</w:t>
      </w:r>
      <w:r w:rsidR="002B5CBE" w:rsidRPr="008B1F04">
        <w:rPr>
          <w:rFonts w:cs="Arial"/>
        </w:rPr>
        <w:t xml:space="preserve"> </w:t>
      </w:r>
      <w:r w:rsidR="005E66D8" w:rsidRPr="008B1F04">
        <w:rPr>
          <w:rFonts w:cs="Arial"/>
        </w:rPr>
        <w:t>This would include, for example a medical examiner’s</w:t>
      </w:r>
      <w:r w:rsidR="002B5CBE" w:rsidRPr="008B1F04">
        <w:rPr>
          <w:rFonts w:cs="Arial"/>
        </w:rPr>
        <w:t xml:space="preserve"> investigation and </w:t>
      </w:r>
      <w:r w:rsidR="005E66D8" w:rsidRPr="008B1F04">
        <w:rPr>
          <w:rFonts w:cs="Arial"/>
        </w:rPr>
        <w:t>autopsy report</w:t>
      </w:r>
      <w:r w:rsidR="00CD3B5C" w:rsidRPr="008B1F04">
        <w:rPr>
          <w:rFonts w:cs="Arial"/>
        </w:rPr>
        <w:t>,</w:t>
      </w:r>
      <w:r w:rsidR="005E66D8" w:rsidRPr="008B1F04">
        <w:rPr>
          <w:rFonts w:cs="Arial"/>
        </w:rPr>
        <w:t xml:space="preserve"> </w:t>
      </w:r>
      <w:r w:rsidR="0083038F" w:rsidRPr="008B1F04">
        <w:rPr>
          <w:rFonts w:cs="Arial"/>
          <w:i/>
        </w:rPr>
        <w:t>In re J.S.B.</w:t>
      </w:r>
      <w:r w:rsidR="0083038F" w:rsidRPr="008B1F04">
        <w:rPr>
          <w:rFonts w:cs="Arial"/>
        </w:rPr>
        <w:t>, 183 N.C. App. 192, 197-98 (2007)</w:t>
      </w:r>
      <w:r w:rsidR="002B5CBE" w:rsidRPr="008B1F04">
        <w:rPr>
          <w:rFonts w:cs="Arial"/>
        </w:rPr>
        <w:t xml:space="preserve">, </w:t>
      </w:r>
      <w:r w:rsidR="00317FBD" w:rsidRPr="008B1F04">
        <w:rPr>
          <w:rFonts w:cs="Arial"/>
        </w:rPr>
        <w:t xml:space="preserve">and reports by SBI analysts. </w:t>
      </w:r>
      <w:r w:rsidR="0083038F" w:rsidRPr="008B1F04">
        <w:rPr>
          <w:rFonts w:cs="Arial"/>
        </w:rPr>
        <w:t>State v. Acklin, 317 N.C. 677, 682 (1986)</w:t>
      </w:r>
      <w:r w:rsidR="00317FBD" w:rsidRPr="008B1F04">
        <w:rPr>
          <w:rFonts w:cs="Arial"/>
        </w:rPr>
        <w:t xml:space="preserve">. By contrast, </w:t>
      </w:r>
      <w:r w:rsidR="002313D6" w:rsidRPr="008B1F04">
        <w:rPr>
          <w:rFonts w:cs="Arial"/>
        </w:rPr>
        <w:t xml:space="preserve">one case held that a City Manager’s report of the police department’s handling of a murder case was not the result of authority granted by law. </w:t>
      </w:r>
      <w:r w:rsidR="0083038F" w:rsidRPr="008B1F04">
        <w:rPr>
          <w:rFonts w:cs="Arial"/>
        </w:rPr>
        <w:t>State v. Hunt, 339 N.C. 622, 654 (1994)</w:t>
      </w:r>
      <w:r w:rsidR="002313D6" w:rsidRPr="008B1F04">
        <w:rPr>
          <w:rFonts w:cs="Arial"/>
        </w:rPr>
        <w:t xml:space="preserve">. </w:t>
      </w:r>
    </w:p>
    <w:p w14:paraId="6C909320" w14:textId="77777777" w:rsidR="009F2D89" w:rsidRPr="008B1F04" w:rsidRDefault="00F3169F" w:rsidP="00B87774">
      <w:pPr>
        <w:ind w:left="2880" w:firstLine="360"/>
        <w:rPr>
          <w:rFonts w:cs="Arial"/>
        </w:rPr>
      </w:pPr>
      <w:r w:rsidRPr="008B1F04">
        <w:rPr>
          <w:rFonts w:cs="Arial"/>
        </w:rPr>
        <w:t>In criminal cases, t</w:t>
      </w:r>
      <w:r w:rsidR="00741192" w:rsidRPr="008B1F04">
        <w:rPr>
          <w:rFonts w:cs="Arial"/>
        </w:rPr>
        <w:t xml:space="preserve">he rule </w:t>
      </w:r>
      <w:r w:rsidR="009F2D89" w:rsidRPr="008B1F04">
        <w:rPr>
          <w:rFonts w:cs="Arial"/>
        </w:rPr>
        <w:t>excludes “matters observed by police officers and other law</w:t>
      </w:r>
      <w:r w:rsidR="009F2D89" w:rsidRPr="008B1F04">
        <w:rPr>
          <w:rFonts w:eastAsia="MS Gothic" w:hAnsi="MS Gothic" w:cs="Arial"/>
        </w:rPr>
        <w:t>‑</w:t>
      </w:r>
      <w:r w:rsidR="009F2D89" w:rsidRPr="008B1F04">
        <w:rPr>
          <w:rFonts w:cs="Arial"/>
        </w:rPr>
        <w:t>enforcement personnel</w:t>
      </w:r>
      <w:r w:rsidRPr="008B1F04">
        <w:rPr>
          <w:rFonts w:cs="Arial"/>
        </w:rPr>
        <w:t>,</w:t>
      </w:r>
      <w:r w:rsidR="009F2D89" w:rsidRPr="008B1F04">
        <w:rPr>
          <w:rFonts w:cs="Arial"/>
        </w:rPr>
        <w:t xml:space="preserve">” </w:t>
      </w:r>
      <w:r w:rsidR="0083038F" w:rsidRPr="008B1F04">
        <w:rPr>
          <w:rFonts w:cs="Arial"/>
          <w:smallCaps/>
        </w:rPr>
        <w:t>N.C. R. Evid</w:t>
      </w:r>
      <w:r w:rsidR="0083038F" w:rsidRPr="008B1F04">
        <w:rPr>
          <w:rFonts w:cs="Arial"/>
        </w:rPr>
        <w:t>. 803(8)(B)</w:t>
      </w:r>
      <w:r w:rsidR="006E1FDC" w:rsidRPr="008B1F04">
        <w:rPr>
          <w:rFonts w:cs="Arial"/>
        </w:rPr>
        <w:t xml:space="preserve">, </w:t>
      </w:r>
      <w:r w:rsidRPr="008B1F04">
        <w:rPr>
          <w:rFonts w:cs="Arial"/>
        </w:rPr>
        <w:t xml:space="preserve">such as </w:t>
      </w:r>
      <w:r w:rsidR="009F2D89" w:rsidRPr="008B1F04">
        <w:rPr>
          <w:rFonts w:cs="Arial"/>
        </w:rPr>
        <w:t xml:space="preserve">officers’ observations during investigations. </w:t>
      </w:r>
      <w:r w:rsidR="0083038F" w:rsidRPr="008B1F04">
        <w:rPr>
          <w:rFonts w:cs="Arial"/>
        </w:rPr>
        <w:t>State v. McLean, 205 N.C. App. 247, 250 (2010) (explaining that the rule is intended to prevent the prosecution from proving its case by simply offering into evidence “officers' reports of their contemporaneous observations of crime”)</w:t>
      </w:r>
      <w:r w:rsidR="009F2D89" w:rsidRPr="008B1F04">
        <w:rPr>
          <w:rFonts w:cs="Arial"/>
        </w:rPr>
        <w:t xml:space="preserve">. Thus, the notes of a non-testifying, undercover officer summarizing alleged drug transactions with the defendant </w:t>
      </w:r>
      <w:r w:rsidR="006E1FDC" w:rsidRPr="008B1F04">
        <w:rPr>
          <w:rFonts w:cs="Arial"/>
        </w:rPr>
        <w:t>are inadmissible under this exception</w:t>
      </w:r>
      <w:r w:rsidR="00623CA4" w:rsidRPr="008B1F04">
        <w:rPr>
          <w:rFonts w:cs="Arial"/>
        </w:rPr>
        <w:t>.</w:t>
      </w:r>
      <w:r w:rsidR="009F2D89" w:rsidRPr="008B1F04">
        <w:rPr>
          <w:rFonts w:cs="Arial"/>
        </w:rPr>
        <w:t xml:space="preserve"> </w:t>
      </w:r>
      <w:r w:rsidR="0083038F" w:rsidRPr="008B1F04">
        <w:rPr>
          <w:rFonts w:cs="Arial"/>
        </w:rPr>
        <w:t>State v. Harper, 96 N.C. App. 36, 40 (1989)</w:t>
      </w:r>
      <w:r w:rsidR="006E1FDC" w:rsidRPr="008B1F04">
        <w:rPr>
          <w:rFonts w:cs="Arial"/>
        </w:rPr>
        <w:t>. Also inadmissible</w:t>
      </w:r>
      <w:r w:rsidR="009F2D89" w:rsidRPr="008B1F04">
        <w:rPr>
          <w:rFonts w:cs="Arial"/>
        </w:rPr>
        <w:t xml:space="preserve"> </w:t>
      </w:r>
      <w:r w:rsidR="00592FFA" w:rsidRPr="008B1F04">
        <w:rPr>
          <w:rFonts w:cs="Arial"/>
        </w:rPr>
        <w:t>is</w:t>
      </w:r>
      <w:r w:rsidR="009F2D89" w:rsidRPr="008B1F04">
        <w:rPr>
          <w:rFonts w:cs="Arial"/>
        </w:rPr>
        <w:t xml:space="preserve"> a defendant's exculpatory statement to an officer and contained in the officer’s report. </w:t>
      </w:r>
      <w:r w:rsidR="0083038F" w:rsidRPr="008B1F04">
        <w:rPr>
          <w:rFonts w:cs="Arial"/>
        </w:rPr>
        <w:t>State v. Maness, 321 N.C. 454, 459</w:t>
      </w:r>
      <w:r w:rsidR="009F2D89" w:rsidRPr="008B1F04">
        <w:rPr>
          <w:rFonts w:cs="Arial"/>
        </w:rPr>
        <w:t>. However, this provision does not exclude records of routine, ministerial matters made by law enforcement in a non-adversarial setting</w:t>
      </w:r>
      <w:r w:rsidR="006E1FDC" w:rsidRPr="008B1F04">
        <w:rPr>
          <w:rFonts w:cs="Arial"/>
        </w:rPr>
        <w:t xml:space="preserve">, such as booking records. </w:t>
      </w:r>
      <w:r w:rsidR="0083038F" w:rsidRPr="008B1F04">
        <w:rPr>
          <w:rFonts w:cs="Arial"/>
          <w:i/>
        </w:rPr>
        <w:t>See, e.g.,</w:t>
      </w:r>
      <w:r w:rsidR="0083038F" w:rsidRPr="008B1F04">
        <w:rPr>
          <w:rFonts w:cs="Arial"/>
        </w:rPr>
        <w:t xml:space="preserve"> </w:t>
      </w:r>
      <w:r w:rsidR="0083038F" w:rsidRPr="008B1F04">
        <w:rPr>
          <w:rFonts w:cs="Arial"/>
          <w:i/>
        </w:rPr>
        <w:t>McLean</w:t>
      </w:r>
      <w:r w:rsidR="0083038F" w:rsidRPr="008B1F04">
        <w:rPr>
          <w:rFonts w:cs="Arial"/>
        </w:rPr>
        <w:t>, 205 N.C. App. at 250-51</w:t>
      </w:r>
      <w:r w:rsidR="009F2D89" w:rsidRPr="008B1F04">
        <w:rPr>
          <w:rFonts w:cs="Arial"/>
        </w:rPr>
        <w:t xml:space="preserve">. </w:t>
      </w:r>
    </w:p>
    <w:p w14:paraId="01692D5D" w14:textId="77777777" w:rsidR="00741192" w:rsidRPr="008B1F04" w:rsidRDefault="00741192" w:rsidP="00F83AD6">
      <w:pPr>
        <w:pStyle w:val="ListParagraph"/>
        <w:numPr>
          <w:ilvl w:val="0"/>
          <w:numId w:val="40"/>
        </w:numPr>
        <w:rPr>
          <w:rFonts w:cs="Arial"/>
        </w:rPr>
      </w:pPr>
      <w:r w:rsidRPr="008B1F04">
        <w:rPr>
          <w:b/>
        </w:rPr>
        <w:t>Findings From an Investigation</w:t>
      </w:r>
      <w:r w:rsidR="00B87774" w:rsidRPr="008B1F04">
        <w:rPr>
          <w:b/>
        </w:rPr>
        <w:t xml:space="preserve">. </w:t>
      </w:r>
      <w:r w:rsidR="00AA643F" w:rsidRPr="008B1F04">
        <w:rPr>
          <w:rFonts w:cs="Arial"/>
        </w:rPr>
        <w:t>The</w:t>
      </w:r>
      <w:r w:rsidRPr="008B1F04">
        <w:rPr>
          <w:rFonts w:cs="Arial"/>
        </w:rPr>
        <w:t xml:space="preserve"> rule covers records, etc. setting forth “factual findings resulting from an investigation made pursuant to authority granted by law.” </w:t>
      </w:r>
      <w:r w:rsidR="0083038F" w:rsidRPr="008B1F04">
        <w:rPr>
          <w:rFonts w:cs="Arial"/>
          <w:smallCaps/>
        </w:rPr>
        <w:t>N.C. R. Evid.</w:t>
      </w:r>
      <w:r w:rsidR="0083038F" w:rsidRPr="008B1F04">
        <w:rPr>
          <w:rFonts w:cs="Arial"/>
        </w:rPr>
        <w:t xml:space="preserve"> 803(8)(C)</w:t>
      </w:r>
      <w:r w:rsidR="00623CA4" w:rsidRPr="008B1F04">
        <w:rPr>
          <w:rFonts w:cs="Arial"/>
        </w:rPr>
        <w:t>.</w:t>
      </w:r>
    </w:p>
    <w:p w14:paraId="3AFDEA47" w14:textId="77777777" w:rsidR="009F2D89" w:rsidRPr="008B1F04" w:rsidRDefault="009F2D89" w:rsidP="00B87774">
      <w:pPr>
        <w:ind w:left="2880" w:firstLine="360"/>
        <w:rPr>
          <w:rFonts w:cs="Arial"/>
        </w:rPr>
      </w:pPr>
      <w:r w:rsidRPr="008B1F04">
        <w:rPr>
          <w:rFonts w:cs="Arial"/>
        </w:rPr>
        <w:lastRenderedPageBreak/>
        <w:t xml:space="preserve">The term “factual findings” does not preclude </w:t>
      </w:r>
      <w:r w:rsidR="00917C25" w:rsidRPr="008B1F04">
        <w:rPr>
          <w:rFonts w:cs="Arial"/>
        </w:rPr>
        <w:t xml:space="preserve">admission of </w:t>
      </w:r>
      <w:r w:rsidRPr="008B1F04">
        <w:rPr>
          <w:rFonts w:cs="Arial"/>
        </w:rPr>
        <w:t>r</w:t>
      </w:r>
      <w:r w:rsidR="00AA643F" w:rsidRPr="008B1F04">
        <w:rPr>
          <w:rFonts w:cs="Arial"/>
        </w:rPr>
        <w:t>eports containing conclusions or</w:t>
      </w:r>
      <w:r w:rsidRPr="008B1F04">
        <w:rPr>
          <w:rFonts w:cs="Arial"/>
        </w:rPr>
        <w:t xml:space="preserve"> opinions. </w:t>
      </w:r>
      <w:r w:rsidR="0083038F" w:rsidRPr="008B1F04">
        <w:rPr>
          <w:rFonts w:cs="Arial"/>
        </w:rPr>
        <w:t xml:space="preserve">Official Commentary to </w:t>
      </w:r>
      <w:r w:rsidR="0083038F" w:rsidRPr="008B1F04">
        <w:rPr>
          <w:rFonts w:cs="Arial"/>
          <w:smallCaps/>
        </w:rPr>
        <w:t>N.C. R. Evid. 803</w:t>
      </w:r>
      <w:r w:rsidRPr="008B1F04">
        <w:rPr>
          <w:rFonts w:cs="Arial"/>
        </w:rPr>
        <w:t xml:space="preserve">; </w:t>
      </w:r>
      <w:r w:rsidRPr="008B1F04">
        <w:rPr>
          <w:rFonts w:cs="Arial"/>
          <w:i/>
        </w:rPr>
        <w:t xml:space="preserve">see also </w:t>
      </w:r>
      <w:r w:rsidR="0083038F" w:rsidRPr="008B1F04">
        <w:rPr>
          <w:rFonts w:cs="Arial"/>
        </w:rPr>
        <w:t>In re J.S.B., 183 N.C. App. 192, 196-98 (2007) (the fact that a medical examiner’s investigation and autopsy report contained the medical examiner's opinion as to cause of death in addition to objective observations of the victim’s physical injuries did not preclude admissibility)</w:t>
      </w:r>
      <w:r w:rsidRPr="008B1F04">
        <w:rPr>
          <w:rFonts w:cs="Arial"/>
        </w:rPr>
        <w:t>.</w:t>
      </w:r>
    </w:p>
    <w:p w14:paraId="3A11870D" w14:textId="77777777" w:rsidR="00D94134" w:rsidRPr="008B1F04" w:rsidRDefault="00811635" w:rsidP="00F83AD6">
      <w:pPr>
        <w:pStyle w:val="ListParagraph"/>
        <w:numPr>
          <w:ilvl w:val="0"/>
          <w:numId w:val="40"/>
        </w:numPr>
        <w:rPr>
          <w:rFonts w:cs="Arial"/>
        </w:rPr>
      </w:pPr>
      <w:r w:rsidRPr="008B1F04">
        <w:rPr>
          <w:b/>
        </w:rPr>
        <w:t>Lack of Trustworthiness</w:t>
      </w:r>
      <w:r w:rsidR="00B87774" w:rsidRPr="008B1F04">
        <w:rPr>
          <w:b/>
        </w:rPr>
        <w:t xml:space="preserve">. </w:t>
      </w:r>
      <w:r w:rsidR="00F3169F" w:rsidRPr="008B1F04">
        <w:rPr>
          <w:rFonts w:cs="Arial"/>
        </w:rPr>
        <w:t>P</w:t>
      </w:r>
      <w:r w:rsidR="00F27866" w:rsidRPr="008B1F04">
        <w:rPr>
          <w:rFonts w:cs="Arial"/>
        </w:rPr>
        <w:t xml:space="preserve">ublic records and reports are admissible </w:t>
      </w:r>
      <w:r w:rsidR="00592FFA" w:rsidRPr="008B1F04">
        <w:rPr>
          <w:rFonts w:cs="Arial"/>
        </w:rPr>
        <w:t xml:space="preserve">under this exception </w:t>
      </w:r>
      <w:r w:rsidR="009F2D89" w:rsidRPr="008B1F04">
        <w:rPr>
          <w:rFonts w:cs="Arial"/>
        </w:rPr>
        <w:t>“unless the sources of information or other circumstances indicate lack of trustworthiness</w:t>
      </w:r>
      <w:r w:rsidR="001E4CCC" w:rsidRPr="008B1F04">
        <w:rPr>
          <w:rFonts w:cs="Arial"/>
        </w:rPr>
        <w:t>.</w:t>
      </w:r>
      <w:r w:rsidR="009F2D89" w:rsidRPr="008B1F04">
        <w:rPr>
          <w:rFonts w:cs="Arial"/>
        </w:rPr>
        <w:t xml:space="preserve">” </w:t>
      </w:r>
      <w:r w:rsidR="0083038F" w:rsidRPr="008B1F04">
        <w:rPr>
          <w:rFonts w:cs="Arial"/>
          <w:smallCaps/>
        </w:rPr>
        <w:t>N.C. R. Evid</w:t>
      </w:r>
      <w:r w:rsidR="0083038F" w:rsidRPr="008B1F04">
        <w:rPr>
          <w:rFonts w:cs="Arial"/>
        </w:rPr>
        <w:t>. 803(8)</w:t>
      </w:r>
      <w:r w:rsidR="00592FFA" w:rsidRPr="008B1F04">
        <w:rPr>
          <w:rFonts w:cs="Arial"/>
        </w:rPr>
        <w:t xml:space="preserve">; </w:t>
      </w:r>
      <w:r w:rsidR="0083038F" w:rsidRPr="008B1F04">
        <w:rPr>
          <w:rFonts w:cs="Arial"/>
          <w:i/>
        </w:rPr>
        <w:t xml:space="preserve">see </w:t>
      </w:r>
      <w:r w:rsidR="0083038F" w:rsidRPr="008B1F04">
        <w:rPr>
          <w:rFonts w:cs="Arial"/>
        </w:rPr>
        <w:t xml:space="preserve">Official Commentary to </w:t>
      </w:r>
      <w:r w:rsidR="0083038F" w:rsidRPr="008B1F04">
        <w:rPr>
          <w:rFonts w:cs="Arial"/>
          <w:smallCaps/>
        </w:rPr>
        <w:t>N.C. R. Evid.</w:t>
      </w:r>
      <w:r w:rsidR="0083038F" w:rsidRPr="008B1F04">
        <w:rPr>
          <w:rFonts w:cs="Arial"/>
        </w:rPr>
        <w:t xml:space="preserve"> 803 (this </w:t>
      </w:r>
      <w:r w:rsidR="00676B14" w:rsidRPr="008B1F04">
        <w:rPr>
          <w:rFonts w:cs="Arial"/>
        </w:rPr>
        <w:t>provision</w:t>
      </w:r>
      <w:r w:rsidR="0083038F" w:rsidRPr="008B1F04">
        <w:rPr>
          <w:rFonts w:cs="Arial"/>
        </w:rPr>
        <w:t xml:space="preserve"> applies to all three parts of the rule)</w:t>
      </w:r>
      <w:r w:rsidR="00D94134" w:rsidRPr="008B1F04">
        <w:rPr>
          <w:rFonts w:cs="Arial"/>
        </w:rPr>
        <w:t xml:space="preserve">. </w:t>
      </w:r>
    </w:p>
    <w:p w14:paraId="4D76DA2F" w14:textId="77777777" w:rsidR="006B3FC5" w:rsidRPr="008B1F04" w:rsidRDefault="001E4CCC" w:rsidP="00B87774">
      <w:pPr>
        <w:ind w:left="2880" w:firstLine="360"/>
        <w:rPr>
          <w:rFonts w:cs="Arial"/>
        </w:rPr>
      </w:pPr>
      <w:r w:rsidRPr="008B1F04">
        <w:rPr>
          <w:rFonts w:cs="Arial"/>
        </w:rPr>
        <w:t xml:space="preserve">Determining whether information or circumstances indicate a lack of trustworthiness requires a consideration of the </w:t>
      </w:r>
      <w:r w:rsidR="0050674B" w:rsidRPr="008B1F04">
        <w:rPr>
          <w:rFonts w:cs="Arial"/>
        </w:rPr>
        <w:t xml:space="preserve">totality of the circumstances </w:t>
      </w:r>
      <w:r w:rsidRPr="008B1F04">
        <w:rPr>
          <w:rFonts w:cs="Arial"/>
        </w:rPr>
        <w:t>that “s</w:t>
      </w:r>
      <w:r w:rsidR="0050674B" w:rsidRPr="008B1F04">
        <w:rPr>
          <w:rFonts w:cs="Arial"/>
        </w:rPr>
        <w:t xml:space="preserve">urround the making of the statement and that render the declarant particularly worthy of belief.” </w:t>
      </w:r>
      <w:r w:rsidR="0083038F" w:rsidRPr="008B1F04">
        <w:rPr>
          <w:rFonts w:cs="Arial"/>
        </w:rPr>
        <w:t>State v. Little, 191 N.C. App. 655, 666 (2008) (citation omitted)</w:t>
      </w:r>
      <w:r w:rsidR="000065DB" w:rsidRPr="008B1F04">
        <w:rPr>
          <w:rFonts w:cs="Arial"/>
        </w:rPr>
        <w:t xml:space="preserve">. </w:t>
      </w:r>
      <w:r w:rsidR="000065DB" w:rsidRPr="008B1F04">
        <w:rPr>
          <w:rFonts w:cs="Arial"/>
          <w:i/>
        </w:rPr>
        <w:t>Compare id</w:t>
      </w:r>
      <w:r w:rsidR="000065DB" w:rsidRPr="008B1F04">
        <w:rPr>
          <w:rFonts w:cs="Arial"/>
        </w:rPr>
        <w:t>.</w:t>
      </w:r>
      <w:r w:rsidR="0050674B" w:rsidRPr="008B1F04">
        <w:rPr>
          <w:rFonts w:cs="Arial"/>
        </w:rPr>
        <w:t xml:space="preserve"> </w:t>
      </w:r>
      <w:r w:rsidR="0083038F" w:rsidRPr="008B1F04">
        <w:rPr>
          <w:rFonts w:cs="Arial"/>
        </w:rPr>
        <w:t>(excluding on this basis a statement by non-testifying witness contained in an SBI agent’s crime scene report)</w:t>
      </w:r>
      <w:r w:rsidR="00016AAD" w:rsidRPr="008B1F04">
        <w:rPr>
          <w:rFonts w:cs="Arial"/>
        </w:rPr>
        <w:t xml:space="preserve">, </w:t>
      </w:r>
      <w:r w:rsidR="00016AAD" w:rsidRPr="008B1F04">
        <w:rPr>
          <w:rFonts w:cs="Arial"/>
          <w:i/>
        </w:rPr>
        <w:t>with</w:t>
      </w:r>
      <w:r w:rsidR="006F6E56" w:rsidRPr="008B1F04">
        <w:rPr>
          <w:rFonts w:cs="Arial"/>
          <w:i/>
        </w:rPr>
        <w:t xml:space="preserve"> </w:t>
      </w:r>
      <w:r w:rsidR="0083038F" w:rsidRPr="008B1F04">
        <w:rPr>
          <w:rFonts w:cs="Arial"/>
        </w:rPr>
        <w:t>State v. Acklin, 317 N.C. 677, 682 (1986) (impartiality of SBI agents who created reports and ability to cross-examine witnesses assured trustworthiness)</w:t>
      </w:r>
      <w:r w:rsidR="006F6E56" w:rsidRPr="008B1F04">
        <w:rPr>
          <w:rFonts w:cs="Arial"/>
        </w:rPr>
        <w:t xml:space="preserve">, </w:t>
      </w:r>
      <w:r w:rsidR="006F6E56" w:rsidRPr="008B1F04">
        <w:rPr>
          <w:rFonts w:cs="Arial"/>
          <w:i/>
        </w:rPr>
        <w:t>and</w:t>
      </w:r>
      <w:r w:rsidR="00016AAD" w:rsidRPr="008B1F04">
        <w:rPr>
          <w:rFonts w:cs="Arial"/>
          <w:i/>
        </w:rPr>
        <w:t xml:space="preserve"> </w:t>
      </w:r>
      <w:r w:rsidR="0083038F" w:rsidRPr="008B1F04">
        <w:rPr>
          <w:rFonts w:cs="Arial"/>
        </w:rPr>
        <w:t>State v. Watson, 179 N.C. App. 228, 245 (2006) (admitting prison records under this exception after finding that the circumstances did not indicate a lack of trustworthiness).</w:t>
      </w:r>
      <w:r w:rsidR="0050674B" w:rsidRPr="008B1F04">
        <w:rPr>
          <w:rFonts w:cs="Arial"/>
        </w:rPr>
        <w:t xml:space="preserve"> </w:t>
      </w:r>
    </w:p>
    <w:p w14:paraId="639D1C75" w14:textId="77777777" w:rsidR="00623CA4" w:rsidRPr="008B1F04" w:rsidRDefault="00811635" w:rsidP="00F83AD6">
      <w:pPr>
        <w:pStyle w:val="ListParagraph"/>
        <w:numPr>
          <w:ilvl w:val="0"/>
          <w:numId w:val="40"/>
        </w:numPr>
        <w:rPr>
          <w:rFonts w:cs="Arial"/>
        </w:rPr>
      </w:pPr>
      <w:r w:rsidRPr="008B1F04">
        <w:rPr>
          <w:b/>
        </w:rPr>
        <w:t>Authentication</w:t>
      </w:r>
      <w:r w:rsidR="00B87774" w:rsidRPr="008B1F04">
        <w:rPr>
          <w:b/>
        </w:rPr>
        <w:t xml:space="preserve">. </w:t>
      </w:r>
      <w:r w:rsidR="005A51A2" w:rsidRPr="008B1F04">
        <w:rPr>
          <w:rFonts w:cs="Arial"/>
        </w:rPr>
        <w:t>All that is required to authenticate a public record is evidence that the record, etc. “is from the public office where items of this nature are kept.”</w:t>
      </w:r>
      <w:r w:rsidR="00493EE6" w:rsidRPr="008B1F04">
        <w:rPr>
          <w:rFonts w:cs="Arial"/>
        </w:rPr>
        <w:t xml:space="preserve"> </w:t>
      </w:r>
      <w:r w:rsidR="0083038F" w:rsidRPr="008B1F04">
        <w:rPr>
          <w:rFonts w:cs="Arial"/>
        </w:rPr>
        <w:t xml:space="preserve">State v. Oxendine, 112 N.C. App. 731, 738 (1993) (quoting N.C. R. </w:t>
      </w:r>
      <w:r w:rsidR="0083038F" w:rsidRPr="008B1F04">
        <w:rPr>
          <w:rFonts w:cs="Arial"/>
          <w:smallCaps/>
        </w:rPr>
        <w:t>Evid</w:t>
      </w:r>
      <w:r w:rsidR="0083038F" w:rsidRPr="008B1F04">
        <w:rPr>
          <w:rFonts w:cs="Arial"/>
        </w:rPr>
        <w:t>. 901(b)(7))</w:t>
      </w:r>
      <w:r w:rsidR="005A51A2" w:rsidRPr="008B1F04">
        <w:rPr>
          <w:rFonts w:cs="Arial"/>
        </w:rPr>
        <w:t xml:space="preserve">. For original public records or documents, this is typically done with testimony </w:t>
      </w:r>
      <w:r w:rsidR="00917C25" w:rsidRPr="008B1F04">
        <w:rPr>
          <w:rFonts w:cs="Arial"/>
        </w:rPr>
        <w:t>by</w:t>
      </w:r>
      <w:r w:rsidR="005A51A2" w:rsidRPr="008B1F04">
        <w:rPr>
          <w:rFonts w:cs="Arial"/>
        </w:rPr>
        <w:t xml:space="preserve"> the custodian that it </w:t>
      </w:r>
      <w:r w:rsidR="00970327" w:rsidRPr="008B1F04">
        <w:rPr>
          <w:rFonts w:cs="Arial"/>
        </w:rPr>
        <w:t>“</w:t>
      </w:r>
      <w:r w:rsidR="005A51A2" w:rsidRPr="008B1F04">
        <w:rPr>
          <w:rFonts w:cs="Arial"/>
        </w:rPr>
        <w:t xml:space="preserve">is a part of the records or files </w:t>
      </w:r>
      <w:r w:rsidR="00917C25" w:rsidRPr="008B1F04">
        <w:rPr>
          <w:rFonts w:cs="Arial"/>
        </w:rPr>
        <w:t>of</w:t>
      </w:r>
      <w:r w:rsidR="005A51A2" w:rsidRPr="008B1F04">
        <w:rPr>
          <w:rFonts w:cs="Arial"/>
        </w:rPr>
        <w:t xml:space="preserve"> the custodian’s office.</w:t>
      </w:r>
      <w:r w:rsidR="00970327" w:rsidRPr="008B1F04">
        <w:rPr>
          <w:rFonts w:cs="Arial"/>
        </w:rPr>
        <w:t>”</w:t>
      </w:r>
      <w:r w:rsidR="005A51A2" w:rsidRPr="008B1F04">
        <w:rPr>
          <w:rFonts w:cs="Arial"/>
        </w:rPr>
        <w:t xml:space="preserve"> </w:t>
      </w:r>
      <w:r w:rsidR="0083038F" w:rsidRPr="008B1F04">
        <w:rPr>
          <w:rFonts w:cs="Arial"/>
          <w:i/>
        </w:rPr>
        <w:t>Id</w:t>
      </w:r>
      <w:r w:rsidR="00970327" w:rsidRPr="008B1F04">
        <w:rPr>
          <w:rFonts w:cs="Arial"/>
        </w:rPr>
        <w:t>.</w:t>
      </w:r>
      <w:r w:rsidR="005A51A2" w:rsidRPr="008B1F04">
        <w:rPr>
          <w:rFonts w:cs="Arial"/>
        </w:rPr>
        <w:t xml:space="preserve">; </w:t>
      </w:r>
      <w:r w:rsidR="005A51A2" w:rsidRPr="008B1F04">
        <w:rPr>
          <w:rFonts w:cs="Arial"/>
          <w:i/>
        </w:rPr>
        <w:t>see also</w:t>
      </w:r>
      <w:r w:rsidR="005A51A2" w:rsidRPr="008B1F04">
        <w:rPr>
          <w:rFonts w:cs="Arial"/>
        </w:rPr>
        <w:t xml:space="preserve"> 2 </w:t>
      </w:r>
      <w:r w:rsidR="005A51A2" w:rsidRPr="008B1F04">
        <w:rPr>
          <w:rFonts w:cs="Arial"/>
          <w:smallCaps/>
        </w:rPr>
        <w:t>Brandis &amp; Broun</w:t>
      </w:r>
      <w:r w:rsidR="005A51A2" w:rsidRPr="008B1F04">
        <w:rPr>
          <w:rFonts w:cs="Arial"/>
        </w:rPr>
        <w:t xml:space="preserve"> at 900.</w:t>
      </w:r>
      <w:r w:rsidR="00493EE6" w:rsidRPr="008B1F04">
        <w:rPr>
          <w:rFonts w:cs="Arial"/>
        </w:rPr>
        <w:t xml:space="preserve"> </w:t>
      </w:r>
    </w:p>
    <w:p w14:paraId="1D59971D" w14:textId="77777777" w:rsidR="0014413A" w:rsidRPr="008B1F04" w:rsidRDefault="0083038F" w:rsidP="00B87774">
      <w:pPr>
        <w:ind w:left="2880" w:firstLine="360"/>
        <w:rPr>
          <w:rFonts w:cs="Arial"/>
        </w:rPr>
      </w:pPr>
      <w:r w:rsidRPr="008B1F04">
        <w:rPr>
          <w:rFonts w:cs="Arial"/>
          <w:smallCaps/>
        </w:rPr>
        <w:t>N.C. R. Civ. P.</w:t>
      </w:r>
      <w:r w:rsidRPr="008B1F04">
        <w:rPr>
          <w:rFonts w:cs="Arial"/>
        </w:rPr>
        <w:t xml:space="preserve"> 45(c)(2)</w:t>
      </w:r>
      <w:r w:rsidR="004B4EDF" w:rsidRPr="008B1F04">
        <w:rPr>
          <w:rFonts w:cs="Arial"/>
        </w:rPr>
        <w:t>, which applies in criminal cases, G.S. 15A-801,</w:t>
      </w:r>
      <w:r w:rsidR="00811635" w:rsidRPr="008B1F04">
        <w:rPr>
          <w:rFonts w:cs="Arial"/>
        </w:rPr>
        <w:t xml:space="preserve"> allows custodians of public records</w:t>
      </w:r>
      <w:r w:rsidR="008F3B91" w:rsidRPr="008B1F04">
        <w:rPr>
          <w:rFonts w:cs="Arial"/>
        </w:rPr>
        <w:t xml:space="preserve"> to</w:t>
      </w:r>
      <w:r w:rsidR="00811635" w:rsidRPr="008B1F04">
        <w:rPr>
          <w:rFonts w:cs="Arial"/>
        </w:rPr>
        <w:t xml:space="preserve"> submit</w:t>
      </w:r>
      <w:r w:rsidR="0014413A" w:rsidRPr="008B1F04">
        <w:rPr>
          <w:rFonts w:cs="Arial"/>
        </w:rPr>
        <w:t xml:space="preserve"> certified copies of records and </w:t>
      </w:r>
      <w:r w:rsidR="00811635" w:rsidRPr="008B1F04">
        <w:rPr>
          <w:rFonts w:cs="Arial"/>
        </w:rPr>
        <w:t>affidavits in response to subpoenas.</w:t>
      </w:r>
      <w:r w:rsidR="004B4EDF" w:rsidRPr="008B1F04">
        <w:rPr>
          <w:rFonts w:cs="Arial"/>
        </w:rPr>
        <w:t xml:space="preserve"> Specifically, the rule provides: </w:t>
      </w:r>
    </w:p>
    <w:p w14:paraId="1106E883" w14:textId="77777777" w:rsidR="00623CA4" w:rsidRPr="008B1F04" w:rsidRDefault="00623CA4" w:rsidP="00B87774">
      <w:pPr>
        <w:ind w:left="2880"/>
        <w:rPr>
          <w:rFonts w:cs="Arial"/>
        </w:rPr>
      </w:pPr>
    </w:p>
    <w:p w14:paraId="5112AD2D" w14:textId="77777777" w:rsidR="0014413A" w:rsidRPr="008B1F04" w:rsidRDefault="004B4EDF" w:rsidP="00B87774">
      <w:pPr>
        <w:ind w:left="3600" w:right="720"/>
        <w:jc w:val="both"/>
        <w:rPr>
          <w:rFonts w:cs="Arial"/>
        </w:rPr>
      </w:pPr>
      <w:r w:rsidRPr="008B1F04">
        <w:rPr>
          <w:rFonts w:cs="Arial"/>
        </w:rPr>
        <w:t>Where the subpoena commands any custodian of public records . . . to appear for the sole purpose of producing certain records in the custodian's custody, the custodian subpoenaed may, in lieu of personal appearance, tender to the court in which the action is pending by registered or certified mail or by personal delivery, on or before the time specified in the subpoena, certified copies of the records requested together with a copy of the subpoena and an affidavit by the custodian testifying that the copies are true and correct copies and that the records were made and kept in the regular course of business, or if no such records are in the custodian's custody, an affidavit to that effect.</w:t>
      </w:r>
    </w:p>
    <w:p w14:paraId="548A6B0B" w14:textId="77777777" w:rsidR="0014413A" w:rsidRPr="008B1F04" w:rsidRDefault="0014413A" w:rsidP="00B87774">
      <w:pPr>
        <w:ind w:left="2880"/>
        <w:rPr>
          <w:rFonts w:cs="Arial"/>
        </w:rPr>
      </w:pPr>
    </w:p>
    <w:p w14:paraId="5D395AB6" w14:textId="77777777" w:rsidR="00811635" w:rsidRPr="008B1F04" w:rsidRDefault="004B4EDF" w:rsidP="00B87774">
      <w:pPr>
        <w:ind w:left="2880"/>
        <w:rPr>
          <w:rFonts w:cs="Arial"/>
        </w:rPr>
      </w:pPr>
      <w:r w:rsidRPr="008B1F04">
        <w:rPr>
          <w:rFonts w:cs="Arial"/>
        </w:rPr>
        <w:t>The Rule continues: “Any original or certified copy of records or an affidavit delivered according to the provisions of this subdivision, unless otherwise objectionable, shall be admissible in any action or proceeding without further certification or authentication.”</w:t>
      </w:r>
      <w:r w:rsidR="00493EE6" w:rsidRPr="008B1F04">
        <w:rPr>
          <w:rFonts w:cs="Arial"/>
        </w:rPr>
        <w:t xml:space="preserve"> </w:t>
      </w:r>
      <w:r w:rsidR="0083038F" w:rsidRPr="008B1F04">
        <w:rPr>
          <w:rFonts w:cs="Arial"/>
          <w:smallCaps/>
        </w:rPr>
        <w:t>N.C. R. Civ. Pro.</w:t>
      </w:r>
      <w:r w:rsidR="0083038F" w:rsidRPr="008B1F04">
        <w:rPr>
          <w:rFonts w:cs="Arial"/>
        </w:rPr>
        <w:t xml:space="preserve"> 45(c)(2)</w:t>
      </w:r>
      <w:r w:rsidR="00FF1147" w:rsidRPr="008B1F04">
        <w:rPr>
          <w:rFonts w:cs="Arial"/>
        </w:rPr>
        <w:t>.</w:t>
      </w:r>
    </w:p>
    <w:p w14:paraId="7C59F086" w14:textId="77777777" w:rsidR="00D94134" w:rsidRPr="008B1F04" w:rsidRDefault="00917C25" w:rsidP="00F83AD6">
      <w:pPr>
        <w:pStyle w:val="ListParagraph"/>
        <w:numPr>
          <w:ilvl w:val="0"/>
          <w:numId w:val="40"/>
        </w:numPr>
        <w:rPr>
          <w:rFonts w:cs="Arial"/>
        </w:rPr>
      </w:pPr>
      <w:r w:rsidRPr="008B1F04">
        <w:rPr>
          <w:b/>
        </w:rPr>
        <w:t>Relation T</w:t>
      </w:r>
      <w:r w:rsidR="00D94134" w:rsidRPr="008B1F04">
        <w:rPr>
          <w:b/>
        </w:rPr>
        <w:t xml:space="preserve">o </w:t>
      </w:r>
      <w:r w:rsidRPr="008B1F04">
        <w:rPr>
          <w:b/>
        </w:rPr>
        <w:t>Other R</w:t>
      </w:r>
      <w:r w:rsidR="00677390" w:rsidRPr="008B1F04">
        <w:rPr>
          <w:b/>
        </w:rPr>
        <w:t>ules</w:t>
      </w:r>
      <w:r w:rsidR="00B87774" w:rsidRPr="008B1F04">
        <w:rPr>
          <w:b/>
        </w:rPr>
        <w:t xml:space="preserve">. </w:t>
      </w:r>
      <w:r w:rsidR="00407610" w:rsidRPr="008B1F04">
        <w:rPr>
          <w:rFonts w:cs="Arial"/>
        </w:rPr>
        <w:t>The Official Commentary to Rule 803 states that p</w:t>
      </w:r>
      <w:r w:rsidR="00D94134" w:rsidRPr="008B1F04">
        <w:rPr>
          <w:rFonts w:cs="Arial"/>
        </w:rPr>
        <w:t>ublic records and reports that are not admissible under the Rule 803(8) exception are not admissible as business recor</w:t>
      </w:r>
      <w:r w:rsidR="004B4EDF" w:rsidRPr="008B1F04">
        <w:rPr>
          <w:rFonts w:cs="Arial"/>
        </w:rPr>
        <w:t xml:space="preserve">ds under Rule 803(6). </w:t>
      </w:r>
      <w:r w:rsidR="0083038F" w:rsidRPr="008B1F04">
        <w:rPr>
          <w:rFonts w:cs="Arial"/>
        </w:rPr>
        <w:t xml:space="preserve">Official Commentary to </w:t>
      </w:r>
      <w:r w:rsidR="0083038F" w:rsidRPr="008B1F04">
        <w:rPr>
          <w:rFonts w:cs="Arial"/>
          <w:smallCaps/>
        </w:rPr>
        <w:t>N.C. R. Evid. 803</w:t>
      </w:r>
      <w:r w:rsidR="00407610" w:rsidRPr="008B1F04">
        <w:rPr>
          <w:rFonts w:cs="Arial"/>
        </w:rPr>
        <w:t xml:space="preserve">. </w:t>
      </w:r>
      <w:r w:rsidR="00A455C7" w:rsidRPr="008B1F04">
        <w:rPr>
          <w:rFonts w:cs="Arial"/>
        </w:rPr>
        <w:t xml:space="preserve">Whether this is in fact the law in North Carolina is not clear. </w:t>
      </w:r>
      <w:r w:rsidR="00407610" w:rsidRPr="008B1F04">
        <w:rPr>
          <w:rFonts w:cs="Arial"/>
          <w:i/>
        </w:rPr>
        <w:t xml:space="preserve">See </w:t>
      </w:r>
      <w:r w:rsidR="0083038F" w:rsidRPr="008B1F04">
        <w:rPr>
          <w:rFonts w:cs="Arial"/>
        </w:rPr>
        <w:t>State v. Forte, 360 N.C. 427, 436 n.1 (2006) (assuming without deciding that this Commentary reflects the intent of the General Assembly)</w:t>
      </w:r>
      <w:r w:rsidR="00407610" w:rsidRPr="008B1F04">
        <w:rPr>
          <w:rFonts w:cs="Arial"/>
        </w:rPr>
        <w:t xml:space="preserve">. </w:t>
      </w:r>
      <w:r w:rsidR="00A455C7" w:rsidRPr="008B1F04">
        <w:rPr>
          <w:rFonts w:cs="Arial"/>
          <w:i/>
        </w:rPr>
        <w:t xml:space="preserve">But see </w:t>
      </w:r>
      <w:r w:rsidR="0083038F" w:rsidRPr="008B1F04">
        <w:rPr>
          <w:rFonts w:cs="Arial"/>
        </w:rPr>
        <w:t>State v. Wise, 178 N.C. App. 154, 160 (2006) (not mentioning this commentary but stating: “there is no merit in defendant’s argument that Rule 803(6) is limited by Rule 803(8)”)</w:t>
      </w:r>
      <w:r w:rsidR="00A455C7" w:rsidRPr="008B1F04">
        <w:rPr>
          <w:rFonts w:cs="Arial"/>
        </w:rPr>
        <w:t xml:space="preserve">; </w:t>
      </w:r>
      <w:r w:rsidR="0083038F" w:rsidRPr="008B1F04">
        <w:rPr>
          <w:rFonts w:cs="Arial"/>
        </w:rPr>
        <w:t>State v. Lyles, 172 N.C. App. 323, 325 n.1 (2005) (citing a now discredited North Carolina Supreme Court case for the proposition that Rule 803(8) does not restrict Rule 803(6))</w:t>
      </w:r>
      <w:r w:rsidR="00A455C7" w:rsidRPr="008B1F04">
        <w:rPr>
          <w:rFonts w:cs="Arial"/>
        </w:rPr>
        <w:t xml:space="preserve">. </w:t>
      </w:r>
    </w:p>
    <w:p w14:paraId="216D40EA" w14:textId="77777777" w:rsidR="00677390" w:rsidRPr="008B1F04" w:rsidRDefault="00677390" w:rsidP="00B87774">
      <w:pPr>
        <w:ind w:left="2880" w:firstLine="360"/>
        <w:rPr>
          <w:rFonts w:cs="Arial"/>
        </w:rPr>
      </w:pPr>
      <w:r w:rsidRPr="008B1F04">
        <w:rPr>
          <w:rFonts w:cs="Arial"/>
        </w:rPr>
        <w:t xml:space="preserve">The </w:t>
      </w:r>
      <w:r w:rsidR="0083038F" w:rsidRPr="008B1F04">
        <w:rPr>
          <w:rFonts w:cs="Arial"/>
        </w:rPr>
        <w:t>Rule 803(9)</w:t>
      </w:r>
      <w:r w:rsidRPr="008B1F04">
        <w:rPr>
          <w:rFonts w:cs="Arial"/>
        </w:rPr>
        <w:t xml:space="preserve"> exception for records of vital statistics overlaps, to some degree, with the public records hearsay exception.</w:t>
      </w:r>
    </w:p>
    <w:p w14:paraId="77600AC6" w14:textId="77777777" w:rsidR="00C67489" w:rsidRPr="008B1F04" w:rsidRDefault="004C0063" w:rsidP="00F83AD6">
      <w:pPr>
        <w:pStyle w:val="ListParagraph"/>
        <w:numPr>
          <w:ilvl w:val="0"/>
          <w:numId w:val="36"/>
        </w:numPr>
        <w:rPr>
          <w:rFonts w:cs="Arial"/>
        </w:rPr>
      </w:pPr>
      <w:bookmarkStart w:id="24" w:name="_Toc405983795"/>
      <w:r w:rsidRPr="00A2261E">
        <w:rPr>
          <w:rStyle w:val="Heading3Char"/>
        </w:rPr>
        <w:t>Market Reports</w:t>
      </w:r>
      <w:r w:rsidR="00B21A76" w:rsidRPr="00A2261E">
        <w:rPr>
          <w:rStyle w:val="Heading3Char"/>
        </w:rPr>
        <w:t xml:space="preserve"> &amp;</w:t>
      </w:r>
      <w:r w:rsidRPr="00A2261E">
        <w:rPr>
          <w:rStyle w:val="Heading3Char"/>
        </w:rPr>
        <w:t xml:space="preserve"> Commercial Publications</w:t>
      </w:r>
      <w:bookmarkEnd w:id="24"/>
      <w:r w:rsidR="00E61EB5" w:rsidRPr="008B1F04">
        <w:rPr>
          <w:b/>
        </w:rPr>
        <w:t xml:space="preserve">. </w:t>
      </w:r>
      <w:r w:rsidR="00BE2F60" w:rsidRPr="008B1F04">
        <w:rPr>
          <w:rFonts w:cs="Arial"/>
        </w:rPr>
        <w:t xml:space="preserve">Rule </w:t>
      </w:r>
      <w:r w:rsidR="0083038F" w:rsidRPr="008B1F04">
        <w:rPr>
          <w:rFonts w:cs="Arial"/>
        </w:rPr>
        <w:t>803(17)</w:t>
      </w:r>
      <w:r w:rsidR="00BE2F60" w:rsidRPr="008B1F04">
        <w:rPr>
          <w:rFonts w:cs="Arial"/>
        </w:rPr>
        <w:t xml:space="preserve"> provides a hearsay exception for </w:t>
      </w:r>
      <w:r w:rsidR="004D25CA" w:rsidRPr="008B1F04">
        <w:rPr>
          <w:rFonts w:cs="Arial"/>
        </w:rPr>
        <w:t>“</w:t>
      </w:r>
      <w:r w:rsidR="00643830" w:rsidRPr="008B1F04">
        <w:rPr>
          <w:rFonts w:cs="Arial"/>
        </w:rPr>
        <w:t>[</w:t>
      </w:r>
      <w:r w:rsidR="00BE2F60" w:rsidRPr="008B1F04">
        <w:rPr>
          <w:rFonts w:cs="Arial"/>
        </w:rPr>
        <w:t>m</w:t>
      </w:r>
      <w:r w:rsidR="00643830" w:rsidRPr="008B1F04">
        <w:rPr>
          <w:rFonts w:cs="Arial"/>
        </w:rPr>
        <w:t>]</w:t>
      </w:r>
      <w:proofErr w:type="spellStart"/>
      <w:r w:rsidRPr="008B1F04">
        <w:rPr>
          <w:rFonts w:cs="Arial"/>
        </w:rPr>
        <w:t>arket</w:t>
      </w:r>
      <w:proofErr w:type="spellEnd"/>
      <w:r w:rsidRPr="008B1F04">
        <w:rPr>
          <w:rFonts w:cs="Arial"/>
        </w:rPr>
        <w:t xml:space="preserve"> quotations, tabulations, lists, directories, or other published compilations, generally used and relied upon by the public or by persons in particular occupations.</w:t>
      </w:r>
      <w:r w:rsidR="004D25CA" w:rsidRPr="008B1F04">
        <w:rPr>
          <w:rFonts w:cs="Arial"/>
        </w:rPr>
        <w:t>”</w:t>
      </w:r>
      <w:r w:rsidR="00952922" w:rsidRPr="008B1F04">
        <w:rPr>
          <w:rFonts w:cs="Arial"/>
        </w:rPr>
        <w:t xml:space="preserve"> This excep</w:t>
      </w:r>
      <w:r w:rsidR="00C67489" w:rsidRPr="008B1F04">
        <w:rPr>
          <w:rFonts w:cs="Arial"/>
        </w:rPr>
        <w:t>tion arises only infrequently in criminal cases</w:t>
      </w:r>
      <w:r w:rsidR="00B21A76" w:rsidRPr="008B1F04">
        <w:rPr>
          <w:rFonts w:cs="Arial"/>
        </w:rPr>
        <w:t>. W</w:t>
      </w:r>
      <w:r w:rsidR="00C67489" w:rsidRPr="008B1F04">
        <w:rPr>
          <w:rFonts w:cs="Arial"/>
        </w:rPr>
        <w:t xml:space="preserve">hen it does arise, it typically </w:t>
      </w:r>
      <w:r w:rsidR="003A2269" w:rsidRPr="008B1F04">
        <w:rPr>
          <w:rFonts w:cs="Arial"/>
        </w:rPr>
        <w:t>is</w:t>
      </w:r>
      <w:r w:rsidR="00C67489" w:rsidRPr="008B1F04">
        <w:rPr>
          <w:rFonts w:cs="Arial"/>
        </w:rPr>
        <w:t xml:space="preserve"> with respect to valuing stolen goods. </w:t>
      </w:r>
      <w:r w:rsidR="0083038F" w:rsidRPr="008B1F04">
        <w:rPr>
          <w:rFonts w:cs="Arial"/>
        </w:rPr>
        <w:t>State v. Dallas, 205 N.C. App. 216, 220-21 (2010) (holding that the Kelley Blue Book and the NADA pricing guide fall within this exception)</w:t>
      </w:r>
      <w:r w:rsidR="00C67489" w:rsidRPr="008B1F04">
        <w:rPr>
          <w:rFonts w:cs="Arial"/>
        </w:rPr>
        <w:t>.</w:t>
      </w:r>
    </w:p>
    <w:p w14:paraId="3A8A4FDB" w14:textId="77777777" w:rsidR="00095BAB" w:rsidRPr="008B1F04" w:rsidRDefault="004C0063" w:rsidP="00F83AD6">
      <w:pPr>
        <w:pStyle w:val="ListParagraph"/>
        <w:numPr>
          <w:ilvl w:val="0"/>
          <w:numId w:val="36"/>
        </w:numPr>
        <w:rPr>
          <w:rFonts w:cs="Arial"/>
        </w:rPr>
      </w:pPr>
      <w:bookmarkStart w:id="25" w:name="_Toc405983796"/>
      <w:r w:rsidRPr="00A2261E">
        <w:rPr>
          <w:rStyle w:val="Heading3Char"/>
        </w:rPr>
        <w:t>Learned Treatises</w:t>
      </w:r>
      <w:bookmarkEnd w:id="25"/>
      <w:r w:rsidR="00E61EB5" w:rsidRPr="008B1F04">
        <w:rPr>
          <w:b/>
        </w:rPr>
        <w:t xml:space="preserve">. </w:t>
      </w:r>
      <w:r w:rsidR="0027423A" w:rsidRPr="008B1F04">
        <w:rPr>
          <w:rFonts w:cs="Arial"/>
        </w:rPr>
        <w:t xml:space="preserve">Rule 803(18) provides a hearsay exception for learned treatises. It provides that </w:t>
      </w:r>
    </w:p>
    <w:p w14:paraId="67265D32" w14:textId="77777777" w:rsidR="00095BAB" w:rsidRPr="008B1F04" w:rsidRDefault="00095BAB" w:rsidP="00F83AD6">
      <w:pPr>
        <w:rPr>
          <w:rFonts w:cs="Arial"/>
        </w:rPr>
      </w:pPr>
    </w:p>
    <w:p w14:paraId="45D242CC" w14:textId="77777777" w:rsidR="00095BAB" w:rsidRPr="008B1F04" w:rsidRDefault="00643830" w:rsidP="00411683">
      <w:pPr>
        <w:ind w:left="2880" w:right="720"/>
        <w:rPr>
          <w:rFonts w:cs="Arial"/>
        </w:rPr>
      </w:pPr>
      <w:r w:rsidRPr="008B1F04">
        <w:rPr>
          <w:rFonts w:cs="Arial"/>
        </w:rPr>
        <w:t>[</w:t>
      </w:r>
      <w:r w:rsidR="0027423A" w:rsidRPr="008B1F04">
        <w:rPr>
          <w:rFonts w:cs="Arial"/>
        </w:rPr>
        <w:t>t</w:t>
      </w:r>
      <w:r w:rsidRPr="008B1F04">
        <w:rPr>
          <w:rFonts w:cs="Arial"/>
        </w:rPr>
        <w:t>]</w:t>
      </w:r>
      <w:r w:rsidR="004C0063" w:rsidRPr="008B1F04">
        <w:rPr>
          <w:rFonts w:cs="Arial"/>
        </w:rPr>
        <w:t>o the extent called to the attention of an expert witness upon cross</w:t>
      </w:r>
      <w:r w:rsidR="004C0063" w:rsidRPr="008B1F04">
        <w:rPr>
          <w:rFonts w:eastAsia="MS Gothic" w:hAnsi="MS Gothic" w:cs="Arial"/>
        </w:rPr>
        <w:t>‑</w:t>
      </w:r>
      <w:r w:rsidR="004C0063" w:rsidRPr="008B1F04">
        <w:rPr>
          <w:rFonts w:cs="Arial"/>
        </w:rPr>
        <w:t>examination or relied upon by him in direct examination, statements contained in published treatises, periodicals, or pamphlets on a subject of history, medicine, or other science or art, established as a reliable authority by the testimony or admission of the witness or by other expert testimony or by judicial notice.</w:t>
      </w:r>
      <w:r w:rsidR="0027423A" w:rsidRPr="008B1F04">
        <w:rPr>
          <w:rFonts w:cs="Arial"/>
        </w:rPr>
        <w:t xml:space="preserve"> </w:t>
      </w:r>
    </w:p>
    <w:p w14:paraId="2E595AB6" w14:textId="77777777" w:rsidR="00095BAB" w:rsidRPr="008B1F04" w:rsidRDefault="00095BAB" w:rsidP="00F83AD6">
      <w:pPr>
        <w:rPr>
          <w:rFonts w:cs="Arial"/>
        </w:rPr>
      </w:pPr>
    </w:p>
    <w:p w14:paraId="34F9C059" w14:textId="77777777" w:rsidR="004C0063" w:rsidRPr="008B1F04" w:rsidRDefault="00B21A76" w:rsidP="00E61EB5">
      <w:pPr>
        <w:ind w:left="2160"/>
        <w:rPr>
          <w:rFonts w:cs="Arial"/>
        </w:rPr>
      </w:pPr>
      <w:r w:rsidRPr="008B1F04">
        <w:rPr>
          <w:rFonts w:cs="Arial"/>
        </w:rPr>
        <w:t xml:space="preserve">The rule </w:t>
      </w:r>
      <w:r w:rsidR="0027423A" w:rsidRPr="008B1F04">
        <w:rPr>
          <w:rFonts w:cs="Arial"/>
        </w:rPr>
        <w:t>further provides that “[</w:t>
      </w:r>
      <w:proofErr w:type="spellStart"/>
      <w:r w:rsidR="0027423A" w:rsidRPr="008B1F04">
        <w:rPr>
          <w:rFonts w:cs="Arial"/>
        </w:rPr>
        <w:t>i</w:t>
      </w:r>
      <w:proofErr w:type="spellEnd"/>
      <w:r w:rsidR="0027423A" w:rsidRPr="008B1F04">
        <w:rPr>
          <w:rFonts w:cs="Arial"/>
        </w:rPr>
        <w:t>]</w:t>
      </w:r>
      <w:r w:rsidR="004C0063" w:rsidRPr="008B1F04">
        <w:rPr>
          <w:rFonts w:cs="Arial"/>
        </w:rPr>
        <w:t>f admitted, the statements may be read into evidence but may not be received as exhibits.</w:t>
      </w:r>
      <w:r w:rsidR="0027423A" w:rsidRPr="008B1F04">
        <w:rPr>
          <w:rFonts w:cs="Arial"/>
        </w:rPr>
        <w:t xml:space="preserve">” </w:t>
      </w:r>
      <w:r w:rsidR="0083038F" w:rsidRPr="008B1F04">
        <w:rPr>
          <w:rFonts w:cs="Arial"/>
          <w:smallCaps/>
        </w:rPr>
        <w:t>N.C. R. Evid</w:t>
      </w:r>
      <w:r w:rsidR="0083038F" w:rsidRPr="008B1F04">
        <w:rPr>
          <w:rFonts w:cs="Arial"/>
        </w:rPr>
        <w:t>. 803(18)</w:t>
      </w:r>
      <w:r w:rsidR="0027423A" w:rsidRPr="008B1F04">
        <w:rPr>
          <w:rFonts w:cs="Arial"/>
        </w:rPr>
        <w:t>.</w:t>
      </w:r>
    </w:p>
    <w:p w14:paraId="6C54F411" w14:textId="77777777" w:rsidR="00C65325" w:rsidRPr="008B1F04" w:rsidRDefault="00952922" w:rsidP="00E61EB5">
      <w:pPr>
        <w:ind w:left="2160" w:firstLine="360"/>
        <w:rPr>
          <w:rFonts w:cs="Arial"/>
        </w:rPr>
      </w:pPr>
      <w:r w:rsidRPr="008B1F04">
        <w:rPr>
          <w:rFonts w:cs="Arial"/>
        </w:rPr>
        <w:t xml:space="preserve">This exception </w:t>
      </w:r>
      <w:r w:rsidR="00B21A76" w:rsidRPr="008B1F04">
        <w:rPr>
          <w:rFonts w:cs="Arial"/>
        </w:rPr>
        <w:t>rarely arises</w:t>
      </w:r>
      <w:r w:rsidRPr="008B1F04">
        <w:rPr>
          <w:rFonts w:cs="Arial"/>
        </w:rPr>
        <w:t xml:space="preserve"> in criminal cases.</w:t>
      </w:r>
      <w:r w:rsidR="00F13319" w:rsidRPr="008B1F04">
        <w:rPr>
          <w:rFonts w:cs="Arial"/>
        </w:rPr>
        <w:t xml:space="preserve"> When it does, it typically is in connection</w:t>
      </w:r>
      <w:r w:rsidRPr="008B1F04">
        <w:rPr>
          <w:rFonts w:cs="Arial"/>
        </w:rPr>
        <w:t xml:space="preserve"> to medical literature, </w:t>
      </w:r>
      <w:r w:rsidR="00C67489" w:rsidRPr="008B1F04">
        <w:rPr>
          <w:rFonts w:cs="Arial"/>
          <w:i/>
        </w:rPr>
        <w:t xml:space="preserve">compare </w:t>
      </w:r>
      <w:r w:rsidR="0083038F" w:rsidRPr="008B1F04">
        <w:rPr>
          <w:rFonts w:cs="Arial"/>
          <w:i/>
        </w:rPr>
        <w:t>State v. Oliver</w:t>
      </w:r>
      <w:r w:rsidR="0083038F" w:rsidRPr="008B1F04">
        <w:rPr>
          <w:rFonts w:cs="Arial"/>
        </w:rPr>
        <w:t>, 85 N.C. App. 1, 13-14 (1987) (literature regarding sexual abuse mentioned by the State’s clinical psychologist expert fell within this exception)</w:t>
      </w:r>
      <w:r w:rsidRPr="008B1F04">
        <w:rPr>
          <w:rFonts w:cs="Arial"/>
        </w:rPr>
        <w:t xml:space="preserve">, </w:t>
      </w:r>
      <w:r w:rsidR="00F13319" w:rsidRPr="008B1F04">
        <w:rPr>
          <w:rFonts w:cs="Arial"/>
          <w:i/>
        </w:rPr>
        <w:t>with</w:t>
      </w:r>
      <w:r w:rsidR="00C67489" w:rsidRPr="008B1F04">
        <w:rPr>
          <w:rFonts w:cs="Arial"/>
          <w:i/>
        </w:rPr>
        <w:t xml:space="preserve"> </w:t>
      </w:r>
      <w:r w:rsidR="0083038F" w:rsidRPr="008B1F04">
        <w:rPr>
          <w:rFonts w:cs="Arial"/>
          <w:i/>
        </w:rPr>
        <w:t xml:space="preserve">State v. </w:t>
      </w:r>
      <w:proofErr w:type="spellStart"/>
      <w:r w:rsidR="0083038F" w:rsidRPr="008B1F04">
        <w:rPr>
          <w:rFonts w:cs="Arial"/>
          <w:i/>
        </w:rPr>
        <w:t>Lovin</w:t>
      </w:r>
      <w:proofErr w:type="spellEnd"/>
      <w:r w:rsidR="0083038F" w:rsidRPr="008B1F04">
        <w:rPr>
          <w:rFonts w:cs="Arial"/>
        </w:rPr>
        <w:t>, 339 N.C. 695, 713-14 (1995) (referenced article was not a learned a treatise)</w:t>
      </w:r>
      <w:r w:rsidR="00C67489" w:rsidRPr="008B1F04">
        <w:rPr>
          <w:rFonts w:cs="Arial"/>
        </w:rPr>
        <w:t xml:space="preserve">, </w:t>
      </w:r>
      <w:r w:rsidRPr="008B1F04">
        <w:rPr>
          <w:rFonts w:cs="Arial"/>
        </w:rPr>
        <w:t>although the rule clearly has broader application.</w:t>
      </w:r>
    </w:p>
    <w:p w14:paraId="122412EF" w14:textId="77777777" w:rsidR="004C0063" w:rsidRPr="008B1F04" w:rsidRDefault="00B21A76" w:rsidP="00F83AD6">
      <w:pPr>
        <w:pStyle w:val="ListParagraph"/>
        <w:numPr>
          <w:ilvl w:val="0"/>
          <w:numId w:val="36"/>
        </w:numPr>
        <w:rPr>
          <w:rFonts w:cs="Arial"/>
        </w:rPr>
      </w:pPr>
      <w:bookmarkStart w:id="26" w:name="_Toc405983797"/>
      <w:r w:rsidRPr="00A2261E">
        <w:rPr>
          <w:rStyle w:val="Heading3Char"/>
        </w:rPr>
        <w:t xml:space="preserve">Reputation </w:t>
      </w:r>
      <w:proofErr w:type="gramStart"/>
      <w:r w:rsidRPr="00A2261E">
        <w:rPr>
          <w:rStyle w:val="Heading3Char"/>
        </w:rPr>
        <w:t>As</w:t>
      </w:r>
      <w:proofErr w:type="gramEnd"/>
      <w:r w:rsidRPr="00A2261E">
        <w:rPr>
          <w:rStyle w:val="Heading3Char"/>
        </w:rPr>
        <w:t xml:space="preserve"> T</w:t>
      </w:r>
      <w:r w:rsidR="004C0063" w:rsidRPr="00A2261E">
        <w:rPr>
          <w:rStyle w:val="Heading3Char"/>
        </w:rPr>
        <w:t>o Character</w:t>
      </w:r>
      <w:bookmarkEnd w:id="26"/>
      <w:r w:rsidR="00E61EB5" w:rsidRPr="008B1F04">
        <w:rPr>
          <w:b/>
        </w:rPr>
        <w:t xml:space="preserve">. </w:t>
      </w:r>
      <w:r w:rsidR="0027423A" w:rsidRPr="008B1F04">
        <w:rPr>
          <w:rFonts w:cs="Arial"/>
        </w:rPr>
        <w:t xml:space="preserve">Rule 803(21) creates a hearsay exception for </w:t>
      </w:r>
      <w:r w:rsidR="004D25CA" w:rsidRPr="008B1F04">
        <w:rPr>
          <w:rFonts w:cs="Arial"/>
        </w:rPr>
        <w:t>“</w:t>
      </w:r>
      <w:r w:rsidR="00DD0CB4" w:rsidRPr="008B1F04">
        <w:rPr>
          <w:rFonts w:cs="Arial"/>
        </w:rPr>
        <w:t>[</w:t>
      </w:r>
      <w:r w:rsidR="0027423A" w:rsidRPr="008B1F04">
        <w:rPr>
          <w:rFonts w:cs="Arial"/>
        </w:rPr>
        <w:t>r</w:t>
      </w:r>
      <w:r w:rsidR="00DD0CB4" w:rsidRPr="008B1F04">
        <w:rPr>
          <w:rFonts w:cs="Arial"/>
        </w:rPr>
        <w:t>]</w:t>
      </w:r>
      <w:proofErr w:type="spellStart"/>
      <w:r w:rsidR="004C0063" w:rsidRPr="008B1F04">
        <w:rPr>
          <w:rFonts w:cs="Arial"/>
        </w:rPr>
        <w:t>eputation</w:t>
      </w:r>
      <w:proofErr w:type="spellEnd"/>
      <w:r w:rsidR="004C0063" w:rsidRPr="008B1F04">
        <w:rPr>
          <w:rFonts w:cs="Arial"/>
        </w:rPr>
        <w:t xml:space="preserve"> of a person's character among his</w:t>
      </w:r>
      <w:r w:rsidR="0027423A" w:rsidRPr="008B1F04">
        <w:rPr>
          <w:rFonts w:cs="Arial"/>
        </w:rPr>
        <w:t xml:space="preserve"> </w:t>
      </w:r>
      <w:r w:rsidR="004C0063" w:rsidRPr="008B1F04">
        <w:rPr>
          <w:rFonts w:cs="Arial"/>
        </w:rPr>
        <w:t xml:space="preserve">associates or in the </w:t>
      </w:r>
      <w:r w:rsidR="004C0063" w:rsidRPr="008B1F04">
        <w:rPr>
          <w:rFonts w:cs="Arial"/>
        </w:rPr>
        <w:lastRenderedPageBreak/>
        <w:t>community.</w:t>
      </w:r>
      <w:r w:rsidR="004D25CA" w:rsidRPr="008B1F04">
        <w:rPr>
          <w:rFonts w:cs="Arial"/>
        </w:rPr>
        <w:t>”</w:t>
      </w:r>
      <w:r w:rsidR="00E61EB5" w:rsidRPr="008B1F04">
        <w:rPr>
          <w:rFonts w:cs="Arial"/>
        </w:rPr>
        <w:t xml:space="preserve">  </w:t>
      </w:r>
      <w:r w:rsidR="0083038F" w:rsidRPr="008B1F04">
        <w:rPr>
          <w:rFonts w:cs="Arial"/>
          <w:smallCaps/>
        </w:rPr>
        <w:t>N.C. R. Evid</w:t>
      </w:r>
      <w:r w:rsidR="00E61EB5" w:rsidRPr="008B1F04">
        <w:rPr>
          <w:rFonts w:cs="Arial"/>
        </w:rPr>
        <w:t>. 803(21</w:t>
      </w:r>
      <w:r w:rsidR="0083038F" w:rsidRPr="008B1F04">
        <w:rPr>
          <w:rFonts w:cs="Arial"/>
        </w:rPr>
        <w:t>)</w:t>
      </w:r>
      <w:r w:rsidR="004D25CA" w:rsidRPr="008B1F04">
        <w:rPr>
          <w:rFonts w:cs="Arial"/>
        </w:rPr>
        <w:t xml:space="preserve"> For a discussion of the admissibility of character evidence, including evidence of reputation, see </w:t>
      </w:r>
      <w:hyperlink r:id="rId12" w:history="1">
        <w:r w:rsidR="00DD0CB4" w:rsidRPr="008B1F04">
          <w:rPr>
            <w:rStyle w:val="Hyperlink"/>
            <w:rFonts w:cs="Arial"/>
          </w:rPr>
          <w:t>Character Evidence</w:t>
        </w:r>
      </w:hyperlink>
      <w:r w:rsidR="004D25CA" w:rsidRPr="008B1F04">
        <w:rPr>
          <w:rFonts w:cs="Arial"/>
        </w:rPr>
        <w:t xml:space="preserve"> in this Guide under Evidence.</w:t>
      </w:r>
    </w:p>
    <w:p w14:paraId="0CF71DE3" w14:textId="77777777" w:rsidR="00FB7B2C" w:rsidRPr="008B1F04" w:rsidRDefault="0027423A" w:rsidP="00F83AD6">
      <w:pPr>
        <w:pStyle w:val="ListParagraph"/>
        <w:numPr>
          <w:ilvl w:val="0"/>
          <w:numId w:val="36"/>
        </w:numPr>
        <w:rPr>
          <w:rFonts w:cs="Arial"/>
        </w:rPr>
      </w:pPr>
      <w:bookmarkStart w:id="27" w:name="_Toc405983798"/>
      <w:r w:rsidRPr="00A2261E">
        <w:rPr>
          <w:rStyle w:val="Heading3Char"/>
        </w:rPr>
        <w:t>Residual Exception</w:t>
      </w:r>
      <w:bookmarkEnd w:id="27"/>
      <w:r w:rsidR="0024117E" w:rsidRPr="008B1F04">
        <w:rPr>
          <w:b/>
        </w:rPr>
        <w:t xml:space="preserve">. </w:t>
      </w:r>
      <w:r w:rsidR="00FB7B2C" w:rsidRPr="008B1F04">
        <w:rPr>
          <w:rFonts w:cs="Arial"/>
        </w:rPr>
        <w:t xml:space="preserve">Even if an out-of-court statement does not fall within a specific hearsay exception, it still may be admissible under the residual exceptions to the hearsay rule. The rules contain two identical residual hearsay exceptions (sometimes called “catch all” exceptions). The first exception is in Rule 803(24), for which </w:t>
      </w:r>
      <w:r w:rsidR="00340BC0" w:rsidRPr="008B1F04">
        <w:rPr>
          <w:rFonts w:cs="Arial"/>
        </w:rPr>
        <w:t>availability is immaterial</w:t>
      </w:r>
      <w:r w:rsidR="00FB7B2C" w:rsidRPr="008B1F04">
        <w:rPr>
          <w:rFonts w:cs="Arial"/>
        </w:rPr>
        <w:t>; the second is in Rule 804(b)(5), which requires unavailability. The requirements for the two exceptions are virtually identical, except that decisions have “noted that the inquiry into the trustworthiness and probative value of the declaration is less strenuous when the declarant is unavailable.” 2</w:t>
      </w:r>
      <w:r w:rsidR="00FB7B2C" w:rsidRPr="008B1F04">
        <w:rPr>
          <w:rFonts w:cs="Arial"/>
          <w:smallCaps/>
        </w:rPr>
        <w:t xml:space="preserve"> Brandis &amp; Broun </w:t>
      </w:r>
      <w:r w:rsidR="00623CA4" w:rsidRPr="008B1F04">
        <w:rPr>
          <w:rFonts w:cs="Arial"/>
        </w:rPr>
        <w:t xml:space="preserve">at </w:t>
      </w:r>
      <w:r w:rsidR="0028266E" w:rsidRPr="008B1F04">
        <w:rPr>
          <w:rFonts w:cs="Arial"/>
        </w:rPr>
        <w:t>937</w:t>
      </w:r>
      <w:r w:rsidR="0023037B" w:rsidRPr="008B1F04">
        <w:rPr>
          <w:rFonts w:cs="Arial"/>
        </w:rPr>
        <w:t>.</w:t>
      </w:r>
      <w:r w:rsidR="00FB7B2C" w:rsidRPr="008B1F04">
        <w:rPr>
          <w:rFonts w:cs="Arial"/>
        </w:rPr>
        <w:t xml:space="preserve"> The explanation for a less strenuous examination when the declarant is unavailable </w:t>
      </w:r>
      <w:r w:rsidR="00340BC0" w:rsidRPr="008B1F04">
        <w:rPr>
          <w:rFonts w:cs="Arial"/>
        </w:rPr>
        <w:t xml:space="preserve">is that </w:t>
      </w:r>
      <w:r w:rsidR="0023037B" w:rsidRPr="008B1F04">
        <w:rPr>
          <w:rFonts w:cs="Arial"/>
        </w:rPr>
        <w:t>his or her</w:t>
      </w:r>
      <w:r w:rsidR="00FB7B2C" w:rsidRPr="008B1F04">
        <w:rPr>
          <w:rFonts w:cs="Arial"/>
        </w:rPr>
        <w:t xml:space="preserve"> unavailability makes the need for the testimony more acute. </w:t>
      </w:r>
      <w:r w:rsidR="00FB7B2C" w:rsidRPr="008B1F04">
        <w:rPr>
          <w:rFonts w:cs="Arial"/>
          <w:i/>
        </w:rPr>
        <w:t>See id.</w:t>
      </w:r>
      <w:r w:rsidR="0023037B" w:rsidRPr="008B1F04">
        <w:rPr>
          <w:rFonts w:cs="Arial"/>
        </w:rPr>
        <w:t xml:space="preserve"> at n.759</w:t>
      </w:r>
      <w:r w:rsidR="00FB7B2C" w:rsidRPr="008B1F04">
        <w:rPr>
          <w:rFonts w:cs="Arial"/>
        </w:rPr>
        <w:t>.</w:t>
      </w:r>
      <w:r w:rsidR="001A41D7" w:rsidRPr="008B1F04">
        <w:rPr>
          <w:rFonts w:cs="Arial"/>
        </w:rPr>
        <w:t xml:space="preserve"> The residual exceptions provide: </w:t>
      </w:r>
    </w:p>
    <w:p w14:paraId="7F4256BE" w14:textId="77777777" w:rsidR="001A41D7" w:rsidRPr="008B1F04" w:rsidRDefault="001A41D7" w:rsidP="00F83AD6">
      <w:pPr>
        <w:rPr>
          <w:rFonts w:cs="Arial"/>
        </w:rPr>
      </w:pPr>
    </w:p>
    <w:p w14:paraId="2F06A997" w14:textId="77777777" w:rsidR="00623CA4" w:rsidRPr="008B1F04" w:rsidRDefault="001A41D7" w:rsidP="00411683">
      <w:pPr>
        <w:ind w:left="2880" w:right="720"/>
        <w:rPr>
          <w:rFonts w:cs="Arial"/>
        </w:rPr>
      </w:pPr>
      <w:r w:rsidRPr="008B1F04">
        <w:rPr>
          <w:rFonts w:cs="Arial"/>
        </w:rPr>
        <w:t xml:space="preserve">A statement not specifically covered by any of the foregoing exceptions but having equivalent circumstantial guarantees of trustworthiness, if the court determines that (A) the statement is offered as evidence of a material fact; (B) the statement is </w:t>
      </w:r>
      <w:r w:rsidR="00623CA4" w:rsidRPr="008B1F04">
        <w:rPr>
          <w:rFonts w:cs="Arial"/>
        </w:rPr>
        <w:t>mor</w:t>
      </w:r>
      <w:r w:rsidRPr="008B1F04">
        <w:rPr>
          <w:rFonts w:cs="Arial"/>
        </w:rPr>
        <w:t>e probative on the point for which it is offered than any other evidence which the proponent can procure through reasonable efforts; (C)</w:t>
      </w:r>
      <w:r w:rsidR="00623CA4" w:rsidRPr="008B1F04">
        <w:rPr>
          <w:rFonts w:cs="Arial"/>
        </w:rPr>
        <w:t xml:space="preserve"> the general purposes of these r</w:t>
      </w:r>
      <w:r w:rsidRPr="008B1F04">
        <w:rPr>
          <w:rFonts w:cs="Arial"/>
        </w:rPr>
        <w:t>ules and the interests of justice will best be served by admission of the statement into evidence.</w:t>
      </w:r>
      <w:r w:rsidR="00493EE6" w:rsidRPr="008B1F04">
        <w:rPr>
          <w:rFonts w:cs="Arial"/>
        </w:rPr>
        <w:t xml:space="preserve"> </w:t>
      </w:r>
      <w:r w:rsidRPr="008B1F04">
        <w:rPr>
          <w:rFonts w:cs="Arial"/>
        </w:rPr>
        <w:t xml:space="preserve">However, a statement may not be admitted under this exception unless the proponent of it gives written notice stating his intention to offer the statement and the particulars of it, including the name and address of the declarant, to the adverse party sufficiently in advance offering the statement to provide the adverse party with a fair </w:t>
      </w:r>
      <w:r w:rsidR="00C13FA2" w:rsidRPr="008B1F04">
        <w:rPr>
          <w:rFonts w:cs="Arial"/>
        </w:rPr>
        <w:t>opportunity</w:t>
      </w:r>
      <w:r w:rsidRPr="008B1F04">
        <w:rPr>
          <w:rFonts w:cs="Arial"/>
        </w:rPr>
        <w:t xml:space="preserve"> to prepare to meet the statement. </w:t>
      </w:r>
    </w:p>
    <w:p w14:paraId="2DA4D55B" w14:textId="77777777" w:rsidR="00623CA4" w:rsidRPr="008B1F04" w:rsidRDefault="00623CA4" w:rsidP="0024117E">
      <w:pPr>
        <w:ind w:left="2160" w:right="720"/>
        <w:jc w:val="both"/>
        <w:rPr>
          <w:rFonts w:cs="Arial"/>
        </w:rPr>
      </w:pPr>
    </w:p>
    <w:p w14:paraId="2799D32F" w14:textId="77777777" w:rsidR="001A41D7" w:rsidRPr="008B1F04" w:rsidRDefault="0083038F" w:rsidP="0024117E">
      <w:pPr>
        <w:ind w:left="2160" w:right="720"/>
        <w:jc w:val="both"/>
        <w:rPr>
          <w:rFonts w:cs="Arial"/>
        </w:rPr>
      </w:pPr>
      <w:r w:rsidRPr="008B1F04">
        <w:rPr>
          <w:rFonts w:cs="Arial"/>
          <w:smallCaps/>
        </w:rPr>
        <w:t>N.C. R. Evid</w:t>
      </w:r>
      <w:r w:rsidRPr="008B1F04">
        <w:rPr>
          <w:rFonts w:cs="Arial"/>
        </w:rPr>
        <w:t>. 803(24); 804(b)(5)</w:t>
      </w:r>
      <w:r w:rsidR="001A41D7" w:rsidRPr="008B1F04">
        <w:rPr>
          <w:rFonts w:cs="Arial"/>
        </w:rPr>
        <w:t>.</w:t>
      </w:r>
    </w:p>
    <w:p w14:paraId="534784B8" w14:textId="77777777" w:rsidR="007D18F6" w:rsidRPr="008B1F04" w:rsidRDefault="007D18F6" w:rsidP="0024117E">
      <w:pPr>
        <w:ind w:left="2160" w:right="720"/>
        <w:jc w:val="both"/>
        <w:rPr>
          <w:rFonts w:cs="Arial"/>
        </w:rPr>
      </w:pPr>
    </w:p>
    <w:p w14:paraId="79BB6E17" w14:textId="77777777" w:rsidR="00FB7B2C" w:rsidRPr="008B1F04" w:rsidRDefault="0028266E" w:rsidP="002735B2">
      <w:pPr>
        <w:pStyle w:val="ListParagraph"/>
        <w:numPr>
          <w:ilvl w:val="3"/>
          <w:numId w:val="2"/>
        </w:numPr>
        <w:rPr>
          <w:rFonts w:cs="Arial"/>
        </w:rPr>
      </w:pPr>
      <w:r w:rsidRPr="008B1F04">
        <w:rPr>
          <w:b/>
        </w:rPr>
        <w:t>Six-Step Analysis</w:t>
      </w:r>
      <w:r w:rsidR="0024117E" w:rsidRPr="008B1F04">
        <w:rPr>
          <w:b/>
        </w:rPr>
        <w:t xml:space="preserve">. </w:t>
      </w:r>
      <w:r w:rsidR="00FB7B2C" w:rsidRPr="008B1F04">
        <w:rPr>
          <w:rFonts w:cs="Arial"/>
        </w:rPr>
        <w:t>Before admitting proffered hearsay evidence pursuant to the residual exceptions, the trial judge must determine that:</w:t>
      </w:r>
    </w:p>
    <w:p w14:paraId="267B7419" w14:textId="77777777" w:rsidR="00FB7B2C" w:rsidRPr="008B1F04" w:rsidRDefault="00FB7B2C" w:rsidP="0024117E">
      <w:pPr>
        <w:ind w:left="2520"/>
        <w:rPr>
          <w:rFonts w:cs="Arial"/>
        </w:rPr>
      </w:pPr>
    </w:p>
    <w:p w14:paraId="6921B3C7" w14:textId="77777777" w:rsidR="00FB7B2C" w:rsidRPr="008B1F04" w:rsidRDefault="00407610" w:rsidP="0024117E">
      <w:pPr>
        <w:ind w:left="3240"/>
        <w:rPr>
          <w:rFonts w:cs="Arial"/>
        </w:rPr>
      </w:pPr>
      <w:r w:rsidRPr="008B1F04">
        <w:rPr>
          <w:rFonts w:cs="Arial"/>
        </w:rPr>
        <w:t>(1)</w:t>
      </w:r>
      <w:r w:rsidRPr="008B1F04">
        <w:rPr>
          <w:rFonts w:cs="Arial"/>
        </w:rPr>
        <w:tab/>
      </w:r>
      <w:r w:rsidR="00FB7B2C" w:rsidRPr="008B1F04">
        <w:rPr>
          <w:rFonts w:cs="Arial"/>
        </w:rPr>
        <w:t xml:space="preserve">proper written notice was given to the adverse party; </w:t>
      </w:r>
    </w:p>
    <w:p w14:paraId="4CFACB2F" w14:textId="77777777" w:rsidR="00FB7B2C" w:rsidRPr="008B1F04" w:rsidRDefault="00FB7B2C" w:rsidP="0024117E">
      <w:pPr>
        <w:ind w:left="3600" w:hanging="360"/>
        <w:rPr>
          <w:rFonts w:cs="Arial"/>
        </w:rPr>
      </w:pPr>
      <w:r w:rsidRPr="008B1F04">
        <w:rPr>
          <w:rFonts w:cs="Arial"/>
        </w:rPr>
        <w:t>(2)</w:t>
      </w:r>
      <w:r w:rsidR="00407610" w:rsidRPr="008B1F04">
        <w:rPr>
          <w:rFonts w:cs="Arial"/>
        </w:rPr>
        <w:tab/>
      </w:r>
      <w:r w:rsidRPr="008B1F04">
        <w:rPr>
          <w:rFonts w:cs="Arial"/>
        </w:rPr>
        <w:t xml:space="preserve">the hearsay statement is not specifically covered by any other hearsay exception; </w:t>
      </w:r>
    </w:p>
    <w:p w14:paraId="4C51A782" w14:textId="77777777" w:rsidR="00FB7B2C" w:rsidRPr="008B1F04" w:rsidRDefault="00FB7B2C" w:rsidP="0024117E">
      <w:pPr>
        <w:ind w:left="3600" w:hanging="360"/>
        <w:rPr>
          <w:rFonts w:cs="Arial"/>
        </w:rPr>
      </w:pPr>
      <w:r w:rsidRPr="008B1F04">
        <w:rPr>
          <w:rFonts w:cs="Arial"/>
        </w:rPr>
        <w:t>(3)</w:t>
      </w:r>
      <w:r w:rsidR="00407610" w:rsidRPr="008B1F04">
        <w:rPr>
          <w:rFonts w:cs="Arial"/>
        </w:rPr>
        <w:tab/>
      </w:r>
      <w:r w:rsidRPr="008B1F04">
        <w:rPr>
          <w:rFonts w:cs="Arial"/>
        </w:rPr>
        <w:t xml:space="preserve">the proffered statement possesses circumstantial guarantees of trustworthiness; </w:t>
      </w:r>
    </w:p>
    <w:p w14:paraId="73941378" w14:textId="77777777" w:rsidR="00FB7B2C" w:rsidRPr="008B1F04" w:rsidRDefault="00FB7B2C" w:rsidP="0024117E">
      <w:pPr>
        <w:ind w:left="3600" w:hanging="360"/>
        <w:rPr>
          <w:rFonts w:cs="Arial"/>
        </w:rPr>
      </w:pPr>
      <w:r w:rsidRPr="008B1F04">
        <w:rPr>
          <w:rFonts w:cs="Arial"/>
        </w:rPr>
        <w:t>(4)</w:t>
      </w:r>
      <w:r w:rsidR="00407610" w:rsidRPr="008B1F04">
        <w:rPr>
          <w:rFonts w:cs="Arial"/>
        </w:rPr>
        <w:tab/>
      </w:r>
      <w:r w:rsidRPr="008B1F04">
        <w:rPr>
          <w:rFonts w:cs="Arial"/>
        </w:rPr>
        <w:t xml:space="preserve">the proffered evidence is offered as evidence of a material fact; </w:t>
      </w:r>
    </w:p>
    <w:p w14:paraId="12BBDC5B" w14:textId="77777777" w:rsidR="00FB7B2C" w:rsidRPr="008B1F04" w:rsidRDefault="00FB7B2C" w:rsidP="0024117E">
      <w:pPr>
        <w:ind w:left="3600" w:hanging="360"/>
        <w:rPr>
          <w:rFonts w:cs="Arial"/>
        </w:rPr>
      </w:pPr>
      <w:r w:rsidRPr="008B1F04">
        <w:rPr>
          <w:rFonts w:cs="Arial"/>
        </w:rPr>
        <w:t>(5)</w:t>
      </w:r>
      <w:r w:rsidR="0024117E" w:rsidRPr="008B1F04">
        <w:rPr>
          <w:rFonts w:cs="Arial"/>
        </w:rPr>
        <w:t xml:space="preserve"> </w:t>
      </w:r>
      <w:r w:rsidRPr="008B1F04">
        <w:rPr>
          <w:rFonts w:cs="Arial"/>
        </w:rPr>
        <w:t>the proffered evidence is more probative on the point for which it is offered than any other evidence which the proponent can procure through reasonable efforts; and</w:t>
      </w:r>
    </w:p>
    <w:p w14:paraId="4C0148FA" w14:textId="77777777" w:rsidR="00826072" w:rsidRPr="008B1F04" w:rsidRDefault="00407610" w:rsidP="0024117E">
      <w:pPr>
        <w:ind w:left="3600" w:hanging="360"/>
        <w:rPr>
          <w:rFonts w:cs="Arial"/>
        </w:rPr>
      </w:pPr>
      <w:r w:rsidRPr="008B1F04">
        <w:rPr>
          <w:rFonts w:cs="Arial"/>
        </w:rPr>
        <w:lastRenderedPageBreak/>
        <w:t>(6)</w:t>
      </w:r>
      <w:r w:rsidR="0024117E" w:rsidRPr="008B1F04">
        <w:rPr>
          <w:rFonts w:cs="Arial"/>
        </w:rPr>
        <w:t xml:space="preserve"> </w:t>
      </w:r>
      <w:r w:rsidR="00FB7B2C" w:rsidRPr="008B1F04">
        <w:rPr>
          <w:rFonts w:cs="Arial"/>
        </w:rPr>
        <w:t>the proffered evidence will best serve the general purposes of the rules of evidence and the interests of justice.</w:t>
      </w:r>
      <w:r w:rsidR="00826072" w:rsidRPr="008B1F04">
        <w:rPr>
          <w:rFonts w:cs="Arial"/>
        </w:rPr>
        <w:t xml:space="preserve"> </w:t>
      </w:r>
    </w:p>
    <w:p w14:paraId="68598851" w14:textId="77777777" w:rsidR="00826072" w:rsidRPr="008B1F04" w:rsidRDefault="00826072" w:rsidP="0024117E">
      <w:pPr>
        <w:ind w:left="2520"/>
        <w:rPr>
          <w:rFonts w:cs="Arial"/>
        </w:rPr>
      </w:pPr>
    </w:p>
    <w:p w14:paraId="4DCF8209" w14:textId="77777777" w:rsidR="00623CA4" w:rsidRPr="008B1F04" w:rsidRDefault="0083038F" w:rsidP="002735B2">
      <w:pPr>
        <w:ind w:left="2880"/>
        <w:rPr>
          <w:rFonts w:cs="Arial"/>
        </w:rPr>
      </w:pPr>
      <w:r w:rsidRPr="008B1F04">
        <w:rPr>
          <w:rFonts w:cs="Arial"/>
        </w:rPr>
        <w:t>State v. Triplett, 316 N.C. 1, 7-9 (1986) (adopting the six-part test for the Rule 804(b)(5) residual exception)</w:t>
      </w:r>
      <w:r w:rsidR="00623CA4" w:rsidRPr="008B1F04">
        <w:rPr>
          <w:rFonts w:cs="Arial"/>
        </w:rPr>
        <w:t xml:space="preserve">; </w:t>
      </w:r>
      <w:r w:rsidRPr="008B1F04">
        <w:rPr>
          <w:rFonts w:cs="Arial"/>
        </w:rPr>
        <w:t>State v. Smith, 315 N.C. 76, 92-96 (1985) (adopting the six-part test for the Rule 803(24) residual exception)</w:t>
      </w:r>
      <w:r w:rsidR="00623CA4" w:rsidRPr="008B1F04">
        <w:rPr>
          <w:rFonts w:cs="Arial"/>
        </w:rPr>
        <w:t>.</w:t>
      </w:r>
    </w:p>
    <w:p w14:paraId="2CBC81B7" w14:textId="77777777" w:rsidR="00826072" w:rsidRPr="008B1F04" w:rsidRDefault="00441A18" w:rsidP="002735B2">
      <w:pPr>
        <w:ind w:left="2880" w:firstLine="360"/>
        <w:rPr>
          <w:rFonts w:cs="Arial"/>
        </w:rPr>
      </w:pPr>
      <w:r w:rsidRPr="008B1F04">
        <w:rPr>
          <w:rFonts w:cs="Arial"/>
        </w:rPr>
        <w:t>The required findings and conclusions that the trial court must make as to th</w:t>
      </w:r>
      <w:r w:rsidR="00623CA4" w:rsidRPr="008B1F04">
        <w:rPr>
          <w:rFonts w:cs="Arial"/>
        </w:rPr>
        <w:t xml:space="preserve">ese factors </w:t>
      </w:r>
      <w:r w:rsidR="00B74107" w:rsidRPr="008B1F04">
        <w:rPr>
          <w:rFonts w:cs="Arial"/>
        </w:rPr>
        <w:t>are</w:t>
      </w:r>
      <w:r w:rsidR="00623CA4" w:rsidRPr="008B1F04">
        <w:rPr>
          <w:rFonts w:cs="Arial"/>
        </w:rPr>
        <w:t xml:space="preserve"> set forth below.</w:t>
      </w:r>
      <w:r w:rsidRPr="008B1F04">
        <w:rPr>
          <w:rFonts w:cs="Arial"/>
        </w:rPr>
        <w:t xml:space="preserve"> Failure to adhere to these requirements is error. </w:t>
      </w:r>
      <w:r w:rsidR="0083038F" w:rsidRPr="008B1F04">
        <w:rPr>
          <w:rFonts w:cs="Arial"/>
          <w:i/>
        </w:rPr>
        <w:t>Smith</w:t>
      </w:r>
      <w:r w:rsidR="0083038F" w:rsidRPr="008B1F04">
        <w:rPr>
          <w:rFonts w:cs="Arial"/>
        </w:rPr>
        <w:t>, 315 N.C. at 97</w:t>
      </w:r>
      <w:r w:rsidRPr="008B1F04">
        <w:rPr>
          <w:rFonts w:cs="Arial"/>
        </w:rPr>
        <w:t>.</w:t>
      </w:r>
      <w:r w:rsidR="00FB7B2C" w:rsidRPr="008B1F04">
        <w:rPr>
          <w:rFonts w:cs="Arial"/>
        </w:rPr>
        <w:t xml:space="preserve"> </w:t>
      </w:r>
    </w:p>
    <w:p w14:paraId="56C91947" w14:textId="77777777" w:rsidR="00752FCF" w:rsidRPr="008B1F04" w:rsidRDefault="0028266E" w:rsidP="00F83AD6">
      <w:pPr>
        <w:pStyle w:val="ListParagraph"/>
        <w:numPr>
          <w:ilvl w:val="3"/>
          <w:numId w:val="2"/>
        </w:numPr>
        <w:rPr>
          <w:rFonts w:cs="Arial"/>
        </w:rPr>
      </w:pPr>
      <w:r w:rsidRPr="008B1F04">
        <w:rPr>
          <w:b/>
        </w:rPr>
        <w:t>Notice</w:t>
      </w:r>
      <w:r w:rsidR="0024117E" w:rsidRPr="008B1F04">
        <w:rPr>
          <w:b/>
        </w:rPr>
        <w:t xml:space="preserve">. </w:t>
      </w:r>
      <w:r w:rsidR="000046E6" w:rsidRPr="008B1F04">
        <w:rPr>
          <w:rFonts w:cs="Arial"/>
        </w:rPr>
        <w:t>A</w:t>
      </w:r>
      <w:r w:rsidR="004C4ED3" w:rsidRPr="008B1F04">
        <w:rPr>
          <w:rFonts w:cs="Arial"/>
        </w:rPr>
        <w:t xml:space="preserve"> statement </w:t>
      </w:r>
      <w:r w:rsidR="004C0063" w:rsidRPr="008B1F04">
        <w:rPr>
          <w:rFonts w:cs="Arial"/>
        </w:rPr>
        <w:t>may not be admitted under this exception unless the proponent gives written notice stating his</w:t>
      </w:r>
      <w:r w:rsidR="004C4ED3" w:rsidRPr="008B1F04">
        <w:rPr>
          <w:rFonts w:cs="Arial"/>
        </w:rPr>
        <w:t xml:space="preserve"> or her</w:t>
      </w:r>
      <w:r w:rsidR="004C0063" w:rsidRPr="008B1F04">
        <w:rPr>
          <w:rFonts w:cs="Arial"/>
        </w:rPr>
        <w:t xml:space="preserve"> intention to offer the statement </w:t>
      </w:r>
      <w:r w:rsidR="004C4ED3" w:rsidRPr="008B1F04">
        <w:rPr>
          <w:rFonts w:cs="Arial"/>
        </w:rPr>
        <w:t xml:space="preserve">as well as its </w:t>
      </w:r>
      <w:r w:rsidR="004C0063" w:rsidRPr="008B1F04">
        <w:rPr>
          <w:rFonts w:cs="Arial"/>
        </w:rPr>
        <w:t>particulars</w:t>
      </w:r>
      <w:r w:rsidR="004C4ED3" w:rsidRPr="008B1F04">
        <w:rPr>
          <w:rFonts w:cs="Arial"/>
        </w:rPr>
        <w:t xml:space="preserve">, </w:t>
      </w:r>
      <w:r w:rsidR="00B74107" w:rsidRPr="008B1F04">
        <w:rPr>
          <w:rFonts w:cs="Arial"/>
        </w:rPr>
        <w:t>“</w:t>
      </w:r>
      <w:r w:rsidR="004C4ED3" w:rsidRPr="008B1F04">
        <w:rPr>
          <w:rFonts w:cs="Arial"/>
        </w:rPr>
        <w:t xml:space="preserve">including </w:t>
      </w:r>
      <w:r w:rsidR="004C0063" w:rsidRPr="008B1F04">
        <w:rPr>
          <w:rFonts w:cs="Arial"/>
        </w:rPr>
        <w:t>the name and address of the declarant, to the adverse party sufficiently in advance of offering the statement to provide the adverse party with a fair opportunity to prepare to meet the statement.</w:t>
      </w:r>
      <w:r w:rsidR="00B74107" w:rsidRPr="008B1F04">
        <w:rPr>
          <w:rFonts w:cs="Arial"/>
        </w:rPr>
        <w:t>”</w:t>
      </w:r>
      <w:r w:rsidR="004C0063" w:rsidRPr="008B1F04">
        <w:rPr>
          <w:rFonts w:cs="Arial"/>
        </w:rPr>
        <w:t xml:space="preserve"> </w:t>
      </w:r>
      <w:r w:rsidR="0083038F" w:rsidRPr="008B1F04">
        <w:rPr>
          <w:rFonts w:cs="Arial"/>
          <w:smallCaps/>
        </w:rPr>
        <w:t>N.C. R. Evid</w:t>
      </w:r>
      <w:r w:rsidR="0083038F" w:rsidRPr="008B1F04">
        <w:rPr>
          <w:rFonts w:cs="Arial"/>
        </w:rPr>
        <w:t>. 803(24)</w:t>
      </w:r>
      <w:r w:rsidR="004C4ED3" w:rsidRPr="008B1F04">
        <w:rPr>
          <w:rFonts w:cs="Arial"/>
        </w:rPr>
        <w:t xml:space="preserve">. </w:t>
      </w:r>
      <w:r w:rsidR="00752FCF" w:rsidRPr="008B1F04">
        <w:rPr>
          <w:rFonts w:cs="Arial"/>
        </w:rPr>
        <w:t xml:space="preserve">The notice requirement does not </w:t>
      </w:r>
      <w:r w:rsidR="00340BC0" w:rsidRPr="008B1F04">
        <w:rPr>
          <w:rFonts w:cs="Arial"/>
        </w:rPr>
        <w:t>set</w:t>
      </w:r>
      <w:r w:rsidR="00752FCF" w:rsidRPr="008B1F04">
        <w:rPr>
          <w:rFonts w:cs="Arial"/>
        </w:rPr>
        <w:t xml:space="preserve"> a fixed amount of time </w:t>
      </w:r>
      <w:r w:rsidR="00340BC0" w:rsidRPr="008B1F04">
        <w:rPr>
          <w:rFonts w:cs="Arial"/>
        </w:rPr>
        <w:t xml:space="preserve">for the notice </w:t>
      </w:r>
      <w:r w:rsidR="00752FCF" w:rsidRPr="008B1F04">
        <w:rPr>
          <w:rFonts w:cs="Arial"/>
        </w:rPr>
        <w:t xml:space="preserve">and is construed </w:t>
      </w:r>
      <w:r w:rsidR="004C4ED3" w:rsidRPr="008B1F04">
        <w:rPr>
          <w:rFonts w:cs="Arial"/>
        </w:rPr>
        <w:t>flexibly.</w:t>
      </w:r>
      <w:r w:rsidR="00CE10D5" w:rsidRPr="008B1F04">
        <w:rPr>
          <w:rFonts w:cs="Arial"/>
        </w:rPr>
        <w:t xml:space="preserve"> </w:t>
      </w:r>
      <w:r w:rsidR="0083038F" w:rsidRPr="008B1F04">
        <w:rPr>
          <w:rFonts w:cs="Arial"/>
        </w:rPr>
        <w:t>State v. Triplett, 316 N.C. 1, 12-13 (1986) (requirement was satisfied although written notice was not given until the day of trial where the prosecutor informed the defense three weeks earlier of its intent to introduce the statements)</w:t>
      </w:r>
      <w:r w:rsidR="00752FCF" w:rsidRPr="008B1F04">
        <w:rPr>
          <w:rFonts w:cs="Arial"/>
        </w:rPr>
        <w:t xml:space="preserve">; </w:t>
      </w:r>
      <w:r w:rsidR="0083038F" w:rsidRPr="008B1F04">
        <w:rPr>
          <w:rFonts w:cs="Arial"/>
        </w:rPr>
        <w:t>State v. Fowler, 353 N.C. 599, 611 (2001) (written notice provided one month before the pretrial hearing was adequate even though the State did not provide the declarant’s address in India; the State filed an amended notice with the declarant’s telephone number in India and indicating he was living at an unknown address)</w:t>
      </w:r>
      <w:r w:rsidR="00752FCF" w:rsidRPr="008B1F04">
        <w:rPr>
          <w:rFonts w:cs="Arial"/>
        </w:rPr>
        <w:t xml:space="preserve">. </w:t>
      </w:r>
      <w:r w:rsidR="00FB3AA4" w:rsidRPr="008B1F04">
        <w:rPr>
          <w:rFonts w:cs="Arial"/>
        </w:rPr>
        <w:t>“</w:t>
      </w:r>
      <w:r w:rsidR="00752FCF" w:rsidRPr="008B1F04">
        <w:rPr>
          <w:rFonts w:cs="Arial"/>
        </w:rPr>
        <w:t>The central inquiry is whether the notice gives the opposing party a fair opportunity to meet the evidence.</w:t>
      </w:r>
      <w:r w:rsidR="00FB3AA4" w:rsidRPr="008B1F04">
        <w:rPr>
          <w:rFonts w:cs="Arial"/>
        </w:rPr>
        <w:t>”</w:t>
      </w:r>
      <w:r w:rsidR="00752FCF" w:rsidRPr="008B1F04">
        <w:rPr>
          <w:rFonts w:cs="Arial"/>
        </w:rPr>
        <w:t xml:space="preserve"> </w:t>
      </w:r>
      <w:r w:rsidR="0083038F" w:rsidRPr="008B1F04">
        <w:rPr>
          <w:rFonts w:cs="Arial"/>
        </w:rPr>
        <w:t>State v. King, 353 N.C. 457, 480 (2001) (citation omitted)</w:t>
      </w:r>
      <w:r w:rsidR="00752FCF" w:rsidRPr="008B1F04">
        <w:rPr>
          <w:rFonts w:cs="Arial"/>
        </w:rPr>
        <w:t xml:space="preserve">. </w:t>
      </w:r>
      <w:r w:rsidR="00752FCF" w:rsidRPr="008B1F04">
        <w:rPr>
          <w:rFonts w:cs="Arial"/>
          <w:i/>
        </w:rPr>
        <w:t xml:space="preserve">Compare </w:t>
      </w:r>
      <w:r w:rsidR="0083038F" w:rsidRPr="008B1F04">
        <w:rPr>
          <w:rFonts w:cs="Arial"/>
        </w:rPr>
        <w:t>State v. Anthony, 354 N.C. 372, 390 (2001) (notice adequate when given after jury selection but five days before opening statements began)</w:t>
      </w:r>
      <w:r w:rsidR="008C4130" w:rsidRPr="008B1F04">
        <w:rPr>
          <w:rFonts w:cs="Arial"/>
        </w:rPr>
        <w:t>,</w:t>
      </w:r>
      <w:r w:rsidR="00411FCF" w:rsidRPr="008B1F04">
        <w:rPr>
          <w:rFonts w:cs="Arial"/>
        </w:rPr>
        <w:t xml:space="preserve"> </w:t>
      </w:r>
      <w:r w:rsidR="0083038F" w:rsidRPr="008B1F04">
        <w:rPr>
          <w:rFonts w:cs="Arial"/>
          <w:i/>
        </w:rPr>
        <w:t>King</w:t>
      </w:r>
      <w:r w:rsidR="0083038F" w:rsidRPr="008B1F04">
        <w:rPr>
          <w:rFonts w:cs="Arial"/>
        </w:rPr>
        <w:t>, 353 N.C. at 480 (2001) (notice was adequate where the State gave notice of its intent to introduce the statements several days before the pretrial hearing on the admissibility of the statements and provided the actual statements on the day of the hearing; the trial court deferred its final ruling until the defense had an opportunity to review police department files for evidence that the declarants had recanted; the court also noted that the public defender was representing the defendant and that office had an investigator on staff)</w:t>
      </w:r>
      <w:r w:rsidR="008C4130" w:rsidRPr="008B1F04">
        <w:rPr>
          <w:rFonts w:cs="Arial"/>
        </w:rPr>
        <w:t>,</w:t>
      </w:r>
      <w:r w:rsidR="00752FCF" w:rsidRPr="008B1F04">
        <w:rPr>
          <w:rFonts w:cs="Arial"/>
        </w:rPr>
        <w:t xml:space="preserve"> </w:t>
      </w:r>
      <w:r w:rsidR="0083038F" w:rsidRPr="008B1F04">
        <w:rPr>
          <w:rFonts w:cs="Arial"/>
        </w:rPr>
        <w:t>State v. Faucette, 326 N.C. 676, 686 (1990) (notice adequate when given the day before trial but the State did not seek to introduce the evidence until fifteen days later)</w:t>
      </w:r>
      <w:r w:rsidR="00340BC0" w:rsidRPr="008B1F04">
        <w:rPr>
          <w:rFonts w:cs="Arial"/>
        </w:rPr>
        <w:t xml:space="preserve">, </w:t>
      </w:r>
      <w:r w:rsidR="00340BC0" w:rsidRPr="008B1F04">
        <w:rPr>
          <w:rFonts w:cs="Arial"/>
          <w:i/>
        </w:rPr>
        <w:t xml:space="preserve">and </w:t>
      </w:r>
      <w:r w:rsidR="0083038F" w:rsidRPr="008B1F04">
        <w:rPr>
          <w:rFonts w:cs="Arial"/>
        </w:rPr>
        <w:t>State v. Nichols, 321 N.C. 616, 622-23 (1988) (notice proper when given during trial where the defendant obtained the relevant statement during discovery, the defendant learned of the declarant’s identity on the day trial began, five weeks before its introduction, and the trial court gave the defendant an extra day to meet the statement)</w:t>
      </w:r>
      <w:r w:rsidR="00F525AE" w:rsidRPr="008B1F04">
        <w:rPr>
          <w:rFonts w:cs="Arial"/>
        </w:rPr>
        <w:t xml:space="preserve">; </w:t>
      </w:r>
      <w:r w:rsidR="00752FCF" w:rsidRPr="008B1F04">
        <w:rPr>
          <w:rFonts w:cs="Arial"/>
          <w:i/>
        </w:rPr>
        <w:t xml:space="preserve">with </w:t>
      </w:r>
      <w:r w:rsidR="0083038F" w:rsidRPr="008B1F04">
        <w:rPr>
          <w:rFonts w:cs="Arial"/>
        </w:rPr>
        <w:t>State v. Hester, 343 N.C. 266, 271 (1996) (evidence excluded where defense counsel failed to give notice)</w:t>
      </w:r>
      <w:r w:rsidR="003D1353" w:rsidRPr="008B1F04">
        <w:rPr>
          <w:rFonts w:cs="Arial"/>
        </w:rPr>
        <w:t>,</w:t>
      </w:r>
      <w:r w:rsidR="00752FCF" w:rsidRPr="008B1F04">
        <w:rPr>
          <w:rFonts w:cs="Arial"/>
        </w:rPr>
        <w:t xml:space="preserve"> </w:t>
      </w:r>
      <w:r w:rsidR="0083038F" w:rsidRPr="008B1F04">
        <w:rPr>
          <w:rFonts w:cs="Arial"/>
        </w:rPr>
        <w:t xml:space="preserve">State v. Lawson, 173 N.C. App. 270, 277-78 (2005) (evidence was inadmissible where </w:t>
      </w:r>
      <w:r w:rsidR="0083038F" w:rsidRPr="008B1F04">
        <w:rPr>
          <w:rFonts w:cs="Arial"/>
        </w:rPr>
        <w:lastRenderedPageBreak/>
        <w:t>the State failed to provide the defendant with written notice in advance of its intent to offer the statement regarding the defendant's identity)</w:t>
      </w:r>
      <w:r w:rsidR="003D1353" w:rsidRPr="008B1F04">
        <w:rPr>
          <w:rFonts w:cs="Arial"/>
        </w:rPr>
        <w:t xml:space="preserve">, </w:t>
      </w:r>
      <w:r w:rsidR="003D1353" w:rsidRPr="008B1F04">
        <w:rPr>
          <w:rFonts w:cs="Arial"/>
          <w:i/>
        </w:rPr>
        <w:t>and</w:t>
      </w:r>
      <w:r w:rsidR="00DF49B7" w:rsidRPr="008B1F04">
        <w:rPr>
          <w:rFonts w:cs="Arial"/>
        </w:rPr>
        <w:t xml:space="preserve"> </w:t>
      </w:r>
      <w:r w:rsidR="0083038F" w:rsidRPr="008B1F04">
        <w:rPr>
          <w:rFonts w:cs="Arial"/>
        </w:rPr>
        <w:t>State v. Carrigan, 161 N.C. App. 256, 261-62 (2003) (defendant’s notice given shortly before the issue was heard was insufficient)</w:t>
      </w:r>
      <w:r w:rsidR="00752FCF" w:rsidRPr="008B1F04">
        <w:rPr>
          <w:rFonts w:cs="Arial"/>
        </w:rPr>
        <w:t>.</w:t>
      </w:r>
    </w:p>
    <w:p w14:paraId="7BDBA3CA" w14:textId="77777777" w:rsidR="003D1353" w:rsidRPr="008B1F04" w:rsidRDefault="003D1353" w:rsidP="0024117E">
      <w:pPr>
        <w:ind w:left="2880" w:firstLine="360"/>
        <w:rPr>
          <w:rFonts w:cs="Arial"/>
        </w:rPr>
      </w:pPr>
      <w:r w:rsidRPr="008B1F04">
        <w:rPr>
          <w:rFonts w:cs="Arial"/>
        </w:rPr>
        <w:t xml:space="preserve">The trial court must make a determination that proper notice was given and </w:t>
      </w:r>
      <w:r w:rsidR="00144065" w:rsidRPr="008B1F04">
        <w:rPr>
          <w:rFonts w:cs="Arial"/>
        </w:rPr>
        <w:t>“</w:t>
      </w:r>
      <w:r w:rsidRPr="008B1F04">
        <w:rPr>
          <w:rFonts w:cs="Arial"/>
        </w:rPr>
        <w:t>must include that determination in the record;</w:t>
      </w:r>
      <w:r w:rsidR="00623CA4" w:rsidRPr="008B1F04">
        <w:rPr>
          <w:rFonts w:cs="Arial"/>
        </w:rPr>
        <w:t xml:space="preserve"> detailed</w:t>
      </w:r>
      <w:r w:rsidRPr="008B1F04">
        <w:rPr>
          <w:rFonts w:cs="Arial"/>
        </w:rPr>
        <w:t xml:space="preserve"> findings of fact are not required.</w:t>
      </w:r>
      <w:r w:rsidR="00144065" w:rsidRPr="008B1F04">
        <w:rPr>
          <w:rFonts w:cs="Arial"/>
        </w:rPr>
        <w:t>”</w:t>
      </w:r>
      <w:r w:rsidRPr="008B1F04">
        <w:rPr>
          <w:rFonts w:cs="Arial"/>
        </w:rPr>
        <w:t xml:space="preserve"> </w:t>
      </w:r>
      <w:r w:rsidR="0083038F" w:rsidRPr="008B1F04">
        <w:rPr>
          <w:rFonts w:cs="Arial"/>
          <w:i/>
        </w:rPr>
        <w:t>Smith</w:t>
      </w:r>
      <w:r w:rsidR="0083038F" w:rsidRPr="008B1F04">
        <w:rPr>
          <w:rFonts w:cs="Arial"/>
        </w:rPr>
        <w:t>, 315 N.C. at 92</w:t>
      </w:r>
      <w:r w:rsidRPr="008B1F04">
        <w:rPr>
          <w:rFonts w:cs="Arial"/>
        </w:rPr>
        <w:t>.</w:t>
      </w:r>
      <w:r w:rsidR="00493EE6" w:rsidRPr="008B1F04">
        <w:rPr>
          <w:rFonts w:cs="Arial"/>
        </w:rPr>
        <w:t xml:space="preserve"> </w:t>
      </w:r>
    </w:p>
    <w:p w14:paraId="342764E9" w14:textId="77777777" w:rsidR="000046E6" w:rsidRPr="008B1F04" w:rsidRDefault="000046E6" w:rsidP="00F83AD6">
      <w:pPr>
        <w:pStyle w:val="ListParagraph"/>
        <w:numPr>
          <w:ilvl w:val="3"/>
          <w:numId w:val="2"/>
        </w:numPr>
        <w:rPr>
          <w:rFonts w:cs="Arial"/>
        </w:rPr>
      </w:pPr>
      <w:r w:rsidRPr="008B1F04">
        <w:rPr>
          <w:b/>
        </w:rPr>
        <w:t>No Other Exception Applies</w:t>
      </w:r>
      <w:r w:rsidR="002735B2" w:rsidRPr="008B1F04">
        <w:rPr>
          <w:b/>
        </w:rPr>
        <w:t xml:space="preserve">. </w:t>
      </w:r>
      <w:r w:rsidRPr="008B1F04">
        <w:rPr>
          <w:rFonts w:cs="Arial"/>
        </w:rPr>
        <w:t xml:space="preserve">As noted above, the residual exception comes into play only when no other hearsay exception applies. Thus, for example, if the State is unsuccessful in admitting a statement by a non-testifying child sexual assault victim as an excited utterance or </w:t>
      </w:r>
      <w:r w:rsidR="00340BC0" w:rsidRPr="008B1F04">
        <w:rPr>
          <w:rFonts w:cs="Arial"/>
        </w:rPr>
        <w:t xml:space="preserve">as </w:t>
      </w:r>
      <w:r w:rsidRPr="008B1F04">
        <w:rPr>
          <w:rFonts w:cs="Arial"/>
        </w:rPr>
        <w:t>a statement for purposes of medical diagnosis and treatment, the State then may argue that the residual exception applies. Put another way, this is the exception of last resort.</w:t>
      </w:r>
    </w:p>
    <w:p w14:paraId="6657011B" w14:textId="77777777" w:rsidR="006A7743" w:rsidRPr="008B1F04" w:rsidRDefault="006A7743" w:rsidP="002735B2">
      <w:pPr>
        <w:ind w:left="2880" w:firstLine="360"/>
        <w:rPr>
          <w:rFonts w:cs="Arial"/>
        </w:rPr>
      </w:pPr>
      <w:r w:rsidRPr="008B1F04">
        <w:rPr>
          <w:rFonts w:cs="Arial"/>
        </w:rPr>
        <w:t xml:space="preserve">Although detailed findings of fact are not required, the trial court must enter his or her conclusion as to this element of the test in the record. </w:t>
      </w:r>
      <w:r w:rsidR="0083038F" w:rsidRPr="008B1F04">
        <w:rPr>
          <w:rFonts w:cs="Arial"/>
          <w:i/>
        </w:rPr>
        <w:t xml:space="preserve">Smith, </w:t>
      </w:r>
      <w:r w:rsidR="0083038F" w:rsidRPr="008B1F04">
        <w:rPr>
          <w:rFonts w:cs="Arial"/>
        </w:rPr>
        <w:t>315 N.C. at 93</w:t>
      </w:r>
      <w:r w:rsidRPr="008B1F04">
        <w:rPr>
          <w:rFonts w:cs="Arial"/>
        </w:rPr>
        <w:t>.</w:t>
      </w:r>
      <w:r w:rsidRPr="008B1F04">
        <w:rPr>
          <w:rFonts w:cs="Arial"/>
          <w:i/>
        </w:rPr>
        <w:t xml:space="preserve"> </w:t>
      </w:r>
    </w:p>
    <w:p w14:paraId="32D24712" w14:textId="77777777" w:rsidR="00850145" w:rsidRPr="008B1F04" w:rsidRDefault="000046E6" w:rsidP="00F83AD6">
      <w:pPr>
        <w:pStyle w:val="ListParagraph"/>
        <w:numPr>
          <w:ilvl w:val="3"/>
          <w:numId w:val="2"/>
        </w:numPr>
        <w:rPr>
          <w:rFonts w:cs="Arial"/>
        </w:rPr>
      </w:pPr>
      <w:r w:rsidRPr="008B1F04">
        <w:rPr>
          <w:b/>
        </w:rPr>
        <w:t>Trustworthiness</w:t>
      </w:r>
      <w:r w:rsidR="002735B2" w:rsidRPr="008B1F04">
        <w:rPr>
          <w:b/>
        </w:rPr>
        <w:t xml:space="preserve">. </w:t>
      </w:r>
      <w:r w:rsidR="00FB7B2C" w:rsidRPr="008B1F04">
        <w:rPr>
          <w:rFonts w:cs="Arial"/>
        </w:rPr>
        <w:t xml:space="preserve">The third </w:t>
      </w:r>
      <w:r w:rsidR="009E3DAC" w:rsidRPr="008B1F04">
        <w:rPr>
          <w:rFonts w:cs="Arial"/>
        </w:rPr>
        <w:t xml:space="preserve">and most significant step in the analysis, </w:t>
      </w:r>
      <w:r w:rsidR="009E3DAC" w:rsidRPr="008B1F04">
        <w:rPr>
          <w:rFonts w:cs="Arial"/>
          <w:i/>
        </w:rPr>
        <w:t xml:space="preserve">Smith, </w:t>
      </w:r>
      <w:r w:rsidR="009E3DAC" w:rsidRPr="008B1F04">
        <w:rPr>
          <w:rFonts w:cs="Arial"/>
        </w:rPr>
        <w:t>315 N.C. at 93,</w:t>
      </w:r>
      <w:r w:rsidR="009E3DAC" w:rsidRPr="008B1F04">
        <w:rPr>
          <w:rFonts w:cs="Arial"/>
          <w:i/>
        </w:rPr>
        <w:t xml:space="preserve"> </w:t>
      </w:r>
      <w:r w:rsidR="00FB7B2C" w:rsidRPr="008B1F04">
        <w:rPr>
          <w:rFonts w:cs="Arial"/>
        </w:rPr>
        <w:t xml:space="preserve">requires a determination of whether the statement has circumstantial guarantees of trustworthiness. When evaluating circumstantial guarantees of trustworthiness, </w:t>
      </w:r>
      <w:r w:rsidR="009E3DAC" w:rsidRPr="008B1F04">
        <w:rPr>
          <w:rFonts w:cs="Arial"/>
        </w:rPr>
        <w:t>relevant factors include</w:t>
      </w:r>
      <w:r w:rsidR="00850145" w:rsidRPr="008B1F04">
        <w:rPr>
          <w:rFonts w:cs="Arial"/>
        </w:rPr>
        <w:t>:</w:t>
      </w:r>
    </w:p>
    <w:p w14:paraId="47FD4459" w14:textId="77777777" w:rsidR="00850145" w:rsidRPr="008B1F04" w:rsidRDefault="00850145" w:rsidP="00F83AD6">
      <w:pPr>
        <w:rPr>
          <w:rFonts w:cs="Arial"/>
        </w:rPr>
      </w:pPr>
    </w:p>
    <w:p w14:paraId="5A33D6C2" w14:textId="77777777" w:rsidR="00850145" w:rsidRPr="008B1F04" w:rsidRDefault="00FB7B2C" w:rsidP="002735B2">
      <w:pPr>
        <w:ind w:left="3960" w:hanging="360"/>
        <w:rPr>
          <w:rFonts w:cs="Arial"/>
        </w:rPr>
      </w:pPr>
      <w:r w:rsidRPr="008B1F04">
        <w:rPr>
          <w:rFonts w:cs="Arial"/>
        </w:rPr>
        <w:t xml:space="preserve">(1) </w:t>
      </w:r>
      <w:r w:rsidR="00850145" w:rsidRPr="008B1F04">
        <w:rPr>
          <w:rFonts w:cs="Arial"/>
        </w:rPr>
        <w:t xml:space="preserve">whether the declarant had </w:t>
      </w:r>
      <w:r w:rsidRPr="008B1F04">
        <w:rPr>
          <w:rFonts w:cs="Arial"/>
        </w:rPr>
        <w:t xml:space="preserve">personal knowledge of the underlying events, </w:t>
      </w:r>
    </w:p>
    <w:p w14:paraId="11C2B4CF" w14:textId="77777777" w:rsidR="00850145" w:rsidRPr="008B1F04" w:rsidRDefault="00FB7B2C" w:rsidP="002735B2">
      <w:pPr>
        <w:ind w:left="3960" w:hanging="360"/>
        <w:rPr>
          <w:rFonts w:cs="Arial"/>
        </w:rPr>
      </w:pPr>
      <w:r w:rsidRPr="008B1F04">
        <w:rPr>
          <w:rFonts w:cs="Arial"/>
        </w:rPr>
        <w:t xml:space="preserve">(2) </w:t>
      </w:r>
      <w:r w:rsidR="00850145" w:rsidRPr="008B1F04">
        <w:rPr>
          <w:rFonts w:cs="Arial"/>
        </w:rPr>
        <w:t xml:space="preserve">whether the declarant is motivated to speak the truth or otherwise, </w:t>
      </w:r>
    </w:p>
    <w:p w14:paraId="759F24FD" w14:textId="77777777" w:rsidR="00850145" w:rsidRPr="008B1F04" w:rsidRDefault="00FB7B2C" w:rsidP="002735B2">
      <w:pPr>
        <w:ind w:left="3960" w:hanging="360"/>
        <w:rPr>
          <w:rFonts w:cs="Arial"/>
        </w:rPr>
      </w:pPr>
      <w:r w:rsidRPr="008B1F04">
        <w:rPr>
          <w:rFonts w:cs="Arial"/>
        </w:rPr>
        <w:t xml:space="preserve">(3) whether the declarant has ever recanted the statement, and </w:t>
      </w:r>
    </w:p>
    <w:p w14:paraId="755AFC29" w14:textId="77777777" w:rsidR="00850145" w:rsidRPr="008B1F04" w:rsidRDefault="00FB7B2C" w:rsidP="002735B2">
      <w:pPr>
        <w:ind w:left="3960" w:hanging="360"/>
        <w:rPr>
          <w:rFonts w:cs="Arial"/>
        </w:rPr>
      </w:pPr>
      <w:r w:rsidRPr="008B1F04">
        <w:rPr>
          <w:rFonts w:cs="Arial"/>
        </w:rPr>
        <w:t>(4) the practical availability of the declarant at trial for meaningful cross examination.</w:t>
      </w:r>
    </w:p>
    <w:p w14:paraId="3E88B3A5" w14:textId="77777777" w:rsidR="00850145" w:rsidRPr="008B1F04" w:rsidRDefault="00850145" w:rsidP="00F83AD6">
      <w:pPr>
        <w:rPr>
          <w:rFonts w:cs="Arial"/>
        </w:rPr>
      </w:pPr>
    </w:p>
    <w:p w14:paraId="1D60996F" w14:textId="77777777" w:rsidR="00FB7B2C" w:rsidRPr="008B1F04" w:rsidRDefault="0083038F" w:rsidP="002735B2">
      <w:pPr>
        <w:ind w:left="2880"/>
        <w:rPr>
          <w:rFonts w:cs="Arial"/>
        </w:rPr>
      </w:pPr>
      <w:r w:rsidRPr="008B1F04">
        <w:rPr>
          <w:rFonts w:cs="Arial"/>
        </w:rPr>
        <w:t>State v. Fowler, 353 N.C. 599, 612 (2001)</w:t>
      </w:r>
      <w:r w:rsidR="00CE10D5" w:rsidRPr="008B1F04">
        <w:rPr>
          <w:rFonts w:cs="Arial"/>
        </w:rPr>
        <w:t xml:space="preserve">; </w:t>
      </w:r>
      <w:r w:rsidRPr="008B1F04">
        <w:rPr>
          <w:rFonts w:cs="Arial"/>
        </w:rPr>
        <w:t>State v. Sargent, 365 N.C. 58, 64 (2011)</w:t>
      </w:r>
      <w:r w:rsidR="00507D2F" w:rsidRPr="008B1F04">
        <w:rPr>
          <w:rFonts w:cs="Arial"/>
        </w:rPr>
        <w:t xml:space="preserve">; </w:t>
      </w:r>
      <w:r w:rsidRPr="008B1F04">
        <w:rPr>
          <w:rFonts w:cs="Arial"/>
        </w:rPr>
        <w:t>State v. Valentine, 357 N.C. 512, 518 (2003)</w:t>
      </w:r>
      <w:r w:rsidR="00850145" w:rsidRPr="008B1F04">
        <w:rPr>
          <w:rFonts w:cs="Arial"/>
        </w:rPr>
        <w:t xml:space="preserve">; </w:t>
      </w:r>
      <w:r w:rsidRPr="008B1F04">
        <w:rPr>
          <w:rFonts w:cs="Arial"/>
        </w:rPr>
        <w:t>State v. Triplett, 316 N.C. 1, 10-11 (1986)</w:t>
      </w:r>
      <w:r w:rsidR="00FB7B2C" w:rsidRPr="008B1F04">
        <w:rPr>
          <w:rFonts w:cs="Arial"/>
        </w:rPr>
        <w:t xml:space="preserve">; </w:t>
      </w:r>
      <w:r w:rsidRPr="008B1F04">
        <w:rPr>
          <w:rFonts w:cs="Arial"/>
          <w:i/>
        </w:rPr>
        <w:t>Smith</w:t>
      </w:r>
      <w:r w:rsidRPr="008B1F04">
        <w:rPr>
          <w:rFonts w:cs="Arial"/>
        </w:rPr>
        <w:t>, 315 N.C. at 93–94</w:t>
      </w:r>
      <w:r w:rsidR="00D73945" w:rsidRPr="008B1F04">
        <w:rPr>
          <w:rFonts w:cs="Arial"/>
        </w:rPr>
        <w:t>.</w:t>
      </w:r>
      <w:r w:rsidR="00FB7B2C" w:rsidRPr="008B1F04">
        <w:rPr>
          <w:rFonts w:cs="Arial"/>
        </w:rPr>
        <w:t xml:space="preserve"> </w:t>
      </w:r>
      <w:r w:rsidR="00D73945" w:rsidRPr="008B1F04">
        <w:rPr>
          <w:rFonts w:cs="Arial"/>
        </w:rPr>
        <w:t>This list is not exhaustive.</w:t>
      </w:r>
      <w:r w:rsidR="00507D2F" w:rsidRPr="008B1F04">
        <w:rPr>
          <w:rFonts w:cs="Arial"/>
        </w:rPr>
        <w:t xml:space="preserve"> </w:t>
      </w:r>
      <w:r w:rsidRPr="008B1F04">
        <w:rPr>
          <w:rFonts w:cs="Arial"/>
          <w:i/>
        </w:rPr>
        <w:t>Sargent</w:t>
      </w:r>
      <w:r w:rsidRPr="008B1F04">
        <w:rPr>
          <w:rFonts w:cs="Arial"/>
        </w:rPr>
        <w:t>, 365 N.C. at 64</w:t>
      </w:r>
      <w:r w:rsidR="00D73945" w:rsidRPr="008B1F04">
        <w:rPr>
          <w:rFonts w:cs="Arial"/>
        </w:rPr>
        <w:t>. Other relevant factors include the nature and character of the statement</w:t>
      </w:r>
      <w:r w:rsidR="00340BC0" w:rsidRPr="008B1F04">
        <w:rPr>
          <w:rFonts w:cs="Arial"/>
        </w:rPr>
        <w:t>,</w:t>
      </w:r>
      <w:r w:rsidR="00D73945" w:rsidRPr="008B1F04">
        <w:rPr>
          <w:rFonts w:cs="Arial"/>
        </w:rPr>
        <w:t xml:space="preserve"> the relationship of the parties, </w:t>
      </w:r>
      <w:r w:rsidRPr="008B1F04">
        <w:rPr>
          <w:rFonts w:cs="Arial"/>
          <w:i/>
        </w:rPr>
        <w:t xml:space="preserve">Triplett, </w:t>
      </w:r>
      <w:r w:rsidRPr="008B1F04">
        <w:rPr>
          <w:rFonts w:cs="Arial"/>
        </w:rPr>
        <w:t>316 N.C. at 11;</w:t>
      </w:r>
      <w:r w:rsidRPr="008B1F04">
        <w:rPr>
          <w:rFonts w:cs="Arial"/>
          <w:i/>
        </w:rPr>
        <w:t xml:space="preserve"> King, </w:t>
      </w:r>
      <w:r w:rsidRPr="008B1F04">
        <w:rPr>
          <w:rFonts w:cs="Arial"/>
        </w:rPr>
        <w:t>353 N.C. at 479</w:t>
      </w:r>
      <w:r w:rsidR="00D73945" w:rsidRPr="008B1F04">
        <w:rPr>
          <w:rFonts w:cs="Arial"/>
        </w:rPr>
        <w:t>, and whether corroborating evidence exists.</w:t>
      </w:r>
      <w:r w:rsidR="00493EE6" w:rsidRPr="008B1F04">
        <w:rPr>
          <w:rFonts w:cs="Arial"/>
        </w:rPr>
        <w:t xml:space="preserve"> </w:t>
      </w:r>
      <w:r w:rsidRPr="008B1F04">
        <w:rPr>
          <w:rFonts w:cs="Arial"/>
        </w:rPr>
        <w:t>State v. Nichols, 321 N.C. 616, 625 (1988)</w:t>
      </w:r>
      <w:r w:rsidR="00D73945" w:rsidRPr="008B1F04">
        <w:rPr>
          <w:rFonts w:cs="Arial"/>
        </w:rPr>
        <w:t>.</w:t>
      </w:r>
      <w:r w:rsidR="00493EE6" w:rsidRPr="008B1F04">
        <w:rPr>
          <w:rFonts w:cs="Arial"/>
        </w:rPr>
        <w:t xml:space="preserve"> </w:t>
      </w:r>
    </w:p>
    <w:p w14:paraId="1DEAFEA9" w14:textId="77777777" w:rsidR="00FB7B2C" w:rsidRPr="008B1F04" w:rsidRDefault="00FB7B2C" w:rsidP="002735B2">
      <w:pPr>
        <w:ind w:left="2880" w:firstLine="360"/>
        <w:rPr>
          <w:rFonts w:cs="Arial"/>
        </w:rPr>
      </w:pPr>
      <w:r w:rsidRPr="008B1F04">
        <w:rPr>
          <w:rFonts w:cs="Arial"/>
        </w:rPr>
        <w:t>Regarding the fourth requirement—the practical availability of the decla</w:t>
      </w:r>
      <w:r w:rsidR="0027583E" w:rsidRPr="008B1F04">
        <w:rPr>
          <w:rFonts w:cs="Arial"/>
        </w:rPr>
        <w:t xml:space="preserve">rant—the court should consider </w:t>
      </w:r>
      <w:r w:rsidRPr="008B1F04">
        <w:rPr>
          <w:rFonts w:cs="Arial"/>
        </w:rPr>
        <w:t xml:space="preserve">the reason, for the declarant’s </w:t>
      </w:r>
      <w:r w:rsidR="0027583E" w:rsidRPr="008B1F04">
        <w:rPr>
          <w:rFonts w:cs="Arial"/>
        </w:rPr>
        <w:t xml:space="preserve">unavailability. </w:t>
      </w:r>
      <w:r w:rsidR="0083038F" w:rsidRPr="008B1F04">
        <w:rPr>
          <w:rFonts w:cs="Arial"/>
        </w:rPr>
        <w:t>State v. Garner, 330 N.C. 273, 285 n.1 (1991)</w:t>
      </w:r>
      <w:r w:rsidRPr="008B1F04">
        <w:rPr>
          <w:rFonts w:cs="Arial"/>
        </w:rPr>
        <w:t>. “[W]hen a witness is incompetent to testify at trial, prior statements made with personal knowledge are not automatically rejected” on grounds th</w:t>
      </w:r>
      <w:r w:rsidR="00340BC0" w:rsidRPr="008B1F04">
        <w:rPr>
          <w:rFonts w:cs="Arial"/>
        </w:rPr>
        <w:t xml:space="preserve">at they lack </w:t>
      </w:r>
      <w:r w:rsidRPr="008B1F04">
        <w:rPr>
          <w:rFonts w:cs="Arial"/>
        </w:rPr>
        <w:t>the required guarantees trustworthiness</w:t>
      </w:r>
      <w:r w:rsidR="0083038F" w:rsidRPr="008B1F04">
        <w:rPr>
          <w:rFonts w:cs="Arial"/>
        </w:rPr>
        <w:t xml:space="preserve">. </w:t>
      </w:r>
      <w:r w:rsidR="0083038F" w:rsidRPr="008B1F04">
        <w:rPr>
          <w:rFonts w:cs="Arial"/>
          <w:iCs/>
        </w:rPr>
        <w:t>State v. Wagoner, 131 N.C. App 285, 290 (1998)</w:t>
      </w:r>
      <w:r w:rsidR="008C179C" w:rsidRPr="008B1F04">
        <w:rPr>
          <w:rFonts w:cs="Arial"/>
          <w:iCs/>
        </w:rPr>
        <w:t>. Tricky issues sometimes arise on this point with re</w:t>
      </w:r>
      <w:r w:rsidR="00472851" w:rsidRPr="008B1F04">
        <w:rPr>
          <w:rFonts w:cs="Arial"/>
          <w:iCs/>
        </w:rPr>
        <w:t>s</w:t>
      </w:r>
      <w:r w:rsidR="008C179C" w:rsidRPr="008B1F04">
        <w:rPr>
          <w:rFonts w:cs="Arial"/>
          <w:iCs/>
        </w:rPr>
        <w:t>pect to child declarants. Our courts have noted that</w:t>
      </w:r>
      <w:r w:rsidRPr="008B1F04">
        <w:rPr>
          <w:rFonts w:cs="Arial"/>
        </w:rPr>
        <w:t xml:space="preserve"> “[a] child may be </w:t>
      </w:r>
      <w:r w:rsidRPr="008B1F04">
        <w:rPr>
          <w:rFonts w:cs="Arial"/>
        </w:rPr>
        <w:lastRenderedPageBreak/>
        <w:t xml:space="preserve">incompetent to testify, but incompetence is not ‘inconsistent as a matter of law with a finding that the child may nevertheless be qualified as a declarant out-of-court to relate truthfully personal information and belief.’” </w:t>
      </w:r>
      <w:r w:rsidR="0083038F" w:rsidRPr="008B1F04">
        <w:rPr>
          <w:rFonts w:cs="Arial"/>
          <w:i/>
        </w:rPr>
        <w:t>Id</w:t>
      </w:r>
      <w:r w:rsidR="0083038F" w:rsidRPr="008B1F04">
        <w:rPr>
          <w:rFonts w:cs="Arial"/>
        </w:rPr>
        <w:t>. at 291 (citation omitted)</w:t>
      </w:r>
      <w:r w:rsidR="0069384D" w:rsidRPr="008B1F04">
        <w:rPr>
          <w:rFonts w:cs="Arial"/>
        </w:rPr>
        <w:t xml:space="preserve">. </w:t>
      </w:r>
      <w:r w:rsidRPr="008B1F04">
        <w:rPr>
          <w:rFonts w:cs="Arial"/>
        </w:rPr>
        <w:t>However, if the child’s “unavailability is due to an inability to tell truth from falsehood or reality from imagination, then [the] previous statements necessarily lack the requisite guarantees of trustworthiness to justify admission.”</w:t>
      </w:r>
      <w:r w:rsidR="008B1F04">
        <w:rPr>
          <w:rFonts w:cs="Arial"/>
        </w:rPr>
        <w:t xml:space="preserve"> </w:t>
      </w:r>
      <w:r w:rsidR="00C97FEE" w:rsidRPr="008B1F04">
        <w:rPr>
          <w:rFonts w:cs="Arial"/>
          <w:i/>
        </w:rPr>
        <w:t>Id.</w:t>
      </w:r>
      <w:r w:rsidR="0069384D" w:rsidRPr="008B1F04">
        <w:rPr>
          <w:rFonts w:cs="Arial"/>
        </w:rPr>
        <w:t xml:space="preserve"> </w:t>
      </w:r>
      <w:r w:rsidRPr="008B1F04">
        <w:rPr>
          <w:rFonts w:cs="Arial"/>
        </w:rPr>
        <w:t>On this point, the Court of Appeals has stated:</w:t>
      </w:r>
    </w:p>
    <w:p w14:paraId="5B3849DF" w14:textId="77777777" w:rsidR="00FB7B2C" w:rsidRPr="008B1F04" w:rsidRDefault="00FB7B2C" w:rsidP="002735B2">
      <w:pPr>
        <w:ind w:left="2880"/>
        <w:rPr>
          <w:rFonts w:cs="Arial"/>
        </w:rPr>
      </w:pPr>
    </w:p>
    <w:p w14:paraId="1976DDDC" w14:textId="77777777" w:rsidR="00FB7B2C" w:rsidRPr="008B1F04" w:rsidRDefault="00FB7B2C" w:rsidP="002735B2">
      <w:pPr>
        <w:ind w:left="3600" w:right="720"/>
        <w:rPr>
          <w:rFonts w:cs="Arial"/>
        </w:rPr>
      </w:pPr>
      <w:r w:rsidRPr="008B1F04">
        <w:rPr>
          <w:rFonts w:cs="Arial"/>
        </w:rPr>
        <w:t>It is illogical that one be held unavailable to testify due to an inability to discern truth from falsehood or to understand the difference between reality and imagination and yet have their out-of-court statements ruled admissible because they possess guarantees of trustworthiness. The very fact that a potential witness cannot tell truth from fantasy casts sufficient doubt on the trustworthiness of their out-of-court statements to require excluding them. We hold that finding a witness unavailable to testify because of an inability to tell truth from fantasy prevents that witness’ out-of-court statements from possessing guarantees of trustworthiness to be admissible at trial under the residual exception.</w:t>
      </w:r>
    </w:p>
    <w:p w14:paraId="0029FF57" w14:textId="77777777" w:rsidR="00FB7B2C" w:rsidRPr="008B1F04" w:rsidRDefault="00FB7B2C" w:rsidP="002735B2">
      <w:pPr>
        <w:ind w:left="2880"/>
        <w:rPr>
          <w:rFonts w:cs="Arial"/>
        </w:rPr>
      </w:pPr>
    </w:p>
    <w:p w14:paraId="66356BD8" w14:textId="77777777" w:rsidR="00FB7B2C" w:rsidRPr="008B1F04" w:rsidRDefault="0083038F" w:rsidP="002735B2">
      <w:pPr>
        <w:ind w:left="2880"/>
        <w:rPr>
          <w:rFonts w:cs="Arial"/>
        </w:rPr>
      </w:pPr>
      <w:r w:rsidRPr="008B1F04">
        <w:rPr>
          <w:rFonts w:cs="Arial"/>
          <w:iCs/>
        </w:rPr>
        <w:t xml:space="preserve">State v. </w:t>
      </w:r>
      <w:proofErr w:type="spellStart"/>
      <w:r w:rsidRPr="008B1F04">
        <w:rPr>
          <w:rFonts w:cs="Arial"/>
          <w:iCs/>
        </w:rPr>
        <w:t>Stutts</w:t>
      </w:r>
      <w:proofErr w:type="spellEnd"/>
      <w:r w:rsidRPr="008B1F04">
        <w:rPr>
          <w:rFonts w:cs="Arial"/>
          <w:iCs/>
        </w:rPr>
        <w:t>, 105 N.C. 557, 563 (1992) (prejudicial error occurred on this basis)</w:t>
      </w:r>
      <w:r w:rsidR="001500C4" w:rsidRPr="008B1F04">
        <w:rPr>
          <w:rFonts w:cs="Arial"/>
          <w:iCs/>
        </w:rPr>
        <w:t xml:space="preserve">. In making the determination of circumstantial guarantees of trustworthiness, the trial judge must include in the record findings of fact and conclusions of law. </w:t>
      </w:r>
      <w:r w:rsidRPr="008B1F04">
        <w:rPr>
          <w:rFonts w:cs="Arial"/>
          <w:i/>
          <w:iCs/>
        </w:rPr>
        <w:t>Smith</w:t>
      </w:r>
      <w:r w:rsidRPr="008B1F04">
        <w:rPr>
          <w:rFonts w:cs="Arial"/>
          <w:iCs/>
        </w:rPr>
        <w:t>, 315 N.C. at 94</w:t>
      </w:r>
      <w:r w:rsidR="001500C4" w:rsidRPr="008B1F04">
        <w:rPr>
          <w:rFonts w:cs="Arial"/>
          <w:iCs/>
        </w:rPr>
        <w:t xml:space="preserve">; </w:t>
      </w:r>
      <w:r w:rsidRPr="008B1F04">
        <w:rPr>
          <w:rFonts w:cs="Arial"/>
          <w:i/>
          <w:iCs/>
        </w:rPr>
        <w:t>Sargent</w:t>
      </w:r>
      <w:r w:rsidRPr="008B1F04">
        <w:rPr>
          <w:rFonts w:cs="Arial"/>
          <w:iCs/>
        </w:rPr>
        <w:t>, 365 N.C. at 65</w:t>
      </w:r>
      <w:r w:rsidR="001500C4" w:rsidRPr="008B1F04">
        <w:rPr>
          <w:rFonts w:cs="Arial"/>
          <w:iCs/>
        </w:rPr>
        <w:t xml:space="preserve">. </w:t>
      </w:r>
    </w:p>
    <w:p w14:paraId="2A772300" w14:textId="77777777" w:rsidR="00E66382" w:rsidRPr="008B1F04" w:rsidRDefault="00C744DF" w:rsidP="002735B2">
      <w:pPr>
        <w:pStyle w:val="Heading5"/>
        <w:ind w:left="2880"/>
        <w:rPr>
          <w:rFonts w:ascii="Arial" w:hAnsi="Arial" w:cs="Arial"/>
          <w:b/>
          <w:color w:val="auto"/>
        </w:rPr>
      </w:pPr>
      <w:r w:rsidRPr="008B1F04">
        <w:rPr>
          <w:rFonts w:ascii="Arial" w:hAnsi="Arial" w:cs="Arial"/>
          <w:b/>
          <w:color w:val="auto"/>
        </w:rPr>
        <w:t xml:space="preserve">Sample </w:t>
      </w:r>
      <w:r w:rsidR="00E66382" w:rsidRPr="008B1F04">
        <w:rPr>
          <w:rFonts w:ascii="Arial" w:hAnsi="Arial" w:cs="Arial"/>
          <w:b/>
          <w:color w:val="auto"/>
        </w:rPr>
        <w:t>Cases Finding Adequate Guarantees of Trustworthiness</w:t>
      </w:r>
    </w:p>
    <w:p w14:paraId="37867D95" w14:textId="77777777" w:rsidR="00E66382" w:rsidRPr="008B1F04" w:rsidRDefault="00E66382" w:rsidP="002735B2">
      <w:pPr>
        <w:ind w:left="2160"/>
        <w:rPr>
          <w:rFonts w:cs="Arial"/>
        </w:rPr>
      </w:pPr>
    </w:p>
    <w:p w14:paraId="3D8C9B04" w14:textId="77777777" w:rsidR="00A00C14" w:rsidRPr="008B1F04" w:rsidRDefault="0083038F" w:rsidP="002735B2">
      <w:pPr>
        <w:ind w:left="2880"/>
        <w:rPr>
          <w:rFonts w:cs="Arial"/>
        </w:rPr>
      </w:pPr>
      <w:r w:rsidRPr="008B1F04">
        <w:rPr>
          <w:rFonts w:cs="Arial"/>
          <w:i/>
        </w:rPr>
        <w:t xml:space="preserve">State v. Valentine, </w:t>
      </w:r>
      <w:r w:rsidRPr="008B1F04">
        <w:rPr>
          <w:rFonts w:cs="Arial"/>
        </w:rPr>
        <w:t>357 N.C. 512, 519 (2003) (victim/declarant had personal knowledge of the events described in the statements, made within two hours after the initial altercation between defendant and the victim; the victim had no reason to lie and there was no indication he would have benefitted from altering the story; the victim never recanted; the victim was unavailable to testify, having died from gunshot wounds shortly after the statements were made).</w:t>
      </w:r>
    </w:p>
    <w:p w14:paraId="5623B2C8" w14:textId="77777777" w:rsidR="00A00C14" w:rsidRPr="008B1F04" w:rsidRDefault="00A00C14" w:rsidP="002735B2">
      <w:pPr>
        <w:ind w:left="2880"/>
        <w:rPr>
          <w:rFonts w:cs="Arial"/>
          <w:i/>
        </w:rPr>
      </w:pPr>
    </w:p>
    <w:p w14:paraId="328E83B1" w14:textId="77777777" w:rsidR="00A00C14" w:rsidRPr="008B1F04" w:rsidRDefault="0083038F" w:rsidP="002735B2">
      <w:pPr>
        <w:ind w:left="2880"/>
        <w:rPr>
          <w:rFonts w:cs="Arial"/>
        </w:rPr>
      </w:pPr>
      <w:r w:rsidRPr="008B1F04">
        <w:rPr>
          <w:rFonts w:cs="Arial"/>
          <w:i/>
        </w:rPr>
        <w:t xml:space="preserve">State v. King, </w:t>
      </w:r>
      <w:r w:rsidRPr="008B1F04">
        <w:rPr>
          <w:rFonts w:cs="Arial"/>
        </w:rPr>
        <w:t xml:space="preserve">353 N.C. 457, 481 (2001) (deceased witnesses’ statements to the police were about matters that they personally observed; witnesses were motivated to tell the truth because both were close friends of the victim and also knew the defendant; neither ever expressed any ill will towards the defendant, there was no indication that either woman was biased against the defendant, and neither had any motivation to lie; the nature the statements made them reliable and trustworthy in that the </w:t>
      </w:r>
      <w:r w:rsidRPr="008B1F04">
        <w:rPr>
          <w:rFonts w:cs="Arial"/>
        </w:rPr>
        <w:lastRenderedPageBreak/>
        <w:t>witnesses were two of the last people to see the victim alive, both made their statements separately to an officer, approximately fourteen hours after last seeing the victim and the defendant together; there was no evidence that the witnesses ever recanted).</w:t>
      </w:r>
    </w:p>
    <w:p w14:paraId="205ED965" w14:textId="77777777" w:rsidR="00A00C14" w:rsidRPr="008B1F04" w:rsidRDefault="00A00C14" w:rsidP="002735B2">
      <w:pPr>
        <w:ind w:left="2880"/>
        <w:rPr>
          <w:rFonts w:cs="Arial"/>
          <w:i/>
        </w:rPr>
      </w:pPr>
    </w:p>
    <w:p w14:paraId="71C6C517" w14:textId="77777777" w:rsidR="00CE10D5" w:rsidRPr="008B1F04" w:rsidRDefault="0083038F" w:rsidP="002735B2">
      <w:pPr>
        <w:ind w:left="2880"/>
        <w:rPr>
          <w:rFonts w:cs="Arial"/>
        </w:rPr>
      </w:pPr>
      <w:r w:rsidRPr="008B1F04">
        <w:rPr>
          <w:rFonts w:cs="Arial"/>
          <w:i/>
        </w:rPr>
        <w:t xml:space="preserve">State v. Fowler, </w:t>
      </w:r>
      <w:r w:rsidRPr="008B1F04">
        <w:rPr>
          <w:rFonts w:cs="Arial"/>
        </w:rPr>
        <w:t>353 N.C. 599, 612-13 (2001) (as an eyewitness, the declarant had personal knowledge of the robbery and shooting; the declarant was motivated to speak truthfully to law enforcement officers to facilitate the defendant's immediate capture, never recanted, and he had no specific relationship with the defendant or the police that would encourage him to provide anything other than a truthful statement; because the declarant was living in India and refused to return for the trial, securing his attendance at trial involved “huge and insurmountable obstacles”)</w:t>
      </w:r>
      <w:r w:rsidR="00CE10D5" w:rsidRPr="008B1F04">
        <w:rPr>
          <w:rFonts w:cs="Arial"/>
        </w:rPr>
        <w:t>.</w:t>
      </w:r>
    </w:p>
    <w:p w14:paraId="7183F58B" w14:textId="77777777" w:rsidR="00CE10D5" w:rsidRPr="008B1F04" w:rsidRDefault="00CE10D5" w:rsidP="002735B2">
      <w:pPr>
        <w:ind w:left="2880"/>
        <w:rPr>
          <w:rFonts w:cs="Arial"/>
          <w:i/>
        </w:rPr>
      </w:pPr>
    </w:p>
    <w:p w14:paraId="6E6FCECD" w14:textId="77777777" w:rsidR="00A00C14" w:rsidRPr="008B1F04" w:rsidRDefault="0083038F" w:rsidP="002735B2">
      <w:pPr>
        <w:ind w:left="2880"/>
        <w:rPr>
          <w:rFonts w:cs="Arial"/>
        </w:rPr>
      </w:pPr>
      <w:r w:rsidRPr="008B1F04">
        <w:rPr>
          <w:rFonts w:cs="Arial"/>
          <w:i/>
        </w:rPr>
        <w:t xml:space="preserve">State v. Chapman, </w:t>
      </w:r>
      <w:r w:rsidRPr="008B1F04">
        <w:rPr>
          <w:rFonts w:cs="Arial"/>
        </w:rPr>
        <w:t>342 N.C. 330, 342 (1995) (statement of a homeless person to a fire inspector about what he saw prior to the fire where the declarant had personal knowledge, there was no evidence of a motivation to lie, he never recanted, and he could not be found at the time of trial).</w:t>
      </w:r>
      <w:r w:rsidR="00303702" w:rsidRPr="008B1F04">
        <w:rPr>
          <w:rFonts w:cs="Arial"/>
        </w:rPr>
        <w:t xml:space="preserve"> </w:t>
      </w:r>
    </w:p>
    <w:p w14:paraId="525D91AC" w14:textId="77777777" w:rsidR="00A00C14" w:rsidRPr="008B1F04" w:rsidRDefault="00A00C14" w:rsidP="002735B2">
      <w:pPr>
        <w:ind w:left="2880"/>
        <w:rPr>
          <w:rFonts w:cs="Arial"/>
          <w:i/>
        </w:rPr>
      </w:pPr>
    </w:p>
    <w:p w14:paraId="6AAA4F6B" w14:textId="77777777" w:rsidR="00A00C14" w:rsidRPr="008B1F04" w:rsidRDefault="0083038F" w:rsidP="002735B2">
      <w:pPr>
        <w:ind w:left="2880"/>
        <w:rPr>
          <w:rFonts w:cs="Arial"/>
          <w:i/>
        </w:rPr>
      </w:pPr>
      <w:r w:rsidRPr="008B1F04">
        <w:rPr>
          <w:rFonts w:cs="Arial"/>
          <w:i/>
        </w:rPr>
        <w:t xml:space="preserve">State v. Brown, </w:t>
      </w:r>
      <w:r w:rsidRPr="008B1F04">
        <w:rPr>
          <w:rFonts w:cs="Arial"/>
        </w:rPr>
        <w:t>339 N.C. 426, 438 (1994) (statements by the murder victim’s deceased wife where her statement could have implicated her husband as the aggressor, she was near death at the time, and her statements were consistent)</w:t>
      </w:r>
      <w:r w:rsidR="003D5932" w:rsidRPr="008B1F04">
        <w:rPr>
          <w:rFonts w:cs="Arial"/>
        </w:rPr>
        <w:t>.</w:t>
      </w:r>
      <w:r w:rsidR="00493EE6" w:rsidRPr="008B1F04">
        <w:rPr>
          <w:rFonts w:cs="Arial"/>
        </w:rPr>
        <w:t xml:space="preserve"> </w:t>
      </w:r>
    </w:p>
    <w:p w14:paraId="22B5B735" w14:textId="77777777" w:rsidR="00A00C14" w:rsidRPr="008B1F04" w:rsidRDefault="00A00C14" w:rsidP="002735B2">
      <w:pPr>
        <w:ind w:left="2880"/>
        <w:rPr>
          <w:rFonts w:cs="Arial"/>
          <w:i/>
        </w:rPr>
      </w:pPr>
    </w:p>
    <w:p w14:paraId="30421EFB" w14:textId="77777777" w:rsidR="00A00C14" w:rsidRPr="008B1F04" w:rsidRDefault="0083038F" w:rsidP="002735B2">
      <w:pPr>
        <w:ind w:left="2880"/>
        <w:rPr>
          <w:rFonts w:cs="Arial"/>
        </w:rPr>
      </w:pPr>
      <w:r w:rsidRPr="008B1F04">
        <w:rPr>
          <w:rFonts w:cs="Arial"/>
          <w:i/>
        </w:rPr>
        <w:t xml:space="preserve">State v. Faucette, </w:t>
      </w:r>
      <w:r w:rsidRPr="008B1F04">
        <w:rPr>
          <w:rFonts w:cs="Arial"/>
        </w:rPr>
        <w:t>326 N.C. 676, 686-87 (1990) (murder victim’s statements to her lawyer; the victim had personal knowledge of the event; her statements were made in the context of an attorney-client relationship, which “promotes a candid exchange of information”).</w:t>
      </w:r>
      <w:r w:rsidR="00B81161" w:rsidRPr="008B1F04">
        <w:rPr>
          <w:rFonts w:cs="Arial"/>
        </w:rPr>
        <w:t xml:space="preserve"> </w:t>
      </w:r>
    </w:p>
    <w:p w14:paraId="73AB5BE5" w14:textId="77777777" w:rsidR="00472851" w:rsidRPr="008B1F04" w:rsidRDefault="00472851" w:rsidP="002735B2">
      <w:pPr>
        <w:ind w:left="2880"/>
        <w:rPr>
          <w:rFonts w:cs="Arial"/>
          <w:i/>
        </w:rPr>
      </w:pPr>
    </w:p>
    <w:p w14:paraId="0FF162CB" w14:textId="77777777" w:rsidR="00A00C14" w:rsidRPr="008B1F04" w:rsidRDefault="0083038F" w:rsidP="007D18F6">
      <w:pPr>
        <w:ind w:left="2880"/>
        <w:rPr>
          <w:rFonts w:cs="Arial"/>
        </w:rPr>
      </w:pPr>
      <w:r w:rsidRPr="008B1F04">
        <w:rPr>
          <w:rFonts w:cs="Arial"/>
          <w:i/>
        </w:rPr>
        <w:t>State v. Triplett,</w:t>
      </w:r>
      <w:r w:rsidRPr="008B1F04">
        <w:rPr>
          <w:rFonts w:cs="Arial"/>
        </w:rPr>
        <w:t xml:space="preserve"> 316 N.C. 1, 11-12 (1986) (victim’s statements to her adult daughter where the two had a close friendship and the victim was likely to be honest; </w:t>
      </w:r>
      <w:r w:rsidR="008B1F04" w:rsidRPr="008B1F04">
        <w:rPr>
          <w:rFonts w:cs="Arial"/>
        </w:rPr>
        <w:t xml:space="preserve">the victim made </w:t>
      </w:r>
      <w:r w:rsidRPr="008B1F04">
        <w:rPr>
          <w:rFonts w:cs="Arial"/>
        </w:rPr>
        <w:t xml:space="preserve">negative comments about her son </w:t>
      </w:r>
      <w:r w:rsidR="008B1F04" w:rsidRPr="008B1F04">
        <w:rPr>
          <w:rFonts w:cs="Arial"/>
        </w:rPr>
        <w:t xml:space="preserve">and </w:t>
      </w:r>
      <w:r w:rsidRPr="008B1F04">
        <w:rPr>
          <w:rFonts w:cs="Arial"/>
        </w:rPr>
        <w:t>“maternal love and concern” would keep a mother from making false accusations about her child; the victim’s motivation to speak was her concern for her safety)</w:t>
      </w:r>
      <w:r w:rsidR="00FC3512" w:rsidRPr="008B1F04">
        <w:rPr>
          <w:rFonts w:cs="Arial"/>
        </w:rPr>
        <w:t xml:space="preserve">. </w:t>
      </w:r>
    </w:p>
    <w:p w14:paraId="3A67D04D" w14:textId="77777777" w:rsidR="007D18F6" w:rsidRPr="008B1F04" w:rsidRDefault="007D18F6" w:rsidP="007D18F6">
      <w:pPr>
        <w:pStyle w:val="Heading5"/>
        <w:spacing w:before="0"/>
        <w:ind w:left="2880"/>
        <w:rPr>
          <w:rFonts w:ascii="Arial" w:hAnsi="Arial" w:cs="Arial"/>
          <w:b/>
          <w:color w:val="auto"/>
        </w:rPr>
      </w:pPr>
    </w:p>
    <w:p w14:paraId="3BAEE98C" w14:textId="77777777" w:rsidR="00E66382" w:rsidRPr="008B1F04" w:rsidRDefault="00F12649" w:rsidP="007D18F6">
      <w:pPr>
        <w:pStyle w:val="Heading5"/>
        <w:spacing w:before="0"/>
        <w:ind w:left="2880"/>
        <w:rPr>
          <w:rFonts w:ascii="Arial" w:hAnsi="Arial" w:cs="Arial"/>
          <w:b/>
          <w:color w:val="auto"/>
        </w:rPr>
      </w:pPr>
      <w:r w:rsidRPr="008B1F04">
        <w:rPr>
          <w:rFonts w:ascii="Arial" w:hAnsi="Arial" w:cs="Arial"/>
          <w:b/>
          <w:color w:val="auto"/>
        </w:rPr>
        <w:t xml:space="preserve">Sample </w:t>
      </w:r>
      <w:r w:rsidR="00E66382" w:rsidRPr="008B1F04">
        <w:rPr>
          <w:rFonts w:ascii="Arial" w:hAnsi="Arial" w:cs="Arial"/>
          <w:b/>
          <w:color w:val="auto"/>
        </w:rPr>
        <w:t>Cases Finding Inadequate Guarantees of Trustworthiness</w:t>
      </w:r>
    </w:p>
    <w:p w14:paraId="404275F4" w14:textId="77777777" w:rsidR="00B82396" w:rsidRPr="008B1F04" w:rsidRDefault="00B82396" w:rsidP="002735B2">
      <w:pPr>
        <w:ind w:left="2880"/>
        <w:rPr>
          <w:rFonts w:cs="Arial"/>
        </w:rPr>
      </w:pPr>
    </w:p>
    <w:p w14:paraId="50B3E02A" w14:textId="77777777" w:rsidR="00004308" w:rsidRPr="008B1F04" w:rsidRDefault="0083038F" w:rsidP="002735B2">
      <w:pPr>
        <w:ind w:left="2880"/>
        <w:rPr>
          <w:rFonts w:cs="Arial"/>
        </w:rPr>
      </w:pPr>
      <w:r w:rsidRPr="008B1F04">
        <w:rPr>
          <w:rFonts w:cs="Arial"/>
          <w:i/>
        </w:rPr>
        <w:t>State v. Williams</w:t>
      </w:r>
      <w:r w:rsidRPr="008B1F04">
        <w:rPr>
          <w:rFonts w:cs="Arial"/>
        </w:rPr>
        <w:t>, 355 N.C. 501, 536 (2002) (although the declarant initially told the witness he was 100% sure about what he had seen, he later said he was only 85% sure; also an eyewitness testified at trial regarding the relevant facts and this was more probative than the hearsay statement).</w:t>
      </w:r>
      <w:r w:rsidR="009D6BC0" w:rsidRPr="008B1F04">
        <w:rPr>
          <w:rFonts w:cs="Arial"/>
        </w:rPr>
        <w:t xml:space="preserve"> </w:t>
      </w:r>
    </w:p>
    <w:p w14:paraId="1FAB92E3" w14:textId="77777777" w:rsidR="00004308" w:rsidRPr="008B1F04" w:rsidRDefault="00004308" w:rsidP="002735B2">
      <w:pPr>
        <w:ind w:left="2880"/>
        <w:rPr>
          <w:rFonts w:cs="Arial"/>
          <w:i/>
        </w:rPr>
      </w:pPr>
    </w:p>
    <w:p w14:paraId="142EC9F6" w14:textId="77777777" w:rsidR="00411FCF" w:rsidRPr="008B1F04" w:rsidRDefault="0083038F" w:rsidP="002735B2">
      <w:pPr>
        <w:ind w:left="2880"/>
        <w:rPr>
          <w:rFonts w:cs="Arial"/>
        </w:rPr>
      </w:pPr>
      <w:r w:rsidRPr="008B1F04">
        <w:rPr>
          <w:rFonts w:cs="Arial"/>
          <w:i/>
        </w:rPr>
        <w:t xml:space="preserve">State v. Jackson, </w:t>
      </w:r>
      <w:r w:rsidRPr="008B1F04">
        <w:rPr>
          <w:rFonts w:cs="Arial"/>
        </w:rPr>
        <w:t xml:space="preserve">340 N.C. 301, 319 (1995) (in a murder case the defendant’s statement to his girlfriend admitting that he shot a gun </w:t>
      </w:r>
      <w:r w:rsidRPr="008B1F04">
        <w:rPr>
          <w:rFonts w:cs="Arial"/>
        </w:rPr>
        <w:lastRenderedPageBreak/>
        <w:t>but stating that no one was hit where the statement was self-serving and not part of the res gestae).</w:t>
      </w:r>
    </w:p>
    <w:p w14:paraId="62069E62" w14:textId="77777777" w:rsidR="00411FCF" w:rsidRPr="008B1F04" w:rsidRDefault="00411FCF" w:rsidP="002735B2">
      <w:pPr>
        <w:ind w:left="2880"/>
        <w:rPr>
          <w:rFonts w:cs="Arial"/>
          <w:i/>
        </w:rPr>
      </w:pPr>
    </w:p>
    <w:p w14:paraId="32F70266" w14:textId="77777777" w:rsidR="00411FCF" w:rsidRPr="008B1F04" w:rsidRDefault="0083038F" w:rsidP="002735B2">
      <w:pPr>
        <w:ind w:left="2880"/>
        <w:rPr>
          <w:rFonts w:cs="Arial"/>
        </w:rPr>
      </w:pPr>
      <w:r w:rsidRPr="008B1F04">
        <w:rPr>
          <w:rFonts w:cs="Arial"/>
          <w:i/>
        </w:rPr>
        <w:t xml:space="preserve">State v. Swindler, </w:t>
      </w:r>
      <w:r w:rsidRPr="008B1F04">
        <w:rPr>
          <w:rFonts w:cs="Arial"/>
        </w:rPr>
        <w:t>339 N.C. 469, 473-75 (1994) (declarant, who had been in jail with the defendant, had no personal knowledge of the events described in the letter the proponent sought to admit, refused to acknowledge writing the letter, refused to testify, and was motivated to “say what the police wanted to hear” to obtain a deal with regarding his own charges).</w:t>
      </w:r>
    </w:p>
    <w:p w14:paraId="4923D301" w14:textId="77777777" w:rsidR="007D18F6" w:rsidRPr="008B1F04" w:rsidRDefault="007D18F6" w:rsidP="002735B2">
      <w:pPr>
        <w:ind w:left="2880"/>
        <w:rPr>
          <w:rFonts w:cs="Arial"/>
        </w:rPr>
      </w:pPr>
    </w:p>
    <w:p w14:paraId="7E629FEE" w14:textId="77777777" w:rsidR="000046E6" w:rsidRPr="008B1F04" w:rsidRDefault="000046E6" w:rsidP="00F83AD6">
      <w:pPr>
        <w:pStyle w:val="ListParagraph"/>
        <w:numPr>
          <w:ilvl w:val="3"/>
          <w:numId w:val="2"/>
        </w:numPr>
        <w:rPr>
          <w:rFonts w:cs="Arial"/>
        </w:rPr>
      </w:pPr>
      <w:r w:rsidRPr="008B1F04">
        <w:rPr>
          <w:b/>
        </w:rPr>
        <w:t>Material</w:t>
      </w:r>
      <w:r w:rsidR="002735B2" w:rsidRPr="008B1F04">
        <w:rPr>
          <w:b/>
        </w:rPr>
        <w:t xml:space="preserve">. </w:t>
      </w:r>
      <w:r w:rsidRPr="008B1F04">
        <w:rPr>
          <w:rFonts w:cs="Arial"/>
        </w:rPr>
        <w:t>The releva</w:t>
      </w:r>
      <w:r w:rsidR="008C6808" w:rsidRPr="008B1F04">
        <w:rPr>
          <w:rFonts w:cs="Arial"/>
        </w:rPr>
        <w:t>nt statement must be material. Material statements include, f</w:t>
      </w:r>
      <w:r w:rsidRPr="008B1F04">
        <w:rPr>
          <w:rFonts w:cs="Arial"/>
        </w:rPr>
        <w:t xml:space="preserve">or example, </w:t>
      </w:r>
      <w:r w:rsidR="00E66382" w:rsidRPr="008B1F04">
        <w:rPr>
          <w:rFonts w:cs="Arial"/>
        </w:rPr>
        <w:t xml:space="preserve">a declarant’s statements </w:t>
      </w:r>
      <w:r w:rsidR="00DF49B7" w:rsidRPr="008B1F04">
        <w:rPr>
          <w:rFonts w:cs="Arial"/>
        </w:rPr>
        <w:t>identifying the perpetrator and describing the crime</w:t>
      </w:r>
      <w:r w:rsidR="00E66382" w:rsidRPr="008B1F04">
        <w:rPr>
          <w:rFonts w:cs="Arial"/>
        </w:rPr>
        <w:t xml:space="preserve">. </w:t>
      </w:r>
      <w:r w:rsidR="0083038F" w:rsidRPr="008B1F04">
        <w:rPr>
          <w:rFonts w:cs="Arial"/>
        </w:rPr>
        <w:t>State v. Fowler, 353 N.C. 599, 613 (2001)</w:t>
      </w:r>
      <w:r w:rsidR="00DF49B7" w:rsidRPr="008B1F04">
        <w:rPr>
          <w:rFonts w:cs="Arial"/>
        </w:rPr>
        <w:t xml:space="preserve">; </w:t>
      </w:r>
      <w:r w:rsidR="0083038F" w:rsidRPr="008B1F04">
        <w:rPr>
          <w:rFonts w:cs="Arial"/>
        </w:rPr>
        <w:t>State v. Brigman, 178 N.C. App. 78, 88 (2006) (statements described the sex offenses at issue)</w:t>
      </w:r>
      <w:r w:rsidR="00DF49B7" w:rsidRPr="008B1F04">
        <w:rPr>
          <w:rFonts w:cs="Arial"/>
        </w:rPr>
        <w:t xml:space="preserve">. </w:t>
      </w:r>
      <w:r w:rsidR="00A974D5" w:rsidRPr="008B1F04">
        <w:rPr>
          <w:rFonts w:cs="Arial"/>
        </w:rPr>
        <w:t>Also material</w:t>
      </w:r>
      <w:r w:rsidR="00E66382" w:rsidRPr="008B1F04">
        <w:rPr>
          <w:rFonts w:cs="Arial"/>
        </w:rPr>
        <w:t xml:space="preserve"> is a statement </w:t>
      </w:r>
      <w:r w:rsidR="00850145" w:rsidRPr="008B1F04">
        <w:rPr>
          <w:rFonts w:cs="Arial"/>
        </w:rPr>
        <w:t xml:space="preserve">establishing </w:t>
      </w:r>
      <w:r w:rsidR="00E66382" w:rsidRPr="008B1F04">
        <w:rPr>
          <w:rFonts w:cs="Arial"/>
        </w:rPr>
        <w:t xml:space="preserve">a murder </w:t>
      </w:r>
      <w:r w:rsidR="00850145" w:rsidRPr="008B1F04">
        <w:rPr>
          <w:rFonts w:cs="Arial"/>
        </w:rPr>
        <w:t xml:space="preserve">defendant’s motive. </w:t>
      </w:r>
      <w:r w:rsidR="0083038F" w:rsidRPr="008B1F04">
        <w:rPr>
          <w:rFonts w:cs="Arial"/>
        </w:rPr>
        <w:t>State v. Valentine, 357 N.C. 512, 519-20 (2003)</w:t>
      </w:r>
      <w:r w:rsidR="00850145" w:rsidRPr="008B1F04">
        <w:rPr>
          <w:rFonts w:cs="Arial"/>
        </w:rPr>
        <w:t>.</w:t>
      </w:r>
      <w:r w:rsidR="0028266E" w:rsidRPr="008B1F04">
        <w:rPr>
          <w:rFonts w:cs="Arial"/>
        </w:rPr>
        <w:t xml:space="preserve"> </w:t>
      </w:r>
      <w:r w:rsidR="00A974D5" w:rsidRPr="008B1F04">
        <w:rPr>
          <w:rFonts w:cs="Arial"/>
        </w:rPr>
        <w:t xml:space="preserve">This requirement has been construed as a </w:t>
      </w:r>
      <w:r w:rsidR="0028266E" w:rsidRPr="008B1F04">
        <w:rPr>
          <w:rFonts w:cs="Arial"/>
        </w:rPr>
        <w:t>restatement of the relevancy requirements of Rules 401 and 402.</w:t>
      </w:r>
      <w:r w:rsidR="0083038F" w:rsidRPr="008B1F04">
        <w:rPr>
          <w:rFonts w:cs="Arial"/>
        </w:rPr>
        <w:t>State v. Smith, 315 N.C. 76, 94</w:t>
      </w:r>
      <w:r w:rsidR="00340BC0" w:rsidRPr="008B1F04">
        <w:rPr>
          <w:rFonts w:cs="Arial"/>
        </w:rPr>
        <w:t xml:space="preserve">; </w:t>
      </w:r>
      <w:r w:rsidR="00340BC0" w:rsidRPr="008B1F04">
        <w:rPr>
          <w:rFonts w:cs="Arial"/>
          <w:i/>
        </w:rPr>
        <w:t xml:space="preserve">see generally </w:t>
      </w:r>
      <w:hyperlink r:id="rId13" w:history="1">
        <w:r w:rsidR="00F80AD3" w:rsidRPr="008B1F04">
          <w:rPr>
            <w:rStyle w:val="Hyperlink"/>
            <w:rFonts w:cs="Arial"/>
          </w:rPr>
          <w:t>Relevancy</w:t>
        </w:r>
      </w:hyperlink>
      <w:r w:rsidR="00340BC0" w:rsidRPr="008B1F04">
        <w:rPr>
          <w:rFonts w:cs="Arial"/>
        </w:rPr>
        <w:t xml:space="preserve"> in this Guide under Evidence</w:t>
      </w:r>
      <w:r w:rsidR="00A974D5" w:rsidRPr="008B1F04">
        <w:rPr>
          <w:rFonts w:cs="Arial"/>
        </w:rPr>
        <w:t>. Although findings of fact need not be made on this question the trial court must include in the record a statement of his or her conclusion regarding</w:t>
      </w:r>
      <w:r w:rsidR="00472851" w:rsidRPr="008B1F04">
        <w:rPr>
          <w:rFonts w:cs="Arial"/>
        </w:rPr>
        <w:t xml:space="preserve"> materiality.</w:t>
      </w:r>
      <w:r w:rsidR="00D23BE6" w:rsidRPr="008B1F04">
        <w:rPr>
          <w:rFonts w:cs="Arial"/>
        </w:rPr>
        <w:t xml:space="preserve"> </w:t>
      </w:r>
      <w:r w:rsidR="0083038F" w:rsidRPr="008B1F04">
        <w:rPr>
          <w:rFonts w:cs="Arial"/>
          <w:i/>
        </w:rPr>
        <w:t>Smith</w:t>
      </w:r>
      <w:r w:rsidR="0083038F" w:rsidRPr="008B1F04">
        <w:rPr>
          <w:rFonts w:cs="Arial"/>
        </w:rPr>
        <w:t>, 315 N.C. at 94-95</w:t>
      </w:r>
      <w:r w:rsidR="00D23BE6" w:rsidRPr="008B1F04">
        <w:rPr>
          <w:rFonts w:cs="Arial"/>
        </w:rPr>
        <w:t>.</w:t>
      </w:r>
    </w:p>
    <w:p w14:paraId="289E741C" w14:textId="77777777" w:rsidR="00E66382" w:rsidRPr="008B1F04" w:rsidRDefault="000046E6" w:rsidP="00F83AD6">
      <w:pPr>
        <w:pStyle w:val="ListParagraph"/>
        <w:numPr>
          <w:ilvl w:val="3"/>
          <w:numId w:val="2"/>
        </w:numPr>
        <w:rPr>
          <w:b/>
        </w:rPr>
      </w:pPr>
      <w:r w:rsidRPr="008B1F04">
        <w:rPr>
          <w:b/>
        </w:rPr>
        <w:t>More Probative Than Other Evidence</w:t>
      </w:r>
      <w:r w:rsidR="002735B2" w:rsidRPr="008B1F04">
        <w:rPr>
          <w:b/>
        </w:rPr>
        <w:t xml:space="preserve">. </w:t>
      </w:r>
      <w:r w:rsidRPr="008B1F04">
        <w:rPr>
          <w:rFonts w:cs="Arial"/>
        </w:rPr>
        <w:t xml:space="preserve">The statement must be more probative on the relevant issue than any other evidence which the proponent can procure through reasonable efforts. </w:t>
      </w:r>
      <w:r w:rsidR="0083038F" w:rsidRPr="008B1F04">
        <w:rPr>
          <w:rFonts w:cs="Arial"/>
          <w:smallCaps/>
        </w:rPr>
        <w:t>N.C. R. Evid</w:t>
      </w:r>
      <w:r w:rsidR="0083038F" w:rsidRPr="008B1F04">
        <w:rPr>
          <w:rFonts w:cs="Arial"/>
        </w:rPr>
        <w:t>. 803(24); 804(b)(5)</w:t>
      </w:r>
      <w:r w:rsidR="003F0F2E" w:rsidRPr="008B1F04">
        <w:rPr>
          <w:rFonts w:cs="Arial"/>
        </w:rPr>
        <w:t xml:space="preserve">. </w:t>
      </w:r>
      <w:r w:rsidR="00E66382" w:rsidRPr="008B1F04">
        <w:rPr>
          <w:rFonts w:cs="Arial"/>
        </w:rPr>
        <w:t>This requirement necessitates a dual inquiry:</w:t>
      </w:r>
    </w:p>
    <w:p w14:paraId="61D91961" w14:textId="77777777" w:rsidR="009D4BE0" w:rsidRPr="008B1F04" w:rsidRDefault="009D4BE0" w:rsidP="009D4BE0">
      <w:pPr>
        <w:pStyle w:val="ListParagraph"/>
        <w:ind w:left="2880"/>
        <w:rPr>
          <w:b/>
        </w:rPr>
      </w:pPr>
    </w:p>
    <w:p w14:paraId="60AF9BD1" w14:textId="77777777" w:rsidR="00E66382" w:rsidRPr="008B1F04" w:rsidRDefault="003F0F2E" w:rsidP="002735B2">
      <w:pPr>
        <w:pStyle w:val="ListParagraph"/>
        <w:numPr>
          <w:ilvl w:val="0"/>
          <w:numId w:val="14"/>
        </w:numPr>
        <w:ind w:left="3600"/>
        <w:rPr>
          <w:rFonts w:cs="Arial"/>
        </w:rPr>
      </w:pPr>
      <w:r w:rsidRPr="008B1F04">
        <w:rPr>
          <w:rFonts w:cs="Arial"/>
        </w:rPr>
        <w:t>W</w:t>
      </w:r>
      <w:r w:rsidR="00E66382" w:rsidRPr="008B1F04">
        <w:rPr>
          <w:rFonts w:cs="Arial"/>
        </w:rPr>
        <w:t xml:space="preserve">ere the proponent's efforts to procure more probative evidence diligent? and </w:t>
      </w:r>
    </w:p>
    <w:p w14:paraId="4BF98B40" w14:textId="77777777" w:rsidR="00E66382" w:rsidRPr="008B1F04" w:rsidRDefault="003F0F2E" w:rsidP="002735B2">
      <w:pPr>
        <w:pStyle w:val="ListParagraph"/>
        <w:numPr>
          <w:ilvl w:val="0"/>
          <w:numId w:val="14"/>
        </w:numPr>
        <w:ind w:left="3600"/>
        <w:rPr>
          <w:rFonts w:cs="Arial"/>
        </w:rPr>
      </w:pPr>
      <w:r w:rsidRPr="008B1F04">
        <w:rPr>
          <w:rFonts w:cs="Arial"/>
        </w:rPr>
        <w:t>I</w:t>
      </w:r>
      <w:r w:rsidR="00E66382" w:rsidRPr="008B1F04">
        <w:rPr>
          <w:rFonts w:cs="Arial"/>
        </w:rPr>
        <w:t>s the statement more probative on the point than other evidence that the proponent could reasonably procure?</w:t>
      </w:r>
    </w:p>
    <w:p w14:paraId="3F5FE66C" w14:textId="77777777" w:rsidR="009D4BE0" w:rsidRPr="008B1F04" w:rsidRDefault="009D4BE0" w:rsidP="009D4BE0">
      <w:pPr>
        <w:pStyle w:val="ListParagraph"/>
        <w:ind w:left="3600"/>
        <w:rPr>
          <w:rFonts w:cs="Arial"/>
        </w:rPr>
      </w:pPr>
    </w:p>
    <w:p w14:paraId="5D17A4B5" w14:textId="77777777" w:rsidR="00D43147" w:rsidRPr="008B1F04" w:rsidRDefault="0083038F" w:rsidP="002735B2">
      <w:pPr>
        <w:ind w:left="2880"/>
        <w:rPr>
          <w:rFonts w:cs="Arial"/>
        </w:rPr>
      </w:pPr>
      <w:r w:rsidRPr="008B1F04">
        <w:rPr>
          <w:rFonts w:cs="Arial"/>
          <w:i/>
        </w:rPr>
        <w:t xml:space="preserve">Smith, </w:t>
      </w:r>
      <w:r w:rsidRPr="008B1F04">
        <w:rPr>
          <w:rFonts w:cs="Arial"/>
        </w:rPr>
        <w:t>315 N.C. at 95</w:t>
      </w:r>
      <w:r w:rsidR="00334110" w:rsidRPr="008B1F04">
        <w:rPr>
          <w:rFonts w:cs="Arial"/>
          <w:i/>
        </w:rPr>
        <w:t>;</w:t>
      </w:r>
      <w:r w:rsidR="00334110" w:rsidRPr="008B1F04">
        <w:rPr>
          <w:rFonts w:cs="Arial"/>
        </w:rPr>
        <w:t xml:space="preserve"> </w:t>
      </w:r>
      <w:r w:rsidRPr="008B1F04">
        <w:rPr>
          <w:rFonts w:cs="Arial"/>
          <w:i/>
        </w:rPr>
        <w:t>Fowler</w:t>
      </w:r>
      <w:r w:rsidRPr="008B1F04">
        <w:rPr>
          <w:rFonts w:cs="Arial"/>
        </w:rPr>
        <w:t>, 353 N.C. at 613 (quotations omitted)</w:t>
      </w:r>
      <w:r w:rsidR="00E66382" w:rsidRPr="008B1F04">
        <w:rPr>
          <w:rFonts w:cs="Arial"/>
        </w:rPr>
        <w:t>.</w:t>
      </w:r>
      <w:r w:rsidR="00D43147" w:rsidRPr="008B1F04">
        <w:rPr>
          <w:rFonts w:cs="Arial"/>
        </w:rPr>
        <w:t xml:space="preserve"> </w:t>
      </w:r>
    </w:p>
    <w:p w14:paraId="6F16AE09" w14:textId="77777777" w:rsidR="00543307" w:rsidRPr="008B1F04" w:rsidRDefault="00D43147" w:rsidP="002735B2">
      <w:pPr>
        <w:ind w:left="2880" w:firstLine="360"/>
        <w:rPr>
          <w:rFonts w:cs="Arial"/>
        </w:rPr>
      </w:pPr>
      <w:r w:rsidRPr="008B1F04">
        <w:rPr>
          <w:rFonts w:cs="Arial"/>
        </w:rPr>
        <w:t>The first inquiry involve</w:t>
      </w:r>
      <w:r w:rsidR="008C3BC6" w:rsidRPr="008B1F04">
        <w:rPr>
          <w:rFonts w:cs="Arial"/>
        </w:rPr>
        <w:t>s</w:t>
      </w:r>
      <w:r w:rsidRPr="008B1F04">
        <w:rPr>
          <w:rFonts w:cs="Arial"/>
        </w:rPr>
        <w:t xml:space="preserve"> </w:t>
      </w:r>
      <w:r w:rsidR="00DC4EA7" w:rsidRPr="008B1F04">
        <w:rPr>
          <w:rFonts w:cs="Arial"/>
        </w:rPr>
        <w:t>an examination of</w:t>
      </w:r>
      <w:r w:rsidRPr="008B1F04">
        <w:rPr>
          <w:rFonts w:cs="Arial"/>
        </w:rPr>
        <w:t xml:space="preserve"> whether the proponent made reasonable efforts to secure the declarant at trial. </w:t>
      </w:r>
      <w:r w:rsidRPr="008B1F04">
        <w:rPr>
          <w:rFonts w:cs="Arial"/>
          <w:i/>
        </w:rPr>
        <w:t xml:space="preserve">See, e.g., </w:t>
      </w:r>
      <w:r w:rsidR="0083038F" w:rsidRPr="008B1F04">
        <w:rPr>
          <w:rFonts w:cs="Arial"/>
          <w:i/>
        </w:rPr>
        <w:t>Fowler</w:t>
      </w:r>
      <w:r w:rsidR="0083038F" w:rsidRPr="008B1F04">
        <w:rPr>
          <w:rFonts w:cs="Arial"/>
        </w:rPr>
        <w:t>, 353 N.C. at 613-14 (requirement was satisfied where the State acted diligently in trying to produce the declarant, then living in India, to testify at trial)</w:t>
      </w:r>
      <w:r w:rsidR="00E04567" w:rsidRPr="008B1F04">
        <w:rPr>
          <w:rFonts w:cs="Arial"/>
        </w:rPr>
        <w:t xml:space="preserve">; </w:t>
      </w:r>
      <w:r w:rsidR="0083038F" w:rsidRPr="008B1F04">
        <w:rPr>
          <w:rFonts w:cs="Arial"/>
        </w:rPr>
        <w:t>State v. Allen, 162 N.C. App. 587, 596 (2004) (this requirement was satisfied where the State had been diligent in its attempt to obtain the declarant’s presence at trial but she refused to return from Mexico and her precise whereabouts were unknown)</w:t>
      </w:r>
      <w:r w:rsidR="00E04567" w:rsidRPr="008B1F04">
        <w:rPr>
          <w:rFonts w:cs="Arial"/>
        </w:rPr>
        <w:t xml:space="preserve">. </w:t>
      </w:r>
    </w:p>
    <w:p w14:paraId="541F79E4" w14:textId="77777777" w:rsidR="008C3BC6" w:rsidRPr="008B1F04" w:rsidRDefault="008C3BC6" w:rsidP="002735B2">
      <w:pPr>
        <w:ind w:left="2880" w:firstLine="360"/>
        <w:rPr>
          <w:rFonts w:cs="Arial"/>
        </w:rPr>
      </w:pPr>
      <w:r w:rsidRPr="008B1F04">
        <w:rPr>
          <w:rFonts w:cs="Arial"/>
        </w:rPr>
        <w:t>Th</w:t>
      </w:r>
      <w:r w:rsidR="00340BC0" w:rsidRPr="008B1F04">
        <w:rPr>
          <w:rFonts w:cs="Arial"/>
        </w:rPr>
        <w:t xml:space="preserve">e second </w:t>
      </w:r>
      <w:r w:rsidRPr="008B1F04">
        <w:rPr>
          <w:rFonts w:cs="Arial"/>
        </w:rPr>
        <w:t>inquiry involves an examination of other</w:t>
      </w:r>
      <w:r w:rsidR="00543307" w:rsidRPr="008B1F04">
        <w:rPr>
          <w:rFonts w:cs="Arial"/>
        </w:rPr>
        <w:t xml:space="preserve"> available evidence</w:t>
      </w:r>
      <w:r w:rsidRPr="008B1F04">
        <w:rPr>
          <w:rFonts w:cs="Arial"/>
        </w:rPr>
        <w:t xml:space="preserve">. </w:t>
      </w:r>
      <w:r w:rsidR="00543307" w:rsidRPr="008B1F04">
        <w:rPr>
          <w:rFonts w:cs="Arial"/>
        </w:rPr>
        <w:t>For example, when a live witness can tes</w:t>
      </w:r>
      <w:r w:rsidR="00472851" w:rsidRPr="008B1F04">
        <w:rPr>
          <w:rFonts w:cs="Arial"/>
        </w:rPr>
        <w:t xml:space="preserve">tify to the facts in question, </w:t>
      </w:r>
      <w:r w:rsidR="00543307" w:rsidRPr="008B1F04">
        <w:rPr>
          <w:rFonts w:cs="Arial"/>
        </w:rPr>
        <w:t xml:space="preserve">that </w:t>
      </w:r>
      <w:r w:rsidR="008B1F04">
        <w:rPr>
          <w:rFonts w:cs="Arial"/>
        </w:rPr>
        <w:t xml:space="preserve">witness’s testimony </w:t>
      </w:r>
      <w:r w:rsidR="00543307" w:rsidRPr="008B1F04">
        <w:rPr>
          <w:rFonts w:cs="Arial"/>
        </w:rPr>
        <w:t xml:space="preserve">typically will be more probative than </w:t>
      </w:r>
      <w:r w:rsidR="008B1F04" w:rsidRPr="008B1F04">
        <w:rPr>
          <w:rFonts w:cs="Arial"/>
        </w:rPr>
        <w:t>similar</w:t>
      </w:r>
      <w:r w:rsidR="00543307" w:rsidRPr="008B1F04">
        <w:rPr>
          <w:rFonts w:cs="Arial"/>
        </w:rPr>
        <w:t xml:space="preserve"> hearsay statements. </w:t>
      </w:r>
      <w:r w:rsidR="0083038F" w:rsidRPr="008B1F04">
        <w:rPr>
          <w:rFonts w:cs="Arial"/>
        </w:rPr>
        <w:t xml:space="preserve">State v. Williams, 355 N.C. 501, 536 (2002) (trial court properly excluded defense </w:t>
      </w:r>
      <w:r w:rsidR="0083038F" w:rsidRPr="008B1F04">
        <w:rPr>
          <w:rFonts w:cs="Arial"/>
        </w:rPr>
        <w:lastRenderedPageBreak/>
        <w:t>evidence where an eyewitness’s testimony was more probative than the hearsay statement)</w:t>
      </w:r>
      <w:r w:rsidR="003152B2" w:rsidRPr="008B1F04">
        <w:rPr>
          <w:rFonts w:cs="Arial"/>
        </w:rPr>
        <w:t>;</w:t>
      </w:r>
      <w:r w:rsidR="00004308" w:rsidRPr="008B1F04">
        <w:rPr>
          <w:rFonts w:cs="Arial"/>
        </w:rPr>
        <w:t xml:space="preserve"> </w:t>
      </w:r>
      <w:r w:rsidR="0083038F" w:rsidRPr="008B1F04">
        <w:rPr>
          <w:rFonts w:cs="Arial"/>
        </w:rPr>
        <w:t xml:space="preserve">State v. </w:t>
      </w:r>
      <w:proofErr w:type="spellStart"/>
      <w:r w:rsidR="0083038F" w:rsidRPr="008B1F04">
        <w:rPr>
          <w:rFonts w:cs="Arial"/>
        </w:rPr>
        <w:t>Ryals</w:t>
      </w:r>
      <w:proofErr w:type="spellEnd"/>
      <w:r w:rsidR="0083038F" w:rsidRPr="008B1F04">
        <w:rPr>
          <w:rFonts w:cs="Arial"/>
        </w:rPr>
        <w:t>, 179 N.C. App. 733, 743 (2006) (trial court properly excluded defense proffered statement regarding an alibi where two other available witnesses could have served as alibi witnesses in lieu of the hearsay testimony)</w:t>
      </w:r>
      <w:r w:rsidR="00B57E48" w:rsidRPr="008B1F04">
        <w:rPr>
          <w:rFonts w:cs="Arial"/>
        </w:rPr>
        <w:t xml:space="preserve">. </w:t>
      </w:r>
      <w:r w:rsidR="00965DAD" w:rsidRPr="008B1F04">
        <w:rPr>
          <w:rFonts w:cs="Arial"/>
        </w:rPr>
        <w:t>Where the hearsay statement corroborates live testimony but also adds additional information, this requirement has been held satisfied.</w:t>
      </w:r>
      <w:r w:rsidR="00493EE6" w:rsidRPr="008B1F04">
        <w:rPr>
          <w:rFonts w:cs="Arial"/>
        </w:rPr>
        <w:t xml:space="preserve"> </w:t>
      </w:r>
      <w:r w:rsidR="0083038F" w:rsidRPr="008B1F04">
        <w:rPr>
          <w:rFonts w:cs="Arial"/>
        </w:rPr>
        <w:t>State v. King, 353 N.C. 457, 482 (2001)</w:t>
      </w:r>
      <w:r w:rsidR="00B75096" w:rsidRPr="008B1F04">
        <w:rPr>
          <w:rFonts w:cs="Arial"/>
        </w:rPr>
        <w:t>.</w:t>
      </w:r>
    </w:p>
    <w:p w14:paraId="56940BF3" w14:textId="77777777" w:rsidR="00E04567" w:rsidRPr="008B1F04" w:rsidRDefault="00D43147" w:rsidP="002735B2">
      <w:pPr>
        <w:ind w:left="2880" w:firstLine="360"/>
        <w:rPr>
          <w:rFonts w:cs="Arial"/>
        </w:rPr>
      </w:pPr>
      <w:r w:rsidRPr="008B1F04">
        <w:rPr>
          <w:rFonts w:cs="Arial"/>
        </w:rPr>
        <w:t xml:space="preserve">The second requirement is easily satisfied when the declarant is the only person with the relevant information. </w:t>
      </w:r>
      <w:r w:rsidR="0083038F" w:rsidRPr="008B1F04">
        <w:rPr>
          <w:rFonts w:cs="Arial"/>
          <w:i/>
        </w:rPr>
        <w:t>Fowler</w:t>
      </w:r>
      <w:r w:rsidR="0083038F" w:rsidRPr="008B1F04">
        <w:rPr>
          <w:rFonts w:cs="Arial"/>
        </w:rPr>
        <w:t xml:space="preserve">, 353 N.C. at 613 (requirement satisfied where the declarant was the only surviving victim of the crimes, the only eyewitness to the entire event, and </w:t>
      </w:r>
      <w:r w:rsidR="008B1F04" w:rsidRPr="008B1F04">
        <w:rPr>
          <w:rFonts w:cs="Arial"/>
        </w:rPr>
        <w:t xml:space="preserve">because the declarant was </w:t>
      </w:r>
      <w:r w:rsidR="0083038F" w:rsidRPr="008B1F04">
        <w:rPr>
          <w:rFonts w:cs="Arial"/>
        </w:rPr>
        <w:t xml:space="preserve">the closest person to the assailants </w:t>
      </w:r>
      <w:r w:rsidR="008B1F04" w:rsidRPr="008B1F04">
        <w:rPr>
          <w:rFonts w:cs="Arial"/>
        </w:rPr>
        <w:t xml:space="preserve">the declarant </w:t>
      </w:r>
      <w:r w:rsidR="0083038F" w:rsidRPr="008B1F04">
        <w:rPr>
          <w:rFonts w:cs="Arial"/>
        </w:rPr>
        <w:t>had the best opportunity to observe them)</w:t>
      </w:r>
      <w:r w:rsidR="00E04567" w:rsidRPr="008B1F04">
        <w:rPr>
          <w:rFonts w:cs="Arial"/>
        </w:rPr>
        <w:t xml:space="preserve">; </w:t>
      </w:r>
      <w:r w:rsidR="0083038F" w:rsidRPr="008B1F04">
        <w:rPr>
          <w:rFonts w:cs="Arial"/>
        </w:rPr>
        <w:t>State v. Brigman, 178 N.C. App. 78, 88 (2006) (other than victims/declarants who were unavailable because they could not remember the incidents, the only eyewitness was the defendant’s wife, who was appealing her own convictions for the same acts and thus is was not clear that she could or would testify)</w:t>
      </w:r>
      <w:r w:rsidR="00F86725" w:rsidRPr="008B1F04">
        <w:rPr>
          <w:rFonts w:cs="Arial"/>
        </w:rPr>
        <w:t xml:space="preserve">; </w:t>
      </w:r>
      <w:r w:rsidR="0083038F" w:rsidRPr="008B1F04">
        <w:rPr>
          <w:rFonts w:cs="Arial"/>
          <w:i/>
        </w:rPr>
        <w:t>Allen</w:t>
      </w:r>
      <w:r w:rsidR="0083038F" w:rsidRPr="008B1F04">
        <w:rPr>
          <w:rFonts w:cs="Arial"/>
        </w:rPr>
        <w:t xml:space="preserve">, 162 N.C. App. </w:t>
      </w:r>
      <w:r w:rsidR="001C1444" w:rsidRPr="008B1F04">
        <w:rPr>
          <w:rFonts w:cs="Arial"/>
        </w:rPr>
        <w:t>at</w:t>
      </w:r>
      <w:r w:rsidR="0083038F" w:rsidRPr="008B1F04">
        <w:rPr>
          <w:rFonts w:cs="Arial"/>
        </w:rPr>
        <w:t xml:space="preserve"> 596 (evidence properly admitted where the trial court found that the declarant was the only person capable of identifying the perpetrators)</w:t>
      </w:r>
      <w:r w:rsidR="00472851" w:rsidRPr="008B1F04">
        <w:rPr>
          <w:rFonts w:cs="Arial"/>
        </w:rPr>
        <w:t xml:space="preserve">. </w:t>
      </w:r>
    </w:p>
    <w:p w14:paraId="089B473E" w14:textId="77777777" w:rsidR="00C65C36" w:rsidRPr="008B1F04" w:rsidRDefault="00C65C36" w:rsidP="002735B2">
      <w:pPr>
        <w:ind w:left="2880" w:firstLine="360"/>
        <w:rPr>
          <w:rFonts w:cs="Arial"/>
        </w:rPr>
      </w:pPr>
      <w:r w:rsidRPr="008B1F04">
        <w:rPr>
          <w:rFonts w:cs="Arial"/>
        </w:rPr>
        <w:t>The trial court must make findings of fact and conclusions of law as to this fifth step in the analysis.</w:t>
      </w:r>
      <w:r w:rsidR="00493EE6" w:rsidRPr="008B1F04">
        <w:rPr>
          <w:rFonts w:cs="Arial"/>
        </w:rPr>
        <w:t xml:space="preserve"> </w:t>
      </w:r>
      <w:r w:rsidR="0083038F" w:rsidRPr="008B1F04">
        <w:rPr>
          <w:rFonts w:cs="Arial"/>
          <w:i/>
        </w:rPr>
        <w:t>Smith</w:t>
      </w:r>
      <w:r w:rsidR="0083038F" w:rsidRPr="008B1F04">
        <w:rPr>
          <w:rFonts w:cs="Arial"/>
        </w:rPr>
        <w:t>, 315 N.C. at 96</w:t>
      </w:r>
      <w:r w:rsidRPr="008B1F04">
        <w:rPr>
          <w:rFonts w:cs="Arial"/>
        </w:rPr>
        <w:t>.</w:t>
      </w:r>
    </w:p>
    <w:p w14:paraId="4808C075" w14:textId="77777777" w:rsidR="0027423A" w:rsidRPr="008B1F04" w:rsidRDefault="000046E6" w:rsidP="00F83AD6">
      <w:pPr>
        <w:pStyle w:val="ListParagraph"/>
        <w:numPr>
          <w:ilvl w:val="3"/>
          <w:numId w:val="2"/>
        </w:numPr>
        <w:rPr>
          <w:rFonts w:cs="Arial"/>
        </w:rPr>
      </w:pPr>
      <w:r w:rsidRPr="008B1F04">
        <w:rPr>
          <w:b/>
        </w:rPr>
        <w:t>Interests of Justice</w:t>
      </w:r>
      <w:r w:rsidR="002735B2" w:rsidRPr="008B1F04">
        <w:rPr>
          <w:b/>
        </w:rPr>
        <w:t xml:space="preserve">. </w:t>
      </w:r>
      <w:r w:rsidRPr="008B1F04">
        <w:rPr>
          <w:rFonts w:cs="Arial"/>
        </w:rPr>
        <w:t>The final step in the inquiry requires the trial court to determine whether the interests of justice will be best served by admission of the statement.</w:t>
      </w:r>
      <w:r w:rsidR="00FB7B2C" w:rsidRPr="008B1F04">
        <w:rPr>
          <w:rFonts w:cs="Arial"/>
        </w:rPr>
        <w:t xml:space="preserve"> </w:t>
      </w:r>
      <w:r w:rsidR="00850145" w:rsidRPr="008B1F04">
        <w:rPr>
          <w:rFonts w:cs="Arial"/>
        </w:rPr>
        <w:t xml:space="preserve">This prong is fairly broadly construed. </w:t>
      </w:r>
      <w:r w:rsidR="00850145" w:rsidRPr="008B1F04">
        <w:rPr>
          <w:rFonts w:cs="Arial"/>
          <w:i/>
        </w:rPr>
        <w:t xml:space="preserve">See, e.g., </w:t>
      </w:r>
      <w:r w:rsidR="0083038F" w:rsidRPr="008B1F04">
        <w:rPr>
          <w:rFonts w:cs="Arial"/>
        </w:rPr>
        <w:t>State v. Valentine, 357 N.C. 512, 520 (2003) (“By permitting the victim’s statements to be admitted into evidence, the trial court served the ‘interests of justice’ by providing jurors with the necessary tools to ascertain the truth.”)</w:t>
      </w:r>
      <w:r w:rsidR="00021B3E" w:rsidRPr="008B1F04">
        <w:rPr>
          <w:rFonts w:cs="Arial"/>
        </w:rPr>
        <w:t>.</w:t>
      </w:r>
      <w:r w:rsidR="00850145" w:rsidRPr="008B1F04">
        <w:rPr>
          <w:rFonts w:cs="Arial"/>
        </w:rPr>
        <w:t xml:space="preserve"> </w:t>
      </w:r>
    </w:p>
    <w:p w14:paraId="12CC256B" w14:textId="77777777" w:rsidR="00021B3E" w:rsidRPr="008B1F04" w:rsidRDefault="00021B3E" w:rsidP="002735B2">
      <w:pPr>
        <w:ind w:left="2880" w:firstLine="360"/>
        <w:rPr>
          <w:rFonts w:cs="Arial"/>
        </w:rPr>
      </w:pPr>
      <w:r w:rsidRPr="008B1F04">
        <w:rPr>
          <w:rFonts w:cs="Arial"/>
        </w:rPr>
        <w:t>Detailed findings of fact are not required regarding this step in the analysis</w:t>
      </w:r>
      <w:r w:rsidR="00472851" w:rsidRPr="008B1F04">
        <w:rPr>
          <w:rFonts w:cs="Arial"/>
        </w:rPr>
        <w:t>,</w:t>
      </w:r>
      <w:r w:rsidRPr="008B1F04">
        <w:rPr>
          <w:rFonts w:cs="Arial"/>
        </w:rPr>
        <w:t xml:space="preserve"> but the judge must state his or her conclusion in the record. </w:t>
      </w:r>
      <w:r w:rsidR="0083038F" w:rsidRPr="008B1F04">
        <w:rPr>
          <w:rFonts w:cs="Arial"/>
          <w:i/>
        </w:rPr>
        <w:t>Smith</w:t>
      </w:r>
      <w:r w:rsidR="0083038F" w:rsidRPr="008B1F04">
        <w:rPr>
          <w:rFonts w:cs="Arial"/>
        </w:rPr>
        <w:t>, 315 N.C. at 96</w:t>
      </w:r>
      <w:r w:rsidRPr="008B1F04">
        <w:rPr>
          <w:rFonts w:cs="Arial"/>
        </w:rPr>
        <w:t>.</w:t>
      </w:r>
    </w:p>
    <w:p w14:paraId="3CC43657" w14:textId="77777777" w:rsidR="00021B3E" w:rsidRPr="008B1F04" w:rsidRDefault="00021B3E" w:rsidP="00F83AD6">
      <w:pPr>
        <w:rPr>
          <w:rFonts w:cs="Arial"/>
        </w:rPr>
      </w:pPr>
    </w:p>
    <w:p w14:paraId="4E65717C" w14:textId="77777777" w:rsidR="00C67CC5" w:rsidRPr="008B1F04" w:rsidRDefault="00596C07" w:rsidP="00D35326">
      <w:pPr>
        <w:pStyle w:val="ListParagraph"/>
        <w:numPr>
          <w:ilvl w:val="0"/>
          <w:numId w:val="44"/>
        </w:numPr>
        <w:rPr>
          <w:rFonts w:cs="Arial"/>
        </w:rPr>
      </w:pPr>
      <w:bookmarkStart w:id="28" w:name="_Toc405983799"/>
      <w:r w:rsidRPr="00C635C1">
        <w:rPr>
          <w:rStyle w:val="Heading2Char"/>
        </w:rPr>
        <w:t>Rule 804 Exceptions: Declarant Unavailable</w:t>
      </w:r>
      <w:bookmarkEnd w:id="28"/>
      <w:r w:rsidR="00ED07FC" w:rsidRPr="008B1F04">
        <w:rPr>
          <w:b/>
        </w:rPr>
        <w:t xml:space="preserve">. </w:t>
      </w:r>
      <w:r w:rsidRPr="008B1F04">
        <w:rPr>
          <w:rFonts w:cs="Arial"/>
        </w:rPr>
        <w:t xml:space="preserve">Rule 804 contains </w:t>
      </w:r>
      <w:r w:rsidR="005B7F9F" w:rsidRPr="008B1F04">
        <w:rPr>
          <w:rFonts w:cs="Arial"/>
        </w:rPr>
        <w:t xml:space="preserve">five </w:t>
      </w:r>
      <w:r w:rsidR="00CA6D08" w:rsidRPr="008B1F04">
        <w:rPr>
          <w:rFonts w:cs="Arial"/>
        </w:rPr>
        <w:t>hearsay exceptions that</w:t>
      </w:r>
      <w:r w:rsidRPr="008B1F04">
        <w:rPr>
          <w:rFonts w:cs="Arial"/>
        </w:rPr>
        <w:t xml:space="preserve"> apply when the declarant is unavailable.</w:t>
      </w:r>
      <w:r w:rsidR="005B7F9F" w:rsidRPr="008B1F04">
        <w:rPr>
          <w:rFonts w:cs="Arial"/>
        </w:rPr>
        <w:t xml:space="preserve"> One of these exceptions rarely arises in the criminal law and is noted only in the accompanying fo</w:t>
      </w:r>
      <w:r w:rsidR="006A3A4B" w:rsidRPr="008B1F04">
        <w:rPr>
          <w:rFonts w:cs="Arial"/>
        </w:rPr>
        <w:t>otnote.</w:t>
      </w:r>
      <w:r w:rsidR="006A3A4B" w:rsidRPr="008B1F04">
        <w:rPr>
          <w:rStyle w:val="FootnoteReference"/>
          <w:rFonts w:cs="Arial"/>
        </w:rPr>
        <w:footnoteReference w:id="2"/>
      </w:r>
      <w:r w:rsidR="006A3A4B" w:rsidRPr="008B1F04">
        <w:rPr>
          <w:rFonts w:cs="Arial"/>
        </w:rPr>
        <w:t xml:space="preserve"> The other Rule 804 </w:t>
      </w:r>
      <w:r w:rsidR="00CA6D08" w:rsidRPr="008B1F04">
        <w:rPr>
          <w:rFonts w:cs="Arial"/>
        </w:rPr>
        <w:t xml:space="preserve">exceptions </w:t>
      </w:r>
      <w:r w:rsidR="006A3A4B" w:rsidRPr="008B1F04">
        <w:rPr>
          <w:rFonts w:cs="Arial"/>
        </w:rPr>
        <w:t>are discussed in the subsections that follow.</w:t>
      </w:r>
      <w:r w:rsidRPr="008B1F04">
        <w:rPr>
          <w:rFonts w:cs="Arial"/>
        </w:rPr>
        <w:t xml:space="preserve"> </w:t>
      </w:r>
    </w:p>
    <w:p w14:paraId="24BF7FA2" w14:textId="77777777" w:rsidR="00B72BDB" w:rsidRPr="008B1F04" w:rsidRDefault="00C67CC5" w:rsidP="00F83AD6">
      <w:pPr>
        <w:pStyle w:val="ListParagraph"/>
        <w:numPr>
          <w:ilvl w:val="0"/>
          <w:numId w:val="41"/>
        </w:numPr>
        <w:rPr>
          <w:rFonts w:cs="Arial"/>
        </w:rPr>
      </w:pPr>
      <w:bookmarkStart w:id="29" w:name="_Toc405983800"/>
      <w:r w:rsidRPr="00A2261E">
        <w:rPr>
          <w:rStyle w:val="Heading3Char"/>
        </w:rPr>
        <w:t>Unavailability</w:t>
      </w:r>
      <w:bookmarkEnd w:id="29"/>
      <w:r w:rsidR="00ED07FC" w:rsidRPr="008B1F04">
        <w:rPr>
          <w:b/>
        </w:rPr>
        <w:t xml:space="preserve">. </w:t>
      </w:r>
      <w:r w:rsidR="00B72BDB" w:rsidRPr="008B1F04">
        <w:rPr>
          <w:rFonts w:cs="Arial"/>
        </w:rPr>
        <w:t xml:space="preserve">Although many </w:t>
      </w:r>
      <w:r w:rsidR="00CA6D08" w:rsidRPr="008B1F04">
        <w:rPr>
          <w:rFonts w:cs="Arial"/>
        </w:rPr>
        <w:t>think that</w:t>
      </w:r>
      <w:r w:rsidR="00B72BDB" w:rsidRPr="008B1F04">
        <w:rPr>
          <w:rFonts w:cs="Arial"/>
        </w:rPr>
        <w:t xml:space="preserve"> hea</w:t>
      </w:r>
      <w:r w:rsidR="00CA6D08" w:rsidRPr="008B1F04">
        <w:rPr>
          <w:rFonts w:cs="Arial"/>
        </w:rPr>
        <w:t>rsay unavailability refers</w:t>
      </w:r>
      <w:r w:rsidR="00B72BDB" w:rsidRPr="008B1F04">
        <w:rPr>
          <w:rFonts w:cs="Arial"/>
        </w:rPr>
        <w:t xml:space="preserve"> to unavailability of the witness, it actually refers to unavailability of the witness’s testimony. 2 </w:t>
      </w:r>
      <w:r w:rsidR="00B72BDB" w:rsidRPr="008B1F04">
        <w:rPr>
          <w:rFonts w:cs="Arial"/>
          <w:smallCaps/>
        </w:rPr>
        <w:t xml:space="preserve">McCormick </w:t>
      </w:r>
      <w:r w:rsidR="00B72BDB" w:rsidRPr="008B1F04">
        <w:rPr>
          <w:rFonts w:cs="Arial"/>
        </w:rPr>
        <w:t>at 244. As noted immediately below, in some circumstance</w:t>
      </w:r>
      <w:r w:rsidR="006D20F1" w:rsidRPr="008B1F04">
        <w:rPr>
          <w:rFonts w:cs="Arial"/>
        </w:rPr>
        <w:t>s</w:t>
      </w:r>
      <w:r w:rsidR="00B72BDB" w:rsidRPr="008B1F04">
        <w:rPr>
          <w:rFonts w:cs="Arial"/>
        </w:rPr>
        <w:t xml:space="preserve">, </w:t>
      </w:r>
      <w:r w:rsidR="006D20F1" w:rsidRPr="008B1F04">
        <w:rPr>
          <w:rFonts w:cs="Arial"/>
        </w:rPr>
        <w:t xml:space="preserve">a </w:t>
      </w:r>
      <w:r w:rsidR="00B72BDB" w:rsidRPr="008B1F04">
        <w:rPr>
          <w:rFonts w:cs="Arial"/>
        </w:rPr>
        <w:t>witness</w:t>
      </w:r>
      <w:r w:rsidR="006D20F1" w:rsidRPr="008B1F04">
        <w:rPr>
          <w:rFonts w:cs="Arial"/>
        </w:rPr>
        <w:t xml:space="preserve"> may be deemed to be unavailab</w:t>
      </w:r>
      <w:r w:rsidR="00472851" w:rsidRPr="008B1F04">
        <w:rPr>
          <w:rFonts w:cs="Arial"/>
        </w:rPr>
        <w:t>le for purposes of the hearsay r</w:t>
      </w:r>
      <w:r w:rsidR="006D20F1" w:rsidRPr="008B1F04">
        <w:rPr>
          <w:rFonts w:cs="Arial"/>
        </w:rPr>
        <w:t>ule even when he or she</w:t>
      </w:r>
      <w:r w:rsidR="00493EE6" w:rsidRPr="008B1F04">
        <w:rPr>
          <w:rFonts w:cs="Arial"/>
        </w:rPr>
        <w:t xml:space="preserve"> </w:t>
      </w:r>
      <w:r w:rsidR="00B72BDB" w:rsidRPr="008B1F04">
        <w:rPr>
          <w:rFonts w:cs="Arial"/>
        </w:rPr>
        <w:t xml:space="preserve">is physically present in the courtroom. </w:t>
      </w:r>
    </w:p>
    <w:p w14:paraId="61903EAB" w14:textId="77777777" w:rsidR="004D25CA" w:rsidRPr="008B1F04" w:rsidRDefault="00B72BDB" w:rsidP="00ED07FC">
      <w:pPr>
        <w:ind w:left="2160" w:firstLine="360"/>
        <w:rPr>
          <w:rFonts w:cs="Arial"/>
        </w:rPr>
      </w:pPr>
      <w:r w:rsidRPr="008B1F04">
        <w:rPr>
          <w:rFonts w:cs="Arial"/>
        </w:rPr>
        <w:lastRenderedPageBreak/>
        <w:t>Rule 804(a) provides that a</w:t>
      </w:r>
      <w:r w:rsidR="00596C07" w:rsidRPr="008B1F04">
        <w:rPr>
          <w:rFonts w:cs="Arial"/>
        </w:rPr>
        <w:t xml:space="preserve"> declarant is unavailable when he or she</w:t>
      </w:r>
    </w:p>
    <w:p w14:paraId="75C117A2" w14:textId="77777777" w:rsidR="00596C07" w:rsidRPr="008B1F04" w:rsidRDefault="00596C07" w:rsidP="00ED07FC">
      <w:pPr>
        <w:ind w:left="2160"/>
        <w:rPr>
          <w:rFonts w:cs="Arial"/>
        </w:rPr>
      </w:pPr>
    </w:p>
    <w:p w14:paraId="0BB4A92D" w14:textId="77777777" w:rsidR="00596C07" w:rsidRPr="008B1F04" w:rsidRDefault="00596C07" w:rsidP="008B1F04">
      <w:pPr>
        <w:pStyle w:val="ListParagraph"/>
        <w:numPr>
          <w:ilvl w:val="0"/>
          <w:numId w:val="16"/>
        </w:numPr>
        <w:ind w:left="3240" w:right="1440"/>
        <w:rPr>
          <w:rFonts w:cs="Arial"/>
        </w:rPr>
      </w:pPr>
      <w:r w:rsidRPr="008B1F04">
        <w:rPr>
          <w:rFonts w:cs="Arial"/>
        </w:rPr>
        <w:t>i</w:t>
      </w:r>
      <w:r w:rsidR="004C0063" w:rsidRPr="008B1F04">
        <w:rPr>
          <w:rFonts w:cs="Arial"/>
        </w:rPr>
        <w:t xml:space="preserve">s exempted by ruling of the court on the ground of privilege from testifying concerning the subject matter of his statement; </w:t>
      </w:r>
    </w:p>
    <w:p w14:paraId="2CCAD8A0" w14:textId="77777777" w:rsidR="00596C07" w:rsidRPr="008B1F04" w:rsidRDefault="00596C07" w:rsidP="008B1F04">
      <w:pPr>
        <w:pStyle w:val="ListParagraph"/>
        <w:numPr>
          <w:ilvl w:val="0"/>
          <w:numId w:val="16"/>
        </w:numPr>
        <w:ind w:left="3240" w:right="1440"/>
        <w:rPr>
          <w:rFonts w:cs="Arial"/>
        </w:rPr>
      </w:pPr>
      <w:r w:rsidRPr="008B1F04">
        <w:rPr>
          <w:rFonts w:cs="Arial"/>
        </w:rPr>
        <w:t>p</w:t>
      </w:r>
      <w:r w:rsidR="004C0063" w:rsidRPr="008B1F04">
        <w:rPr>
          <w:rFonts w:cs="Arial"/>
        </w:rPr>
        <w:t>ersists in refusing to testify concerning the subject matter of his statement despite an</w:t>
      </w:r>
      <w:r w:rsidRPr="008B1F04">
        <w:rPr>
          <w:rFonts w:cs="Arial"/>
        </w:rPr>
        <w:t xml:space="preserve"> order of the court to do so;</w:t>
      </w:r>
    </w:p>
    <w:p w14:paraId="7CE52B38" w14:textId="77777777" w:rsidR="00596C07" w:rsidRPr="008B1F04" w:rsidRDefault="00596C07" w:rsidP="008B1F04">
      <w:pPr>
        <w:pStyle w:val="ListParagraph"/>
        <w:numPr>
          <w:ilvl w:val="0"/>
          <w:numId w:val="16"/>
        </w:numPr>
        <w:ind w:left="3240" w:right="1440"/>
        <w:rPr>
          <w:rFonts w:cs="Arial"/>
        </w:rPr>
      </w:pPr>
      <w:r w:rsidRPr="008B1F04">
        <w:rPr>
          <w:rFonts w:cs="Arial"/>
        </w:rPr>
        <w:t>t</w:t>
      </w:r>
      <w:r w:rsidR="004C0063" w:rsidRPr="008B1F04">
        <w:rPr>
          <w:rFonts w:cs="Arial"/>
        </w:rPr>
        <w:t xml:space="preserve">estifies to a lack of memory of the subject matter of his statement; </w:t>
      </w:r>
    </w:p>
    <w:p w14:paraId="7EB7ECEA" w14:textId="77777777" w:rsidR="00596C07" w:rsidRPr="008B1F04" w:rsidRDefault="00596C07" w:rsidP="008B1F04">
      <w:pPr>
        <w:pStyle w:val="ListParagraph"/>
        <w:numPr>
          <w:ilvl w:val="0"/>
          <w:numId w:val="16"/>
        </w:numPr>
        <w:ind w:left="3240" w:right="1440"/>
        <w:rPr>
          <w:rFonts w:cs="Arial"/>
        </w:rPr>
      </w:pPr>
      <w:r w:rsidRPr="008B1F04">
        <w:rPr>
          <w:rFonts w:cs="Arial"/>
        </w:rPr>
        <w:t>i</w:t>
      </w:r>
      <w:r w:rsidR="004C0063" w:rsidRPr="008B1F04">
        <w:rPr>
          <w:rFonts w:cs="Arial"/>
        </w:rPr>
        <w:t>s unable to be present or to testify at the hearing because of death or then existing physical or</w:t>
      </w:r>
      <w:r w:rsidRPr="008B1F04">
        <w:rPr>
          <w:rFonts w:cs="Arial"/>
        </w:rPr>
        <w:t xml:space="preserve"> mental illness or infirmity; or</w:t>
      </w:r>
    </w:p>
    <w:p w14:paraId="7108CAA9" w14:textId="77777777" w:rsidR="004C0063" w:rsidRPr="008B1F04" w:rsidRDefault="00596C07" w:rsidP="008B1F04">
      <w:pPr>
        <w:pStyle w:val="ListParagraph"/>
        <w:numPr>
          <w:ilvl w:val="0"/>
          <w:numId w:val="16"/>
        </w:numPr>
        <w:ind w:left="3240" w:right="1440"/>
        <w:rPr>
          <w:rFonts w:cs="Arial"/>
        </w:rPr>
      </w:pPr>
      <w:r w:rsidRPr="008B1F04">
        <w:rPr>
          <w:rFonts w:cs="Arial"/>
        </w:rPr>
        <w:t>i</w:t>
      </w:r>
      <w:r w:rsidR="004C0063" w:rsidRPr="008B1F04">
        <w:rPr>
          <w:rFonts w:cs="Arial"/>
        </w:rPr>
        <w:t>s absent from the hearing and the proponent of his statement has been unable to procure his attendance (or in the case of a hearsay exception under subdivision (b)(2), (3), or (4), his attendance or testimony) by process or other reasonable means.</w:t>
      </w:r>
    </w:p>
    <w:p w14:paraId="7953A6C2" w14:textId="77777777" w:rsidR="00596C07" w:rsidRPr="008B1F04" w:rsidRDefault="00596C07" w:rsidP="00ED07FC">
      <w:pPr>
        <w:ind w:left="2160"/>
        <w:rPr>
          <w:rFonts w:cs="Arial"/>
        </w:rPr>
      </w:pPr>
    </w:p>
    <w:p w14:paraId="193159F0" w14:textId="77777777" w:rsidR="004C0063" w:rsidRPr="008B1F04" w:rsidRDefault="0083038F" w:rsidP="00ED07FC">
      <w:pPr>
        <w:ind w:left="2160"/>
        <w:rPr>
          <w:rFonts w:cs="Arial"/>
        </w:rPr>
      </w:pPr>
      <w:r w:rsidRPr="008B1F04">
        <w:rPr>
          <w:rFonts w:cs="Arial"/>
          <w:smallCaps/>
        </w:rPr>
        <w:t>N.C. R. Evid</w:t>
      </w:r>
      <w:r w:rsidRPr="008B1F04">
        <w:rPr>
          <w:rFonts w:cs="Arial"/>
        </w:rPr>
        <w:t>. 804(a)</w:t>
      </w:r>
      <w:r w:rsidR="00596C07" w:rsidRPr="008B1F04">
        <w:rPr>
          <w:rFonts w:cs="Arial"/>
        </w:rPr>
        <w:t xml:space="preserve">. </w:t>
      </w:r>
      <w:r w:rsidR="001C0FA0" w:rsidRPr="008B1F04">
        <w:rPr>
          <w:rFonts w:cs="Arial"/>
        </w:rPr>
        <w:t>Notice that for the first three unavailability grounds the witness is physical</w:t>
      </w:r>
      <w:r w:rsidR="004D1F3B" w:rsidRPr="008B1F04">
        <w:rPr>
          <w:rFonts w:cs="Arial"/>
        </w:rPr>
        <w:t>ly</w:t>
      </w:r>
      <w:r w:rsidR="001C0FA0" w:rsidRPr="008B1F04">
        <w:rPr>
          <w:rFonts w:cs="Arial"/>
        </w:rPr>
        <w:t xml:space="preserve"> present in the courtroom but unavailable to testify.</w:t>
      </w:r>
    </w:p>
    <w:p w14:paraId="1554109A" w14:textId="77777777" w:rsidR="00224B08" w:rsidRPr="008B1F04" w:rsidRDefault="00187564" w:rsidP="00F83AD6">
      <w:pPr>
        <w:pStyle w:val="ListParagraph"/>
        <w:numPr>
          <w:ilvl w:val="4"/>
          <w:numId w:val="2"/>
        </w:numPr>
        <w:rPr>
          <w:rFonts w:cs="Arial"/>
        </w:rPr>
      </w:pPr>
      <w:r w:rsidRPr="008B1F04">
        <w:rPr>
          <w:b/>
        </w:rPr>
        <w:t>Privilege</w:t>
      </w:r>
      <w:r w:rsidR="00ED07FC" w:rsidRPr="008B1F04">
        <w:rPr>
          <w:b/>
        </w:rPr>
        <w:t xml:space="preserve">. </w:t>
      </w:r>
      <w:r w:rsidR="004D2671" w:rsidRPr="008B1F04">
        <w:rPr>
          <w:rFonts w:cs="Arial"/>
        </w:rPr>
        <w:t>A witness is unavailable</w:t>
      </w:r>
      <w:r w:rsidR="002667ED" w:rsidRPr="008B1F04">
        <w:rPr>
          <w:rFonts w:cs="Arial"/>
        </w:rPr>
        <w:t xml:space="preserve"> </w:t>
      </w:r>
      <w:r w:rsidR="00224B08" w:rsidRPr="008B1F04">
        <w:rPr>
          <w:rFonts w:cs="Arial"/>
        </w:rPr>
        <w:t>if he or she is “</w:t>
      </w:r>
      <w:r w:rsidR="002667ED" w:rsidRPr="008B1F04">
        <w:rPr>
          <w:rFonts w:cs="Arial"/>
        </w:rPr>
        <w:t>exempted by ruling of the court on the ground of privilege from testifying concerning the subject matter of his statement</w:t>
      </w:r>
      <w:r w:rsidR="00224B08" w:rsidRPr="008B1F04">
        <w:rPr>
          <w:rFonts w:cs="Arial"/>
        </w:rPr>
        <w:t xml:space="preserve">.” </w:t>
      </w:r>
      <w:r w:rsidR="0083038F" w:rsidRPr="008B1F04">
        <w:rPr>
          <w:rFonts w:cs="Arial"/>
          <w:smallCaps/>
        </w:rPr>
        <w:t>N.C.R. Evid</w:t>
      </w:r>
      <w:r w:rsidR="0083038F" w:rsidRPr="008B1F04">
        <w:rPr>
          <w:rFonts w:cs="Arial"/>
        </w:rPr>
        <w:t>. 804(a)</w:t>
      </w:r>
      <w:r w:rsidR="00826072" w:rsidRPr="008B1F04">
        <w:rPr>
          <w:rFonts w:cs="Arial"/>
        </w:rPr>
        <w:t xml:space="preserve">. </w:t>
      </w:r>
      <w:r w:rsidR="001C0FA0" w:rsidRPr="008B1F04">
        <w:rPr>
          <w:rFonts w:cs="Arial"/>
        </w:rPr>
        <w:t xml:space="preserve">One commonly asserted </w:t>
      </w:r>
      <w:r w:rsidRPr="008B1F04">
        <w:rPr>
          <w:rFonts w:cs="Arial"/>
        </w:rPr>
        <w:t xml:space="preserve">privilege </w:t>
      </w:r>
      <w:r w:rsidR="00826072" w:rsidRPr="008B1F04">
        <w:rPr>
          <w:rFonts w:cs="Arial"/>
        </w:rPr>
        <w:t xml:space="preserve">in this context </w:t>
      </w:r>
      <w:r w:rsidRPr="008B1F04">
        <w:rPr>
          <w:rFonts w:cs="Arial"/>
        </w:rPr>
        <w:t>is the F</w:t>
      </w:r>
      <w:r w:rsidR="00C67CC5" w:rsidRPr="008B1F04">
        <w:rPr>
          <w:rFonts w:cs="Arial"/>
        </w:rPr>
        <w:t>ifth Amendment privilege against self-incrimination</w:t>
      </w:r>
      <w:r w:rsidRPr="008B1F04">
        <w:rPr>
          <w:rFonts w:cs="Arial"/>
        </w:rPr>
        <w:t xml:space="preserve">. </w:t>
      </w:r>
      <w:r w:rsidRPr="008B1F04">
        <w:rPr>
          <w:rFonts w:cs="Arial"/>
          <w:i/>
        </w:rPr>
        <w:t xml:space="preserve">See, e.g., </w:t>
      </w:r>
      <w:r w:rsidR="0083038F" w:rsidRPr="008B1F04">
        <w:rPr>
          <w:rFonts w:cs="Arial"/>
        </w:rPr>
        <w:t xml:space="preserve">State v. </w:t>
      </w:r>
      <w:proofErr w:type="spellStart"/>
      <w:r w:rsidR="0083038F" w:rsidRPr="008B1F04">
        <w:rPr>
          <w:rFonts w:cs="Arial"/>
        </w:rPr>
        <w:t>Sargeant</w:t>
      </w:r>
      <w:proofErr w:type="spellEnd"/>
      <w:r w:rsidR="0083038F" w:rsidRPr="008B1F04">
        <w:rPr>
          <w:rFonts w:cs="Arial"/>
        </w:rPr>
        <w:t>, 365 N.C. 58, 62 (2011) (witness invoked his Fifth Amendment rights and was unavailable)</w:t>
      </w:r>
      <w:r w:rsidR="00671856" w:rsidRPr="008B1F04">
        <w:rPr>
          <w:rFonts w:cs="Arial"/>
        </w:rPr>
        <w:t>.</w:t>
      </w:r>
      <w:r w:rsidR="00493EE6" w:rsidRPr="008B1F04">
        <w:rPr>
          <w:rFonts w:cs="Arial"/>
        </w:rPr>
        <w:t xml:space="preserve"> </w:t>
      </w:r>
      <w:r w:rsidR="004D2671" w:rsidRPr="008B1F04">
        <w:rPr>
          <w:rFonts w:cs="Arial"/>
        </w:rPr>
        <w:t xml:space="preserve">Another </w:t>
      </w:r>
      <w:r w:rsidR="00826072" w:rsidRPr="008B1F04">
        <w:rPr>
          <w:rFonts w:cs="Arial"/>
        </w:rPr>
        <w:t xml:space="preserve">is </w:t>
      </w:r>
      <w:r w:rsidR="001C0FA0" w:rsidRPr="008B1F04">
        <w:rPr>
          <w:rFonts w:cs="Arial"/>
        </w:rPr>
        <w:t xml:space="preserve">the </w:t>
      </w:r>
      <w:r w:rsidR="004D2671" w:rsidRPr="008B1F04">
        <w:rPr>
          <w:rFonts w:cs="Arial"/>
        </w:rPr>
        <w:t xml:space="preserve">marital privilege. </w:t>
      </w:r>
      <w:r w:rsidR="00826072" w:rsidRPr="008B1F04">
        <w:rPr>
          <w:rFonts w:cs="Arial"/>
          <w:i/>
        </w:rPr>
        <w:t xml:space="preserve">See, e.g., </w:t>
      </w:r>
      <w:r w:rsidR="0083038F" w:rsidRPr="008B1F04">
        <w:rPr>
          <w:rFonts w:cs="Arial"/>
        </w:rPr>
        <w:t>State v. Carter, 156 N.C. App. 446, 454 (2003) (witness asserted the marital privilege)</w:t>
      </w:r>
      <w:r w:rsidR="00A91F28" w:rsidRPr="008B1F04">
        <w:rPr>
          <w:rFonts w:cs="Arial"/>
        </w:rPr>
        <w:t>.</w:t>
      </w:r>
      <w:r w:rsidR="001C0FA0" w:rsidRPr="008B1F04">
        <w:rPr>
          <w:rFonts w:cs="Arial"/>
        </w:rPr>
        <w:t xml:space="preserve"> </w:t>
      </w:r>
    </w:p>
    <w:p w14:paraId="550D9133" w14:textId="77777777" w:rsidR="00C67CC5" w:rsidRPr="008B1F04" w:rsidRDefault="00671856" w:rsidP="00ED07FC">
      <w:pPr>
        <w:ind w:left="2880" w:firstLine="360"/>
        <w:rPr>
          <w:rFonts w:cs="Arial"/>
        </w:rPr>
      </w:pPr>
      <w:r w:rsidRPr="008B1F04">
        <w:rPr>
          <w:rFonts w:cs="Arial"/>
        </w:rPr>
        <w:t>This ground</w:t>
      </w:r>
      <w:r w:rsidR="001C0FA0" w:rsidRPr="008B1F04">
        <w:rPr>
          <w:rFonts w:cs="Arial"/>
        </w:rPr>
        <w:t xml:space="preserve"> for availability will require a determination by the trial court that the asserted privilege in fact applies; if the privilege does not apply and witness refuses to answer </w:t>
      </w:r>
      <w:r w:rsidRPr="008B1F04">
        <w:rPr>
          <w:rFonts w:cs="Arial"/>
        </w:rPr>
        <w:t>after being</w:t>
      </w:r>
      <w:r w:rsidR="001C0FA0" w:rsidRPr="008B1F04">
        <w:rPr>
          <w:rFonts w:cs="Arial"/>
        </w:rPr>
        <w:t xml:space="preserve"> ordered to do so, he or she will be unavailable because of a refusal the testify despite a court order, as discussed in the </w:t>
      </w:r>
      <w:r w:rsidRPr="008B1F04">
        <w:rPr>
          <w:rFonts w:cs="Arial"/>
        </w:rPr>
        <w:t xml:space="preserve">next </w:t>
      </w:r>
      <w:r w:rsidR="001C0FA0" w:rsidRPr="008B1F04">
        <w:rPr>
          <w:rFonts w:cs="Arial"/>
        </w:rPr>
        <w:t>subsection.</w:t>
      </w:r>
    </w:p>
    <w:p w14:paraId="048846A5" w14:textId="77777777" w:rsidR="00AC291B" w:rsidRPr="008B1F04" w:rsidRDefault="004D2671" w:rsidP="00F83AD6">
      <w:pPr>
        <w:pStyle w:val="ListParagraph"/>
        <w:numPr>
          <w:ilvl w:val="4"/>
          <w:numId w:val="2"/>
        </w:numPr>
        <w:rPr>
          <w:rFonts w:cs="Arial"/>
        </w:rPr>
      </w:pPr>
      <w:r w:rsidRPr="008B1F04">
        <w:rPr>
          <w:b/>
        </w:rPr>
        <w:t>Refus</w:t>
      </w:r>
      <w:r w:rsidR="002667ED" w:rsidRPr="008B1F04">
        <w:rPr>
          <w:b/>
        </w:rPr>
        <w:t xml:space="preserve">al </w:t>
      </w:r>
      <w:r w:rsidRPr="008B1F04">
        <w:rPr>
          <w:b/>
        </w:rPr>
        <w:t>To T</w:t>
      </w:r>
      <w:r w:rsidR="00C67CC5" w:rsidRPr="008B1F04">
        <w:rPr>
          <w:b/>
        </w:rPr>
        <w:t xml:space="preserve">estify </w:t>
      </w:r>
      <w:r w:rsidRPr="008B1F04">
        <w:rPr>
          <w:b/>
        </w:rPr>
        <w:t>Despite Court Order</w:t>
      </w:r>
      <w:r w:rsidR="00ED07FC" w:rsidRPr="008B1F04">
        <w:rPr>
          <w:b/>
        </w:rPr>
        <w:t xml:space="preserve">. </w:t>
      </w:r>
      <w:r w:rsidRPr="008B1F04">
        <w:rPr>
          <w:rFonts w:cs="Arial"/>
        </w:rPr>
        <w:t xml:space="preserve">A witness is unavailable to testify if he or she “persists in refusing to testify concerning the subject matter of his statement despite an order of the court to do so.” </w:t>
      </w:r>
      <w:r w:rsidR="0083038F" w:rsidRPr="008B1F04">
        <w:rPr>
          <w:rFonts w:cs="Arial"/>
          <w:smallCaps/>
        </w:rPr>
        <w:t>N.C. R. Evid</w:t>
      </w:r>
      <w:r w:rsidR="0083038F" w:rsidRPr="008B1F04">
        <w:rPr>
          <w:rFonts w:cs="Arial"/>
        </w:rPr>
        <w:t>. 804(a)(2)</w:t>
      </w:r>
      <w:r w:rsidR="004C4E74" w:rsidRPr="008B1F04">
        <w:rPr>
          <w:rFonts w:cs="Arial"/>
        </w:rPr>
        <w:t xml:space="preserve">. As a general rule, the </w:t>
      </w:r>
      <w:r w:rsidR="001C40BB" w:rsidRPr="008B1F04">
        <w:rPr>
          <w:rFonts w:cs="Arial"/>
        </w:rPr>
        <w:t>trial court must expressly order the witness to testify.</w:t>
      </w:r>
      <w:r w:rsidR="00493EE6" w:rsidRPr="008B1F04">
        <w:rPr>
          <w:rFonts w:cs="Arial"/>
        </w:rPr>
        <w:t xml:space="preserve"> </w:t>
      </w:r>
      <w:r w:rsidR="0083038F" w:rsidRPr="008B1F04">
        <w:rPr>
          <w:rFonts w:cs="Arial"/>
        </w:rPr>
        <w:t>State v. Finney, 358 N.C. 79, 84-87 (2004) (trial court erred by finding the witness unavailable where the witness “never definitively refused to testify and certainly did not persist in a refusal to testify”)</w:t>
      </w:r>
      <w:r w:rsidR="00472851" w:rsidRPr="008B1F04">
        <w:rPr>
          <w:rFonts w:cs="Arial"/>
        </w:rPr>
        <w:t>;</w:t>
      </w:r>
      <w:r w:rsidR="004C4E74" w:rsidRPr="008B1F04">
        <w:rPr>
          <w:rFonts w:cs="Arial"/>
        </w:rPr>
        <w:t xml:space="preserve"> </w:t>
      </w:r>
      <w:r w:rsidR="0083038F" w:rsidRPr="008B1F04">
        <w:rPr>
          <w:rFonts w:cs="Arial"/>
        </w:rPr>
        <w:t>State v. Linton, 145 N.C. App 639, 646-47 (2001) (the trial court erred by declaring a child victim unavailable without giving the witness an explicit order to testify; “an order from the trial court is an essential component in a declaration of unavailability”)</w:t>
      </w:r>
      <w:r w:rsidR="00472851" w:rsidRPr="008B1F04">
        <w:rPr>
          <w:rFonts w:cs="Arial"/>
        </w:rPr>
        <w:t>.</w:t>
      </w:r>
      <w:r w:rsidR="004E43B1" w:rsidRPr="008B1F04">
        <w:rPr>
          <w:rFonts w:cs="Arial"/>
        </w:rPr>
        <w:t xml:space="preserve"> </w:t>
      </w:r>
      <w:r w:rsidR="004C4E74" w:rsidRPr="008B1F04">
        <w:rPr>
          <w:rFonts w:cs="Arial"/>
        </w:rPr>
        <w:t xml:space="preserve">However, this requirement has been relaxed where the record shows that such an order would have been futile. </w:t>
      </w:r>
      <w:r w:rsidR="004E43B1" w:rsidRPr="008B1F04">
        <w:rPr>
          <w:rFonts w:cs="Arial"/>
          <w:i/>
        </w:rPr>
        <w:t>See, e.g</w:t>
      </w:r>
      <w:r w:rsidR="004E43B1" w:rsidRPr="008B1F04">
        <w:rPr>
          <w:rFonts w:cs="Arial"/>
        </w:rPr>
        <w:t xml:space="preserve">., </w:t>
      </w:r>
      <w:r w:rsidR="0083038F" w:rsidRPr="008B1F04">
        <w:rPr>
          <w:rFonts w:cs="Arial"/>
        </w:rPr>
        <w:t xml:space="preserve">State v. Carter, </w:t>
      </w:r>
      <w:r w:rsidR="0083038F" w:rsidRPr="008B1F04">
        <w:rPr>
          <w:rFonts w:cs="Arial"/>
        </w:rPr>
        <w:lastRenderedPageBreak/>
        <w:t>156 N.C. App. 446, 459 (2003) (witness’s conduct and testimony “made it clear that there were no circumstances, including court intervention or order, which would compel him to testify”; among other things, when threatened with contempt for his refusal to testify, the defendant stated: “I got 106 to 130 years. You think I care if you hold me in contempt of court?”)</w:t>
      </w:r>
      <w:r w:rsidR="004E43B1" w:rsidRPr="008B1F04">
        <w:rPr>
          <w:rFonts w:cs="Arial"/>
        </w:rPr>
        <w:t>.</w:t>
      </w:r>
    </w:p>
    <w:p w14:paraId="7B0AD7BE" w14:textId="77777777" w:rsidR="00224B08" w:rsidRPr="008B1F04" w:rsidRDefault="004C4E74" w:rsidP="00F83AD6">
      <w:pPr>
        <w:pStyle w:val="ListParagraph"/>
        <w:numPr>
          <w:ilvl w:val="4"/>
          <w:numId w:val="2"/>
        </w:numPr>
        <w:rPr>
          <w:rFonts w:cs="Arial"/>
        </w:rPr>
      </w:pPr>
      <w:r w:rsidRPr="008B1F04">
        <w:rPr>
          <w:b/>
        </w:rPr>
        <w:t>Lack of M</w:t>
      </w:r>
      <w:r w:rsidR="00C67CC5" w:rsidRPr="008B1F04">
        <w:rPr>
          <w:b/>
        </w:rPr>
        <w:t>emory</w:t>
      </w:r>
      <w:r w:rsidR="00ED07FC" w:rsidRPr="008B1F04">
        <w:rPr>
          <w:b/>
        </w:rPr>
        <w:t xml:space="preserve">. </w:t>
      </w:r>
      <w:r w:rsidRPr="008B1F04">
        <w:rPr>
          <w:rFonts w:cs="Arial"/>
        </w:rPr>
        <w:t xml:space="preserve">A witness is unavailable when </w:t>
      </w:r>
      <w:r w:rsidR="00224B08" w:rsidRPr="008B1F04">
        <w:rPr>
          <w:rFonts w:cs="Arial"/>
        </w:rPr>
        <w:t>he or she “[t]</w:t>
      </w:r>
      <w:proofErr w:type="spellStart"/>
      <w:r w:rsidR="00224B08" w:rsidRPr="008B1F04">
        <w:rPr>
          <w:rFonts w:cs="Arial"/>
        </w:rPr>
        <w:t>estifies</w:t>
      </w:r>
      <w:proofErr w:type="spellEnd"/>
      <w:r w:rsidR="00224B08" w:rsidRPr="008B1F04">
        <w:rPr>
          <w:rFonts w:cs="Arial"/>
        </w:rPr>
        <w:t xml:space="preserve"> to a lack of memory of the subject matter of his statement.” </w:t>
      </w:r>
      <w:r w:rsidR="0083038F" w:rsidRPr="008B1F04">
        <w:rPr>
          <w:rFonts w:cs="Arial"/>
          <w:smallCaps/>
        </w:rPr>
        <w:t>N.C. R. Evid</w:t>
      </w:r>
      <w:r w:rsidR="0083038F" w:rsidRPr="008B1F04">
        <w:rPr>
          <w:rFonts w:cs="Arial"/>
        </w:rPr>
        <w:t>. 804(a)(3)</w:t>
      </w:r>
      <w:r w:rsidR="00AC291B" w:rsidRPr="008B1F04">
        <w:rPr>
          <w:rFonts w:cs="Arial"/>
        </w:rPr>
        <w:t xml:space="preserve">; </w:t>
      </w:r>
      <w:r w:rsidR="0083038F" w:rsidRPr="008B1F04">
        <w:rPr>
          <w:rFonts w:cs="Arial"/>
        </w:rPr>
        <w:t>State v. Rollins, ___ N.C. App. ___, 738 S.E.2d 440, 444 (2013) (the defendant did not challenge on appeal the trial court’s finding that a witness who had testified at the previous trial of this case was unavailable when the witness “stated that she could not currently identify defendant, that she did not remember knowing [victim], that she did not remember the events of the day of the murder, and that she could not remember previously testifying”)</w:t>
      </w:r>
      <w:r w:rsidR="00DF49B7" w:rsidRPr="008B1F04">
        <w:rPr>
          <w:rFonts w:cs="Arial"/>
        </w:rPr>
        <w:t xml:space="preserve">; </w:t>
      </w:r>
      <w:r w:rsidR="0083038F" w:rsidRPr="008B1F04">
        <w:rPr>
          <w:rFonts w:cs="Arial"/>
        </w:rPr>
        <w:t>State v. Brigman, 178 N.C. App. 78, 87-88 (2006) (child witnesses who could not remember were unavailable)</w:t>
      </w:r>
      <w:r w:rsidR="00AC291B" w:rsidRPr="008B1F04">
        <w:rPr>
          <w:rFonts w:cs="Arial"/>
        </w:rPr>
        <w:t xml:space="preserve">. </w:t>
      </w:r>
    </w:p>
    <w:p w14:paraId="6A038FE1" w14:textId="77777777" w:rsidR="00C67CC5" w:rsidRPr="008B1F04" w:rsidRDefault="00AC291B" w:rsidP="00ED07FC">
      <w:pPr>
        <w:ind w:left="2880" w:firstLine="360"/>
        <w:rPr>
          <w:rFonts w:cs="Arial"/>
        </w:rPr>
      </w:pPr>
      <w:r w:rsidRPr="008B1F04">
        <w:rPr>
          <w:rFonts w:cs="Arial"/>
        </w:rPr>
        <w:t xml:space="preserve">A witness is not unavailable on these grounds if he or she remembers the general subject matter in question but cannot remember certain details. </w:t>
      </w:r>
      <w:r w:rsidR="0083038F" w:rsidRPr="008B1F04">
        <w:rPr>
          <w:rFonts w:cs="Arial"/>
        </w:rPr>
        <w:t>State v. Miller, 330 N.C. 56, 62 (1991) (the trial court erred by ruling that two witnesses, Tyrone and Jason, were unavailable where the witnesses testified that “they remembered most of what they saw and had not had a complete failure of memory about the events . . . [but] that they did not remember every single detail of the incident”; the court stated: “[n]either the fact that Tyrone and Jason Miller failed to remember every detail of the killing, nor the fact that they disagreed with [an officer’s] account of their out-of-court statements, was sufficient to render them ‘unavailable’ as witnesses for the purposes of Rule 804(a)”)</w:t>
      </w:r>
      <w:r w:rsidRPr="008B1F04">
        <w:rPr>
          <w:rFonts w:cs="Arial"/>
        </w:rPr>
        <w:t>.</w:t>
      </w:r>
    </w:p>
    <w:p w14:paraId="25B38E52" w14:textId="77777777" w:rsidR="00463755" w:rsidRPr="008B1F04" w:rsidRDefault="00463755" w:rsidP="00ED07FC">
      <w:pPr>
        <w:ind w:left="2880" w:firstLine="360"/>
        <w:rPr>
          <w:rFonts w:cs="Arial"/>
        </w:rPr>
      </w:pPr>
      <w:r w:rsidRPr="008B1F04">
        <w:rPr>
          <w:rFonts w:cs="Arial"/>
        </w:rPr>
        <w:t>This ground may come into play when the proponent has unsuccessfully tried to refresh the witness’s recollection.</w:t>
      </w:r>
      <w:r w:rsidR="00493EE6" w:rsidRPr="008B1F04">
        <w:rPr>
          <w:rFonts w:cs="Arial"/>
        </w:rPr>
        <w:t xml:space="preserve"> </w:t>
      </w:r>
      <w:r w:rsidR="0060356D" w:rsidRPr="008B1F04">
        <w:rPr>
          <w:rFonts w:cs="Arial"/>
          <w:i/>
        </w:rPr>
        <w:t xml:space="preserve">See generally </w:t>
      </w:r>
      <w:hyperlink r:id="rId14" w:history="1">
        <w:r w:rsidR="0071551B" w:rsidRPr="008B1F04">
          <w:rPr>
            <w:rStyle w:val="Hyperlink"/>
            <w:rFonts w:cs="Arial"/>
          </w:rPr>
          <w:t>Refreshed Recollection</w:t>
        </w:r>
      </w:hyperlink>
      <w:r w:rsidR="00340BC0" w:rsidRPr="008B1F04">
        <w:rPr>
          <w:rFonts w:cs="Arial"/>
        </w:rPr>
        <w:t xml:space="preserve"> in this Guide </w:t>
      </w:r>
      <w:r w:rsidR="0060356D" w:rsidRPr="008B1F04">
        <w:rPr>
          <w:rFonts w:cs="Arial"/>
        </w:rPr>
        <w:t xml:space="preserve">under Evidence. </w:t>
      </w:r>
    </w:p>
    <w:p w14:paraId="7467A29F" w14:textId="77777777" w:rsidR="005D2764" w:rsidRPr="008B1F04" w:rsidRDefault="00463755" w:rsidP="00F83AD6">
      <w:pPr>
        <w:pStyle w:val="ListParagraph"/>
        <w:numPr>
          <w:ilvl w:val="4"/>
          <w:numId w:val="2"/>
        </w:numPr>
        <w:rPr>
          <w:rFonts w:cs="Arial"/>
        </w:rPr>
      </w:pPr>
      <w:r w:rsidRPr="008B1F04">
        <w:rPr>
          <w:b/>
        </w:rPr>
        <w:t>D</w:t>
      </w:r>
      <w:r w:rsidR="00C67CC5" w:rsidRPr="008B1F04">
        <w:rPr>
          <w:b/>
        </w:rPr>
        <w:t>eath</w:t>
      </w:r>
      <w:r w:rsidRPr="008B1F04">
        <w:rPr>
          <w:b/>
        </w:rPr>
        <w:t xml:space="preserve"> or</w:t>
      </w:r>
      <w:r w:rsidR="00C67CC5" w:rsidRPr="008B1F04">
        <w:rPr>
          <w:b/>
        </w:rPr>
        <w:t xml:space="preserve"> </w:t>
      </w:r>
      <w:r w:rsidRPr="008B1F04">
        <w:rPr>
          <w:b/>
        </w:rPr>
        <w:t>Physical or Mental I</w:t>
      </w:r>
      <w:r w:rsidR="00C67CC5" w:rsidRPr="008B1F04">
        <w:rPr>
          <w:b/>
        </w:rPr>
        <w:t>llness</w:t>
      </w:r>
      <w:r w:rsidRPr="008B1F04">
        <w:rPr>
          <w:b/>
        </w:rPr>
        <w:t>, or I</w:t>
      </w:r>
      <w:r w:rsidR="00C67CC5" w:rsidRPr="008B1F04">
        <w:rPr>
          <w:b/>
        </w:rPr>
        <w:t>nfirmity</w:t>
      </w:r>
      <w:r w:rsidR="00ED07FC" w:rsidRPr="008B1F04">
        <w:rPr>
          <w:b/>
        </w:rPr>
        <w:t xml:space="preserve">. </w:t>
      </w:r>
      <w:r w:rsidRPr="008B1F04">
        <w:rPr>
          <w:rFonts w:cs="Arial"/>
        </w:rPr>
        <w:t xml:space="preserve">A witness is unavailable if he or she is “unable to be present or to testify at the hearing because of death or then existing physical or mental illness or infirmity.” </w:t>
      </w:r>
      <w:r w:rsidR="0083038F" w:rsidRPr="008B1F04">
        <w:rPr>
          <w:rFonts w:cs="Arial"/>
          <w:smallCaps/>
        </w:rPr>
        <w:t>N.C. R. Evid</w:t>
      </w:r>
      <w:r w:rsidR="0083038F" w:rsidRPr="008B1F04">
        <w:rPr>
          <w:rFonts w:cs="Arial"/>
        </w:rPr>
        <w:t>. 804(a)(4)</w:t>
      </w:r>
      <w:r w:rsidRPr="008B1F04">
        <w:rPr>
          <w:rFonts w:cs="Arial"/>
        </w:rPr>
        <w:t xml:space="preserve">. </w:t>
      </w:r>
      <w:r w:rsidR="005D2764" w:rsidRPr="008B1F04">
        <w:rPr>
          <w:rFonts w:cs="Arial"/>
        </w:rPr>
        <w:t xml:space="preserve">When death is the basis for </w:t>
      </w:r>
      <w:r w:rsidRPr="008B1F04">
        <w:rPr>
          <w:rFonts w:cs="Arial"/>
        </w:rPr>
        <w:t>unavailability</w:t>
      </w:r>
      <w:r w:rsidR="005D2764" w:rsidRPr="008B1F04">
        <w:rPr>
          <w:rFonts w:cs="Arial"/>
        </w:rPr>
        <w:t xml:space="preserve">, </w:t>
      </w:r>
      <w:r w:rsidR="005D2764" w:rsidRPr="008B1F04">
        <w:rPr>
          <w:rFonts w:cs="Arial"/>
          <w:i/>
        </w:rPr>
        <w:t xml:space="preserve">see, e.g., </w:t>
      </w:r>
      <w:r w:rsidR="0083038F" w:rsidRPr="008B1F04">
        <w:rPr>
          <w:rFonts w:cs="Arial"/>
        </w:rPr>
        <w:t>State v. Valentine, 357 N.C. 512, 519 (2003) (deceased victim unavailable)</w:t>
      </w:r>
      <w:r w:rsidR="005D2764" w:rsidRPr="008B1F04">
        <w:rPr>
          <w:rFonts w:cs="Arial"/>
        </w:rPr>
        <w:t>, t</w:t>
      </w:r>
      <w:r w:rsidR="008E27D0" w:rsidRPr="008B1F04">
        <w:rPr>
          <w:rFonts w:cs="Arial"/>
        </w:rPr>
        <w:t>here must</w:t>
      </w:r>
      <w:r w:rsidR="005D2764" w:rsidRPr="008B1F04">
        <w:rPr>
          <w:rFonts w:cs="Arial"/>
        </w:rPr>
        <w:t xml:space="preserve"> </w:t>
      </w:r>
      <w:r w:rsidR="00520DB4" w:rsidRPr="008B1F04">
        <w:rPr>
          <w:rFonts w:cs="Arial"/>
        </w:rPr>
        <w:t xml:space="preserve">be sufficient evidence that the witness is in fact deceased. </w:t>
      </w:r>
      <w:r w:rsidR="0083038F" w:rsidRPr="008B1F04">
        <w:rPr>
          <w:rFonts w:cs="Arial"/>
        </w:rPr>
        <w:t>State v. Triplett, 316 N.C. 1, 8 (1986) (judge’s finding of unavailability “must be supported by evidence of death”)</w:t>
      </w:r>
      <w:r w:rsidR="008E27D0" w:rsidRPr="008B1F04">
        <w:rPr>
          <w:rFonts w:cs="Arial"/>
        </w:rPr>
        <w:t xml:space="preserve">; </w:t>
      </w:r>
      <w:r w:rsidR="0083038F" w:rsidRPr="008B1F04">
        <w:rPr>
          <w:rFonts w:cs="Arial"/>
        </w:rPr>
        <w:t xml:space="preserve">State v. </w:t>
      </w:r>
      <w:proofErr w:type="spellStart"/>
      <w:r w:rsidR="0083038F" w:rsidRPr="008B1F04">
        <w:rPr>
          <w:rFonts w:cs="Arial"/>
        </w:rPr>
        <w:t>McCail</w:t>
      </w:r>
      <w:proofErr w:type="spellEnd"/>
      <w:r w:rsidR="0083038F" w:rsidRPr="008B1F04">
        <w:rPr>
          <w:rFonts w:cs="Arial"/>
        </w:rPr>
        <w:t>, 150 N.C. App. 643, 648-49 (2002) (where no evidence was presented regarding efforts to confirm that the witness was in fact dead, the testimony of a second witness that she had not seen the first witness recently and had heard that he had been killed was insufficient to establish unavailability)</w:t>
      </w:r>
      <w:r w:rsidR="00520DB4" w:rsidRPr="008B1F04">
        <w:rPr>
          <w:rFonts w:cs="Arial"/>
        </w:rPr>
        <w:t xml:space="preserve">. </w:t>
      </w:r>
      <w:r w:rsidR="005D2764" w:rsidRPr="008B1F04">
        <w:rPr>
          <w:rFonts w:cs="Arial"/>
        </w:rPr>
        <w:t xml:space="preserve">Typically an official death certificate will suffice. </w:t>
      </w:r>
      <w:r w:rsidR="005D2764" w:rsidRPr="008B1F04">
        <w:rPr>
          <w:rFonts w:cs="Arial"/>
          <w:smallCaps/>
        </w:rPr>
        <w:t>Evidentiary Foundations</w:t>
      </w:r>
      <w:r w:rsidR="005D2764" w:rsidRPr="008B1F04">
        <w:rPr>
          <w:rFonts w:cs="Arial"/>
        </w:rPr>
        <w:t xml:space="preserve"> at 11-76. </w:t>
      </w:r>
    </w:p>
    <w:p w14:paraId="46D6AEDD" w14:textId="77777777" w:rsidR="00A529F2" w:rsidRPr="008B1F04" w:rsidRDefault="00C112C3" w:rsidP="00ED07FC">
      <w:pPr>
        <w:ind w:left="2880" w:firstLine="360"/>
        <w:rPr>
          <w:rFonts w:cs="Arial"/>
        </w:rPr>
      </w:pPr>
      <w:r w:rsidRPr="008B1F04">
        <w:rPr>
          <w:rFonts w:cs="Arial"/>
        </w:rPr>
        <w:t>Evidence of h</w:t>
      </w:r>
      <w:r w:rsidR="005D2764" w:rsidRPr="008B1F04">
        <w:rPr>
          <w:rFonts w:cs="Arial"/>
        </w:rPr>
        <w:t>ospitalization or a mental or physical condition making it unsafe f</w:t>
      </w:r>
      <w:r w:rsidRPr="008B1F04">
        <w:rPr>
          <w:rFonts w:cs="Arial"/>
        </w:rPr>
        <w:t>or the witness to travel may support</w:t>
      </w:r>
      <w:r w:rsidR="005D2764" w:rsidRPr="008B1F04">
        <w:rPr>
          <w:rFonts w:cs="Arial"/>
        </w:rPr>
        <w:t xml:space="preserve"> a finding </w:t>
      </w:r>
      <w:r w:rsidRPr="008B1F04">
        <w:rPr>
          <w:rFonts w:cs="Arial"/>
        </w:rPr>
        <w:t xml:space="preserve">of </w:t>
      </w:r>
      <w:r w:rsidRPr="008B1F04">
        <w:rPr>
          <w:rFonts w:cs="Arial"/>
        </w:rPr>
        <w:lastRenderedPageBreak/>
        <w:t>unavailability</w:t>
      </w:r>
      <w:r w:rsidR="005D2764" w:rsidRPr="008B1F04">
        <w:rPr>
          <w:rFonts w:cs="Arial"/>
        </w:rPr>
        <w:t xml:space="preserve">. </w:t>
      </w:r>
      <w:r w:rsidR="0083038F" w:rsidRPr="008B1F04">
        <w:rPr>
          <w:rFonts w:cs="Arial"/>
        </w:rPr>
        <w:t>State v. Carter, 338 N.C. 569, 591-92 (1994) (witness unavailable due to mental illness)</w:t>
      </w:r>
      <w:r w:rsidR="005D2764" w:rsidRPr="008B1F04">
        <w:rPr>
          <w:rFonts w:cs="Arial"/>
        </w:rPr>
        <w:t xml:space="preserve">; </w:t>
      </w:r>
      <w:r w:rsidR="0083038F" w:rsidRPr="008B1F04">
        <w:rPr>
          <w:rFonts w:cs="Arial"/>
        </w:rPr>
        <w:t>State v. Swindler, 129 N.C. App. 1, 5 (1998) (witness was in the hospital)</w:t>
      </w:r>
      <w:r w:rsidR="005D2764" w:rsidRPr="008B1F04">
        <w:rPr>
          <w:rFonts w:cs="Arial"/>
        </w:rPr>
        <w:t xml:space="preserve">. </w:t>
      </w:r>
      <w:r w:rsidR="00A529F2" w:rsidRPr="008B1F04">
        <w:rPr>
          <w:rFonts w:cs="Arial"/>
        </w:rPr>
        <w:t xml:space="preserve">The courts have indicated that the better practice is for the proponent to present evidence from a medical provider, such as an affidavit, </w:t>
      </w:r>
      <w:r w:rsidR="0083038F" w:rsidRPr="008B1F04">
        <w:rPr>
          <w:rFonts w:cs="Arial"/>
          <w:i/>
        </w:rPr>
        <w:t>Swindler</w:t>
      </w:r>
      <w:r w:rsidR="0083038F" w:rsidRPr="008B1F04">
        <w:rPr>
          <w:rFonts w:cs="Arial"/>
        </w:rPr>
        <w:t xml:space="preserve">, 129 N.C. App. at 5, but this is not always required. </w:t>
      </w:r>
      <w:r w:rsidR="0083038F" w:rsidRPr="008B1F04">
        <w:rPr>
          <w:rFonts w:cs="Arial"/>
          <w:i/>
        </w:rPr>
        <w:t xml:space="preserve">Id. </w:t>
      </w:r>
      <w:r w:rsidR="0083038F" w:rsidRPr="008B1F04">
        <w:rPr>
          <w:rFonts w:cs="Arial"/>
        </w:rPr>
        <w:t>(a finding of unavailability based on an officer’s testimony that witness was in the hospital was not prejudicial error)</w:t>
      </w:r>
      <w:r w:rsidR="00A529F2" w:rsidRPr="008B1F04">
        <w:rPr>
          <w:rFonts w:cs="Arial"/>
        </w:rPr>
        <w:t xml:space="preserve">. </w:t>
      </w:r>
    </w:p>
    <w:p w14:paraId="34FF2CED" w14:textId="77777777" w:rsidR="00C67CC5" w:rsidRPr="008B1F04" w:rsidRDefault="005D2764" w:rsidP="00ED07FC">
      <w:pPr>
        <w:ind w:left="2880" w:firstLine="360"/>
        <w:rPr>
          <w:rFonts w:cs="Arial"/>
        </w:rPr>
      </w:pPr>
      <w:r w:rsidRPr="008B1F04">
        <w:rPr>
          <w:rFonts w:cs="Arial"/>
        </w:rPr>
        <w:t>A witness who is incompetent to testify is unavailable</w:t>
      </w:r>
      <w:r w:rsidR="00463755" w:rsidRPr="008B1F04">
        <w:rPr>
          <w:rFonts w:cs="Arial"/>
        </w:rPr>
        <w:t xml:space="preserve">. </w:t>
      </w:r>
      <w:r w:rsidR="0083038F" w:rsidRPr="008B1F04">
        <w:rPr>
          <w:rFonts w:cs="Arial"/>
        </w:rPr>
        <w:t>State v. Waddell, 351 N.C. 413, 421-22 (2000) (the parties did not dispute that the child, who had a speech impediment and learning disabilities, who became distracted and confused during questioning, and who did not understand the need to tell the truth was incompetent and thus unavailable)</w:t>
      </w:r>
      <w:r w:rsidR="00463755" w:rsidRPr="008B1F04">
        <w:rPr>
          <w:rFonts w:cs="Arial"/>
        </w:rPr>
        <w:t>.</w:t>
      </w:r>
      <w:r w:rsidRPr="008B1F04">
        <w:rPr>
          <w:rFonts w:cs="Arial"/>
        </w:rPr>
        <w:t xml:space="preserve"> </w:t>
      </w:r>
      <w:r w:rsidR="00463755" w:rsidRPr="008B1F04">
        <w:rPr>
          <w:rFonts w:cs="Arial"/>
        </w:rPr>
        <w:t xml:space="preserve">Note that a trial judge cannot accept a stipulation as to incompetency; the judge must independently make this determination. </w:t>
      </w:r>
      <w:r w:rsidR="0083038F" w:rsidRPr="008B1F04">
        <w:rPr>
          <w:rFonts w:cs="Arial"/>
        </w:rPr>
        <w:t>State v. Fearing, 315 N.C. 167, 174 (1985) (the trial court erred by adopting the stipulation of the parties that a child witness was not competent to testify and concluding therefore that she was unavailable)</w:t>
      </w:r>
      <w:r w:rsidR="00463755" w:rsidRPr="008B1F04">
        <w:rPr>
          <w:rFonts w:cs="Arial"/>
        </w:rPr>
        <w:t>.</w:t>
      </w:r>
    </w:p>
    <w:p w14:paraId="3C6B555E" w14:textId="77777777" w:rsidR="00BB1EE2" w:rsidRPr="008B1F04" w:rsidRDefault="00ED07FC" w:rsidP="00F83AD6">
      <w:pPr>
        <w:pStyle w:val="ListParagraph"/>
        <w:numPr>
          <w:ilvl w:val="4"/>
          <w:numId w:val="2"/>
        </w:numPr>
        <w:rPr>
          <w:rFonts w:cs="Arial"/>
        </w:rPr>
      </w:pPr>
      <w:r w:rsidRPr="008B1F04">
        <w:rPr>
          <w:b/>
        </w:rPr>
        <w:t xml:space="preserve">Attendance Cannot Be Secured. </w:t>
      </w:r>
      <w:r w:rsidR="00520DB4" w:rsidRPr="008B1F04">
        <w:rPr>
          <w:rFonts w:cs="Arial"/>
        </w:rPr>
        <w:t>A witness is unavailable if he or she is “</w:t>
      </w:r>
      <w:r w:rsidR="00C67CC5" w:rsidRPr="008B1F04">
        <w:rPr>
          <w:rFonts w:cs="Arial"/>
        </w:rPr>
        <w:t>absent from the hearing and the proponent of his statement has been unable to procure his attendance</w:t>
      </w:r>
      <w:r w:rsidR="00405245" w:rsidRPr="008B1F04">
        <w:rPr>
          <w:rFonts w:cs="Arial"/>
        </w:rPr>
        <w:t xml:space="preserve"> . . . </w:t>
      </w:r>
      <w:r w:rsidR="00C67CC5" w:rsidRPr="008B1F04">
        <w:rPr>
          <w:rFonts w:cs="Arial"/>
        </w:rPr>
        <w:t>or testimony</w:t>
      </w:r>
      <w:r w:rsidR="00405245" w:rsidRPr="008B1F04">
        <w:rPr>
          <w:rFonts w:cs="Arial"/>
        </w:rPr>
        <w:t xml:space="preserve"> . . . </w:t>
      </w:r>
      <w:r w:rsidR="00C67CC5" w:rsidRPr="008B1F04">
        <w:rPr>
          <w:rFonts w:cs="Arial"/>
        </w:rPr>
        <w:t>by process or other reasonable means</w:t>
      </w:r>
      <w:r w:rsidR="00520DB4" w:rsidRPr="008B1F04">
        <w:rPr>
          <w:rFonts w:cs="Arial"/>
        </w:rPr>
        <w:t xml:space="preserve">.” </w:t>
      </w:r>
      <w:r w:rsidR="0083038F" w:rsidRPr="008B1F04">
        <w:rPr>
          <w:rFonts w:cs="Arial"/>
          <w:smallCaps/>
        </w:rPr>
        <w:t>N.C. R. Evid</w:t>
      </w:r>
      <w:r w:rsidR="0083038F" w:rsidRPr="008B1F04">
        <w:rPr>
          <w:rFonts w:cs="Arial"/>
        </w:rPr>
        <w:t>. 804(a)(5)</w:t>
      </w:r>
      <w:r w:rsidR="00520DB4" w:rsidRPr="008B1F04">
        <w:rPr>
          <w:rFonts w:cs="Arial"/>
        </w:rPr>
        <w:t>.</w:t>
      </w:r>
      <w:r w:rsidR="00405245" w:rsidRPr="008B1F04">
        <w:rPr>
          <w:rFonts w:cs="Arial"/>
        </w:rPr>
        <w:t xml:space="preserve"> This requires a showing of a good faith effort </w:t>
      </w:r>
      <w:r w:rsidR="00BB1EE2" w:rsidRPr="008B1F04">
        <w:rPr>
          <w:rFonts w:cs="Arial"/>
        </w:rPr>
        <w:t xml:space="preserve">by the proponent of the evidence </w:t>
      </w:r>
      <w:r w:rsidR="00405245" w:rsidRPr="008B1F04">
        <w:rPr>
          <w:rFonts w:cs="Arial"/>
        </w:rPr>
        <w:t xml:space="preserve">to locate the witness. </w:t>
      </w:r>
      <w:r w:rsidR="0083038F" w:rsidRPr="008B1F04">
        <w:rPr>
          <w:rFonts w:cs="Arial"/>
        </w:rPr>
        <w:t>State v. Bailey, 163 N.C. App 84, 90 (2004)</w:t>
      </w:r>
      <w:r w:rsidR="004A35FA" w:rsidRPr="008B1F04">
        <w:rPr>
          <w:rFonts w:cs="Arial"/>
        </w:rPr>
        <w:t xml:space="preserve">; </w:t>
      </w:r>
      <w:r w:rsidR="004A35FA" w:rsidRPr="008B1F04">
        <w:rPr>
          <w:rFonts w:cs="Arial"/>
          <w:i/>
        </w:rPr>
        <w:t>see also</w:t>
      </w:r>
      <w:r w:rsidR="004A35FA" w:rsidRPr="008B1F04">
        <w:rPr>
          <w:rFonts w:cs="Arial"/>
        </w:rPr>
        <w:t xml:space="preserve"> </w:t>
      </w:r>
      <w:r w:rsidR="0083038F" w:rsidRPr="008B1F04">
        <w:rPr>
          <w:rFonts w:cs="Arial"/>
        </w:rPr>
        <w:t>State v. Bowie, 340 N.C. 199, 207 (1995) (trial court properly found that a witness was unavailable where an officer travelled out of state to take the witness into custody pursuant to a court order; upon arrival at the witness’s address the officer was told by witness’s mother that witness had moved and that her mother did not know the witness’s new address or phone number)</w:t>
      </w:r>
      <w:r w:rsidR="00405245" w:rsidRPr="008B1F04">
        <w:rPr>
          <w:rFonts w:cs="Arial"/>
        </w:rPr>
        <w:t xml:space="preserve">; </w:t>
      </w:r>
      <w:r w:rsidR="0083038F" w:rsidRPr="008B1F04">
        <w:rPr>
          <w:rFonts w:cs="Arial"/>
        </w:rPr>
        <w:t>State v. Fowler, 353 N.C. 599, 610 (2001) (witness was unavailable where he relocated to India and “refused to attend the proceedings because of his injuries and fear for his safety”)</w:t>
      </w:r>
      <w:r w:rsidR="00CE10D5" w:rsidRPr="008B1F04">
        <w:rPr>
          <w:rFonts w:cs="Arial"/>
        </w:rPr>
        <w:t xml:space="preserve">; </w:t>
      </w:r>
      <w:r w:rsidR="0083038F" w:rsidRPr="008B1F04">
        <w:rPr>
          <w:rFonts w:cs="Arial"/>
          <w:i/>
        </w:rPr>
        <w:t>Bailey</w:t>
      </w:r>
      <w:r w:rsidR="0083038F" w:rsidRPr="008B1F04">
        <w:rPr>
          <w:rFonts w:cs="Arial"/>
        </w:rPr>
        <w:t>, 163 N.C. App. at 91 (witness was unavailable where officers tried to subpoena the witness at the address they were provided and called several phone numbers provided)</w:t>
      </w:r>
      <w:r w:rsidR="00405245" w:rsidRPr="008B1F04">
        <w:rPr>
          <w:rFonts w:cs="Arial"/>
        </w:rPr>
        <w:t xml:space="preserve">; </w:t>
      </w:r>
      <w:r w:rsidR="0083038F" w:rsidRPr="008B1F04">
        <w:rPr>
          <w:rFonts w:cs="Arial"/>
        </w:rPr>
        <w:t xml:space="preserve">State v. </w:t>
      </w:r>
      <w:proofErr w:type="spellStart"/>
      <w:r w:rsidR="0083038F" w:rsidRPr="008B1F04">
        <w:rPr>
          <w:rFonts w:cs="Arial"/>
        </w:rPr>
        <w:t>Dammons</w:t>
      </w:r>
      <w:proofErr w:type="spellEnd"/>
      <w:r w:rsidR="0083038F" w:rsidRPr="008B1F04">
        <w:rPr>
          <w:rFonts w:cs="Arial"/>
        </w:rPr>
        <w:t>, 121 N.C. App. 61, 64 (1995) (witness was unavailable where the State subpoenaed the witness numerous times to appear in court but were unable to locate her)</w:t>
      </w:r>
      <w:r w:rsidR="00BB1EE2" w:rsidRPr="008B1F04">
        <w:rPr>
          <w:rFonts w:cs="Arial"/>
        </w:rPr>
        <w:t xml:space="preserve">; </w:t>
      </w:r>
      <w:r w:rsidR="0083038F" w:rsidRPr="008B1F04">
        <w:rPr>
          <w:rFonts w:cs="Arial"/>
        </w:rPr>
        <w:t xml:space="preserve">State v. </w:t>
      </w:r>
      <w:proofErr w:type="spellStart"/>
      <w:r w:rsidR="0083038F" w:rsidRPr="008B1F04">
        <w:rPr>
          <w:rFonts w:cs="Arial"/>
        </w:rPr>
        <w:t>Agubata</w:t>
      </w:r>
      <w:proofErr w:type="spellEnd"/>
      <w:r w:rsidR="0083038F" w:rsidRPr="008B1F04">
        <w:rPr>
          <w:rFonts w:cs="Arial"/>
        </w:rPr>
        <w:t>, 92 N.C. App. 651, 655 (1989) (defense witness was unavailable where the defendant issued a subpoena for the witness at his last known address but it was returned unserved)</w:t>
      </w:r>
      <w:r w:rsidR="00BB1EE2" w:rsidRPr="008B1F04">
        <w:rPr>
          <w:rFonts w:cs="Arial"/>
        </w:rPr>
        <w:t xml:space="preserve">. </w:t>
      </w:r>
    </w:p>
    <w:p w14:paraId="7CB6C5BF" w14:textId="77777777" w:rsidR="00C67CC5" w:rsidRPr="008B1F04" w:rsidRDefault="00405245" w:rsidP="00ED07FC">
      <w:pPr>
        <w:ind w:left="2880" w:firstLine="360"/>
        <w:rPr>
          <w:rFonts w:cs="Arial"/>
        </w:rPr>
      </w:pPr>
      <w:r w:rsidRPr="008B1F04">
        <w:rPr>
          <w:rFonts w:cs="Arial"/>
        </w:rPr>
        <w:t xml:space="preserve">Note that North Carolina has several statutes designed to secure the attendance of witnesses at trial, including </w:t>
      </w:r>
      <w:r w:rsidR="0083038F" w:rsidRPr="008B1F04">
        <w:rPr>
          <w:rFonts w:cs="Arial"/>
        </w:rPr>
        <w:t>G.S. 15A-801 (subpoena); G.S. 15A-803 (material witness order); G.S. 15A-813 (certificate for attendance of out-of-state witness)</w:t>
      </w:r>
      <w:r w:rsidR="00C66988" w:rsidRPr="008B1F04">
        <w:rPr>
          <w:rFonts w:cs="Arial"/>
        </w:rPr>
        <w:t xml:space="preserve">, among others. </w:t>
      </w:r>
    </w:p>
    <w:p w14:paraId="0ACD1EFC" w14:textId="77777777" w:rsidR="000E34F6" w:rsidRPr="008B1F04" w:rsidRDefault="00C67CC5" w:rsidP="00F83AD6">
      <w:pPr>
        <w:pStyle w:val="ListParagraph"/>
        <w:numPr>
          <w:ilvl w:val="4"/>
          <w:numId w:val="2"/>
        </w:numPr>
        <w:rPr>
          <w:rFonts w:cs="Arial"/>
        </w:rPr>
      </w:pPr>
      <w:r w:rsidRPr="008B1F04">
        <w:rPr>
          <w:b/>
        </w:rPr>
        <w:t xml:space="preserve">Unavailability </w:t>
      </w:r>
      <w:r w:rsidR="00B72BDB" w:rsidRPr="008B1F04">
        <w:rPr>
          <w:b/>
        </w:rPr>
        <w:t>Due to Proponent’s Procurement or Wrongdoing</w:t>
      </w:r>
      <w:r w:rsidR="00ED07FC" w:rsidRPr="008B1F04">
        <w:rPr>
          <w:b/>
        </w:rPr>
        <w:t xml:space="preserve">. </w:t>
      </w:r>
      <w:r w:rsidR="007F7E7C" w:rsidRPr="008B1F04">
        <w:rPr>
          <w:rFonts w:cs="Arial"/>
        </w:rPr>
        <w:t xml:space="preserve">A declarant is not unavailable within the meaning of </w:t>
      </w:r>
      <w:r w:rsidR="007F7E7C" w:rsidRPr="008B1F04">
        <w:rPr>
          <w:rFonts w:cs="Arial"/>
        </w:rPr>
        <w:lastRenderedPageBreak/>
        <w:t>the rule if the reason for his or her unavailability “is due to the procurement or wrongdoing of the proponent of his statement for the purpose of preventing the witness from attending or testifying.</w:t>
      </w:r>
      <w:r w:rsidR="00340BC0" w:rsidRPr="008B1F04">
        <w:rPr>
          <w:rFonts w:cs="Arial"/>
        </w:rPr>
        <w:t>”</w:t>
      </w:r>
      <w:r w:rsidR="007F7E7C" w:rsidRPr="008B1F04">
        <w:rPr>
          <w:rFonts w:cs="Arial"/>
        </w:rPr>
        <w:t xml:space="preserve"> </w:t>
      </w:r>
      <w:r w:rsidR="0083038F" w:rsidRPr="008B1F04">
        <w:rPr>
          <w:rFonts w:cs="Arial"/>
          <w:smallCaps/>
        </w:rPr>
        <w:t>N.C. R. Evid</w:t>
      </w:r>
      <w:r w:rsidR="0083038F" w:rsidRPr="008B1F04">
        <w:rPr>
          <w:rFonts w:cs="Arial"/>
        </w:rPr>
        <w:t>. 804(a)</w:t>
      </w:r>
      <w:r w:rsidR="007F7E7C" w:rsidRPr="008B1F04">
        <w:rPr>
          <w:rFonts w:cs="Arial"/>
        </w:rPr>
        <w:t xml:space="preserve">. Put another way, if the proponent of the hearsay statement is responsible for the witness’s absence, the witness will not be found to </w:t>
      </w:r>
      <w:r w:rsidR="000F5ECD" w:rsidRPr="008B1F04">
        <w:rPr>
          <w:rFonts w:cs="Arial"/>
        </w:rPr>
        <w:t xml:space="preserve">be </w:t>
      </w:r>
      <w:r w:rsidR="007F7E7C" w:rsidRPr="008B1F04">
        <w:rPr>
          <w:rFonts w:cs="Arial"/>
        </w:rPr>
        <w:t xml:space="preserve">unavailable. </w:t>
      </w:r>
      <w:r w:rsidR="008B4DC0" w:rsidRPr="008B1F04">
        <w:rPr>
          <w:rFonts w:cs="Arial"/>
          <w:i/>
        </w:rPr>
        <w:t xml:space="preserve">See generally </w:t>
      </w:r>
      <w:r w:rsidR="0083038F" w:rsidRPr="008B1F04">
        <w:rPr>
          <w:rFonts w:cs="Arial"/>
        </w:rPr>
        <w:t>State v. Carter, 156 N.C. App. 446, 459 (2003) (State did not procure the unavailability of its witness; although the State’s initial plea offer to the witness contained a provision that the witness would not be required to testify for the State, there was nothing in the actual plea agreement which prohibited him from so testifying)</w:t>
      </w:r>
      <w:r w:rsidR="00472851" w:rsidRPr="008B1F04">
        <w:rPr>
          <w:rFonts w:cs="Arial"/>
        </w:rPr>
        <w:t xml:space="preserve">. </w:t>
      </w:r>
      <w:r w:rsidR="00340BC0" w:rsidRPr="008B1F04">
        <w:rPr>
          <w:rFonts w:cs="Arial"/>
        </w:rPr>
        <w:t>A</w:t>
      </w:r>
      <w:r w:rsidR="00B72BDB" w:rsidRPr="008B1F04">
        <w:rPr>
          <w:rFonts w:cs="Arial"/>
        </w:rPr>
        <w:t xml:space="preserve"> defendant does not make himself or herself unavailable by asserting the Fifth Amendment. </w:t>
      </w:r>
      <w:r w:rsidR="0083038F" w:rsidRPr="008B1F04">
        <w:rPr>
          <w:rFonts w:cs="Arial"/>
        </w:rPr>
        <w:t>State v. Harris, 338 N.C. 211, 223 n.1 (1994)</w:t>
      </w:r>
      <w:r w:rsidR="008B4DC0" w:rsidRPr="008B1F04">
        <w:rPr>
          <w:rFonts w:cs="Arial"/>
        </w:rPr>
        <w:t xml:space="preserve">; </w:t>
      </w:r>
      <w:r w:rsidR="008B4DC0" w:rsidRPr="008B1F04">
        <w:rPr>
          <w:rFonts w:cs="Arial"/>
          <w:i/>
        </w:rPr>
        <w:t xml:space="preserve">see also </w:t>
      </w:r>
      <w:r w:rsidR="0083038F" w:rsidRPr="008B1F04">
        <w:rPr>
          <w:rFonts w:cs="Arial"/>
        </w:rPr>
        <w:t xml:space="preserve">United States v. </w:t>
      </w:r>
      <w:proofErr w:type="spellStart"/>
      <w:r w:rsidR="0083038F" w:rsidRPr="008B1F04">
        <w:rPr>
          <w:rFonts w:cs="Arial"/>
        </w:rPr>
        <w:t>Bollin</w:t>
      </w:r>
      <w:proofErr w:type="spellEnd"/>
      <w:r w:rsidR="0083038F" w:rsidRPr="008B1F04">
        <w:rPr>
          <w:rFonts w:cs="Arial"/>
        </w:rPr>
        <w:t>, 264 F.3d 391, 413 (4th Cir. 2001) (rejecting the defendant’s contention that he was unavailable because he invoked his Fifth Amendment rights)</w:t>
      </w:r>
      <w:r w:rsidR="000E34F6" w:rsidRPr="008B1F04">
        <w:rPr>
          <w:rFonts w:cs="Arial"/>
        </w:rPr>
        <w:t>.</w:t>
      </w:r>
    </w:p>
    <w:p w14:paraId="7A2A60EA" w14:textId="77777777" w:rsidR="00A529F2" w:rsidRPr="008B1F04" w:rsidRDefault="002E085F" w:rsidP="00F83AD6">
      <w:pPr>
        <w:pStyle w:val="ListParagraph"/>
        <w:numPr>
          <w:ilvl w:val="0"/>
          <w:numId w:val="2"/>
        </w:numPr>
        <w:rPr>
          <w:rFonts w:cs="Arial"/>
        </w:rPr>
      </w:pPr>
      <w:bookmarkStart w:id="30" w:name="_Toc405983801"/>
      <w:r w:rsidRPr="00A2261E">
        <w:rPr>
          <w:rStyle w:val="Heading3Char"/>
        </w:rPr>
        <w:t>Former Testimony</w:t>
      </w:r>
      <w:bookmarkEnd w:id="30"/>
      <w:r w:rsidR="00F57241" w:rsidRPr="008B1F04">
        <w:rPr>
          <w:b/>
        </w:rPr>
        <w:t xml:space="preserve">. </w:t>
      </w:r>
      <w:r w:rsidRPr="008B1F04">
        <w:rPr>
          <w:rFonts w:cs="Arial"/>
        </w:rPr>
        <w:t>Rule 804(b)(1) provides a hearsay exception for former testimony. Specifically, it creates an exception for</w:t>
      </w:r>
      <w:r w:rsidR="00F0146B" w:rsidRPr="008B1F04">
        <w:rPr>
          <w:rFonts w:cs="Arial"/>
        </w:rPr>
        <w:t xml:space="preserve"> </w:t>
      </w:r>
      <w:r w:rsidR="00583ECB" w:rsidRPr="008B1F04">
        <w:rPr>
          <w:rFonts w:cs="Arial"/>
        </w:rPr>
        <w:t>“[</w:t>
      </w:r>
      <w:r w:rsidR="00472851" w:rsidRPr="008B1F04">
        <w:rPr>
          <w:rFonts w:cs="Arial"/>
        </w:rPr>
        <w:t>t</w:t>
      </w:r>
      <w:r w:rsidR="00583ECB" w:rsidRPr="008B1F04">
        <w:rPr>
          <w:rFonts w:cs="Arial"/>
        </w:rPr>
        <w:t>]</w:t>
      </w:r>
      <w:r w:rsidR="004C0063" w:rsidRPr="008B1F04">
        <w:rPr>
          <w:rFonts w:cs="Arial"/>
        </w:rPr>
        <w:t>estimony given as a witness at another hearing of the same or a different proceeding, or</w:t>
      </w:r>
      <w:r w:rsidR="00F0146B" w:rsidRPr="008B1F04">
        <w:rPr>
          <w:rFonts w:cs="Arial"/>
        </w:rPr>
        <w:t xml:space="preserve"> </w:t>
      </w:r>
      <w:r w:rsidR="004C0063" w:rsidRPr="008B1F04">
        <w:rPr>
          <w:rFonts w:cs="Arial"/>
        </w:rPr>
        <w:t>in a deposition taken in compliance with law in the</w:t>
      </w:r>
      <w:r w:rsidR="00583ECB" w:rsidRPr="008B1F04">
        <w:rPr>
          <w:rFonts w:cs="Arial"/>
        </w:rPr>
        <w:t xml:space="preserve"> course of</w:t>
      </w:r>
      <w:r w:rsidR="004C0063" w:rsidRPr="008B1F04">
        <w:rPr>
          <w:rFonts w:cs="Arial"/>
        </w:rPr>
        <w:t xml:space="preserve"> same or another proceeding</w:t>
      </w:r>
      <w:r w:rsidR="00583ECB" w:rsidRPr="008B1F04">
        <w:rPr>
          <w:rFonts w:cs="Arial"/>
        </w:rPr>
        <w:t xml:space="preserve">, </w:t>
      </w:r>
      <w:r w:rsidR="00F0146B" w:rsidRPr="008B1F04">
        <w:rPr>
          <w:rFonts w:cs="Arial"/>
        </w:rPr>
        <w:t xml:space="preserve">if </w:t>
      </w:r>
      <w:r w:rsidR="004C0063" w:rsidRPr="008B1F04">
        <w:rPr>
          <w:rFonts w:cs="Arial"/>
        </w:rPr>
        <w:t>the party against whom the testimony is now offered</w:t>
      </w:r>
      <w:r w:rsidR="00472851" w:rsidRPr="008B1F04">
        <w:rPr>
          <w:rFonts w:cs="Arial"/>
        </w:rPr>
        <w:t xml:space="preserve"> . . . </w:t>
      </w:r>
      <w:r w:rsidR="004C0063" w:rsidRPr="008B1F04">
        <w:rPr>
          <w:rFonts w:cs="Arial"/>
        </w:rPr>
        <w:t>had an opportunity and similar motive to develop the</w:t>
      </w:r>
      <w:r w:rsidR="00C65325" w:rsidRPr="008B1F04">
        <w:rPr>
          <w:rFonts w:cs="Arial"/>
        </w:rPr>
        <w:t xml:space="preserve"> testimony by direct, cross, or</w:t>
      </w:r>
      <w:r w:rsidR="004C0063" w:rsidRPr="008B1F04">
        <w:rPr>
          <w:rFonts w:cs="Arial"/>
        </w:rPr>
        <w:t xml:space="preserve"> redirect examination</w:t>
      </w:r>
      <w:r w:rsidR="00472851" w:rsidRPr="008B1F04">
        <w:rPr>
          <w:rFonts w:cs="Arial"/>
        </w:rPr>
        <w:t>.</w:t>
      </w:r>
      <w:r w:rsidR="00583ECB" w:rsidRPr="008B1F04">
        <w:rPr>
          <w:rFonts w:cs="Arial"/>
        </w:rPr>
        <w:t>”</w:t>
      </w:r>
      <w:r w:rsidR="00C65325" w:rsidRPr="008B1F04">
        <w:rPr>
          <w:rFonts w:cs="Arial"/>
        </w:rPr>
        <w:t xml:space="preserve"> </w:t>
      </w:r>
      <w:r w:rsidR="0083038F" w:rsidRPr="008B1F04">
        <w:rPr>
          <w:rFonts w:cs="Arial"/>
        </w:rPr>
        <w:t>N.C. Evid. R. 804(b)(1)</w:t>
      </w:r>
      <w:r w:rsidR="00C65325" w:rsidRPr="008B1F04">
        <w:rPr>
          <w:rFonts w:cs="Arial"/>
        </w:rPr>
        <w:t xml:space="preserve">. </w:t>
      </w:r>
      <w:r w:rsidR="00583ECB" w:rsidRPr="008B1F04">
        <w:rPr>
          <w:rFonts w:cs="Arial"/>
        </w:rPr>
        <w:t xml:space="preserve">When the evidence is offered by the State, </w:t>
      </w:r>
      <w:r w:rsidR="00F0146B" w:rsidRPr="008B1F04">
        <w:rPr>
          <w:rFonts w:cs="Arial"/>
        </w:rPr>
        <w:t xml:space="preserve">case law adds the additional requirement that </w:t>
      </w:r>
      <w:r w:rsidR="00583ECB" w:rsidRPr="008B1F04">
        <w:rPr>
          <w:rFonts w:cs="Arial"/>
        </w:rPr>
        <w:t xml:space="preserve">the </w:t>
      </w:r>
      <w:r w:rsidR="00F0146B" w:rsidRPr="008B1F04">
        <w:rPr>
          <w:rFonts w:cs="Arial"/>
        </w:rPr>
        <w:t xml:space="preserve">defendant must have been present at the former proceeding and represented by counsel. </w:t>
      </w:r>
      <w:r w:rsidR="00583ECB" w:rsidRPr="008B1F04">
        <w:rPr>
          <w:rFonts w:cs="Arial"/>
          <w:i/>
        </w:rPr>
        <w:t>See</w:t>
      </w:r>
      <w:r w:rsidR="00472851" w:rsidRPr="008B1F04">
        <w:rPr>
          <w:rFonts w:cs="Arial"/>
          <w:i/>
        </w:rPr>
        <w:t>,</w:t>
      </w:r>
      <w:r w:rsidR="00583ECB" w:rsidRPr="008B1F04">
        <w:rPr>
          <w:rFonts w:cs="Arial"/>
          <w:i/>
        </w:rPr>
        <w:t xml:space="preserve"> e.g.,</w:t>
      </w:r>
      <w:r w:rsidR="00583ECB" w:rsidRPr="008B1F04">
        <w:rPr>
          <w:rFonts w:cs="Arial"/>
        </w:rPr>
        <w:t xml:space="preserve"> </w:t>
      </w:r>
      <w:r w:rsidR="0083038F" w:rsidRPr="008B1F04">
        <w:rPr>
          <w:rFonts w:cs="Arial"/>
        </w:rPr>
        <w:t>State v. Rollins, __ N.C. App. __, 738 S.E.2d 440, 445 (2013)</w:t>
      </w:r>
      <w:r w:rsidR="00A529F2" w:rsidRPr="008B1F04">
        <w:rPr>
          <w:rFonts w:cs="Arial"/>
        </w:rPr>
        <w:t>.</w:t>
      </w:r>
    </w:p>
    <w:p w14:paraId="46D4FA20" w14:textId="77777777" w:rsidR="00316047" w:rsidRPr="008B1F04" w:rsidRDefault="00316047" w:rsidP="00F83AD6">
      <w:pPr>
        <w:rPr>
          <w:rFonts w:cs="Arial"/>
        </w:rPr>
      </w:pPr>
    </w:p>
    <w:p w14:paraId="738C870C" w14:textId="77777777" w:rsidR="00F0146B" w:rsidRPr="008B1F04" w:rsidRDefault="00F0146B" w:rsidP="00F57241">
      <w:pPr>
        <w:ind w:left="2160"/>
        <w:rPr>
          <w:rFonts w:cs="Arial"/>
        </w:rPr>
      </w:pPr>
      <w:r w:rsidRPr="008B1F04">
        <w:rPr>
          <w:rFonts w:cs="Arial"/>
        </w:rPr>
        <w:t xml:space="preserve">Courts have held the following types of prior testimony admissible </w:t>
      </w:r>
      <w:r w:rsidR="00D10C0B" w:rsidRPr="008B1F04">
        <w:rPr>
          <w:rFonts w:cs="Arial"/>
        </w:rPr>
        <w:t>under this rule</w:t>
      </w:r>
      <w:r w:rsidRPr="008B1F04">
        <w:rPr>
          <w:rFonts w:cs="Arial"/>
        </w:rPr>
        <w:t>:</w:t>
      </w:r>
    </w:p>
    <w:p w14:paraId="7125C700" w14:textId="77777777" w:rsidR="009D4BE0" w:rsidRPr="008B1F04" w:rsidRDefault="009D4BE0" w:rsidP="00F57241">
      <w:pPr>
        <w:ind w:left="2160"/>
        <w:rPr>
          <w:rFonts w:cs="Arial"/>
        </w:rPr>
      </w:pPr>
    </w:p>
    <w:p w14:paraId="51503DB7" w14:textId="77777777" w:rsidR="00334CA5" w:rsidRPr="008B1F04" w:rsidRDefault="00334CA5" w:rsidP="00F57241">
      <w:pPr>
        <w:pStyle w:val="ListParagraph"/>
        <w:numPr>
          <w:ilvl w:val="0"/>
          <w:numId w:val="8"/>
        </w:numPr>
        <w:ind w:left="2880"/>
        <w:rPr>
          <w:rFonts w:cs="Arial"/>
        </w:rPr>
      </w:pPr>
      <w:r w:rsidRPr="008B1F04">
        <w:rPr>
          <w:rFonts w:cs="Arial"/>
        </w:rPr>
        <w:t xml:space="preserve">A witness’s testimony during a prior trial on the charges at issue. </w:t>
      </w:r>
      <w:r w:rsidR="00252D9B" w:rsidRPr="008B1F04">
        <w:rPr>
          <w:rFonts w:cs="Arial"/>
          <w:i/>
        </w:rPr>
        <w:t>See, e.g.,</w:t>
      </w:r>
      <w:r w:rsidR="00252D9B" w:rsidRPr="008B1F04">
        <w:rPr>
          <w:rFonts w:cs="Arial"/>
        </w:rPr>
        <w:t xml:space="preserve"> </w:t>
      </w:r>
      <w:r w:rsidR="0083038F" w:rsidRPr="008B1F04">
        <w:rPr>
          <w:rFonts w:cs="Arial"/>
        </w:rPr>
        <w:t>State v. Hunt, 339 N.C. 622, 646 (1994)</w:t>
      </w:r>
      <w:r w:rsidRPr="008B1F04">
        <w:rPr>
          <w:rFonts w:cs="Arial"/>
        </w:rPr>
        <w:t xml:space="preserve">; </w:t>
      </w:r>
      <w:r w:rsidR="0083038F" w:rsidRPr="008B1F04">
        <w:rPr>
          <w:rFonts w:cs="Arial"/>
        </w:rPr>
        <w:t>State v. Swindler, 129 N.C. App. 1, 5 (1998)</w:t>
      </w:r>
      <w:r w:rsidRPr="008B1F04">
        <w:rPr>
          <w:rFonts w:cs="Arial"/>
        </w:rPr>
        <w:t>.</w:t>
      </w:r>
    </w:p>
    <w:p w14:paraId="0E5C72EB" w14:textId="77777777" w:rsidR="00D10C0B" w:rsidRPr="008B1F04" w:rsidRDefault="00D10C0B" w:rsidP="00F57241">
      <w:pPr>
        <w:pStyle w:val="ListParagraph"/>
        <w:numPr>
          <w:ilvl w:val="0"/>
          <w:numId w:val="8"/>
        </w:numPr>
        <w:ind w:left="2880"/>
        <w:rPr>
          <w:rFonts w:cs="Arial"/>
        </w:rPr>
      </w:pPr>
      <w:r w:rsidRPr="008B1F04">
        <w:rPr>
          <w:rFonts w:cs="Arial"/>
        </w:rPr>
        <w:t>A witness’s testimony during the defendant’s juvenile transfer hearing</w:t>
      </w:r>
      <w:r w:rsidR="008B4DC0" w:rsidRPr="008B1F04">
        <w:rPr>
          <w:rFonts w:cs="Arial"/>
        </w:rPr>
        <w:t xml:space="preserve"> in connection with the charged offense</w:t>
      </w:r>
      <w:r w:rsidRPr="008B1F04">
        <w:rPr>
          <w:rFonts w:cs="Arial"/>
        </w:rPr>
        <w:t xml:space="preserve">. </w:t>
      </w:r>
      <w:r w:rsidR="0083038F" w:rsidRPr="008B1F04">
        <w:rPr>
          <w:rFonts w:cs="Arial"/>
        </w:rPr>
        <w:t>State v. Giles, 83 N.C. App. 487, 494 (1986)</w:t>
      </w:r>
      <w:r w:rsidRPr="008B1F04">
        <w:rPr>
          <w:rFonts w:cs="Arial"/>
        </w:rPr>
        <w:t>.</w:t>
      </w:r>
    </w:p>
    <w:p w14:paraId="0BB16842" w14:textId="77777777" w:rsidR="00334CA5" w:rsidRPr="008B1F04" w:rsidRDefault="00334CA5" w:rsidP="00F57241">
      <w:pPr>
        <w:pStyle w:val="ListParagraph"/>
        <w:numPr>
          <w:ilvl w:val="0"/>
          <w:numId w:val="8"/>
        </w:numPr>
        <w:ind w:left="2880"/>
        <w:rPr>
          <w:rFonts w:cs="Arial"/>
        </w:rPr>
      </w:pPr>
      <w:r w:rsidRPr="008B1F04">
        <w:rPr>
          <w:rFonts w:cs="Arial"/>
        </w:rPr>
        <w:t>A</w:t>
      </w:r>
      <w:r w:rsidR="00F0146B" w:rsidRPr="008B1F04">
        <w:rPr>
          <w:rFonts w:cs="Arial"/>
        </w:rPr>
        <w:t xml:space="preserve"> witness’s testimony at the defendant’s pretrial bond hearing</w:t>
      </w:r>
      <w:r w:rsidRPr="008B1F04">
        <w:rPr>
          <w:rFonts w:cs="Arial"/>
        </w:rPr>
        <w:t xml:space="preserve"> in connection with the charge at issue</w:t>
      </w:r>
      <w:r w:rsidR="00F0146B" w:rsidRPr="008B1F04">
        <w:rPr>
          <w:rFonts w:cs="Arial"/>
        </w:rPr>
        <w:t xml:space="preserve">. </w:t>
      </w:r>
      <w:r w:rsidR="0083038F" w:rsidRPr="008B1F04">
        <w:rPr>
          <w:rFonts w:cs="Arial"/>
        </w:rPr>
        <w:t>State v. Ramirez, 156 N.C. App. 249, 258 (2003) (rejecting the defendant’s argument that the bond hearing raised different issues than the trial, and therefore defendant did not have “an opportunity and similar motive” to cross-examine the witness)</w:t>
      </w:r>
      <w:r w:rsidR="00F0146B" w:rsidRPr="008B1F04">
        <w:rPr>
          <w:rFonts w:cs="Arial"/>
        </w:rPr>
        <w:t xml:space="preserve">. </w:t>
      </w:r>
    </w:p>
    <w:p w14:paraId="2FF95903" w14:textId="77777777" w:rsidR="00334CA5" w:rsidRPr="008B1F04" w:rsidRDefault="00334CA5" w:rsidP="00F57241">
      <w:pPr>
        <w:pStyle w:val="ListParagraph"/>
        <w:numPr>
          <w:ilvl w:val="0"/>
          <w:numId w:val="8"/>
        </w:numPr>
        <w:ind w:left="2880"/>
        <w:rPr>
          <w:rFonts w:cs="Arial"/>
        </w:rPr>
      </w:pPr>
      <w:r w:rsidRPr="008B1F04">
        <w:rPr>
          <w:rFonts w:cs="Arial"/>
        </w:rPr>
        <w:t xml:space="preserve">A witness’s testimony during an </w:t>
      </w:r>
      <w:r w:rsidRPr="008B1F04">
        <w:rPr>
          <w:rFonts w:cs="Arial"/>
          <w:i/>
        </w:rPr>
        <w:t xml:space="preserve">Alford </w:t>
      </w:r>
      <w:r w:rsidRPr="008B1F04">
        <w:rPr>
          <w:rFonts w:cs="Arial"/>
        </w:rPr>
        <w:t>plea</w:t>
      </w:r>
      <w:r w:rsidR="00E85BE2" w:rsidRPr="008B1F04">
        <w:rPr>
          <w:rFonts w:cs="Arial"/>
        </w:rPr>
        <w:t xml:space="preserve"> proceeding</w:t>
      </w:r>
      <w:r w:rsidRPr="008B1F04">
        <w:rPr>
          <w:rFonts w:cs="Arial"/>
        </w:rPr>
        <w:t xml:space="preserve">. </w:t>
      </w:r>
      <w:r w:rsidR="0083038F" w:rsidRPr="008B1F04">
        <w:rPr>
          <w:rFonts w:cs="Arial"/>
        </w:rPr>
        <w:t>State v. Rollins, __ N.C. App. __, 738 S.E.2d 440, 445 (2013) (rejecting the defendant’s argument that he had no motive to cross-examine the witness at the plea hearing)</w:t>
      </w:r>
      <w:r w:rsidRPr="008B1F04">
        <w:rPr>
          <w:rFonts w:cs="Arial"/>
        </w:rPr>
        <w:t>.</w:t>
      </w:r>
    </w:p>
    <w:p w14:paraId="0BD881F0" w14:textId="77777777" w:rsidR="00334CA5" w:rsidRPr="008B1F04" w:rsidRDefault="00334CA5" w:rsidP="00F57241">
      <w:pPr>
        <w:pStyle w:val="ListParagraph"/>
        <w:numPr>
          <w:ilvl w:val="0"/>
          <w:numId w:val="8"/>
        </w:numPr>
        <w:ind w:left="2880"/>
        <w:rPr>
          <w:rFonts w:cs="Arial"/>
        </w:rPr>
      </w:pPr>
      <w:r w:rsidRPr="008B1F04">
        <w:rPr>
          <w:rFonts w:cs="Arial"/>
        </w:rPr>
        <w:t xml:space="preserve">A victim’s testimony during voir dire conducted during the trial at issue. </w:t>
      </w:r>
      <w:r w:rsidR="0083038F" w:rsidRPr="008B1F04">
        <w:rPr>
          <w:rFonts w:cs="Arial"/>
        </w:rPr>
        <w:t>State v. Finney, 358 N.C. 79, 89 (2004) (trial court erred by prohibiting the defendant from admitting this testimony)</w:t>
      </w:r>
      <w:r w:rsidRPr="008B1F04">
        <w:rPr>
          <w:rFonts w:cs="Arial"/>
        </w:rPr>
        <w:t>.</w:t>
      </w:r>
    </w:p>
    <w:p w14:paraId="0BFD905C" w14:textId="77777777" w:rsidR="002E085F" w:rsidRPr="008B1F04" w:rsidRDefault="002E085F" w:rsidP="00F83AD6">
      <w:pPr>
        <w:rPr>
          <w:rFonts w:cs="Arial"/>
        </w:rPr>
      </w:pPr>
    </w:p>
    <w:p w14:paraId="1997C76E" w14:textId="77777777" w:rsidR="004C0063" w:rsidRPr="008B1F04" w:rsidRDefault="002E085F" w:rsidP="00F83AD6">
      <w:pPr>
        <w:pStyle w:val="ListParagraph"/>
        <w:numPr>
          <w:ilvl w:val="0"/>
          <w:numId w:val="2"/>
        </w:numPr>
        <w:rPr>
          <w:rFonts w:cs="Arial"/>
        </w:rPr>
      </w:pPr>
      <w:bookmarkStart w:id="31" w:name="_Toc405983802"/>
      <w:r w:rsidRPr="00A2261E">
        <w:rPr>
          <w:rStyle w:val="Heading3Char"/>
        </w:rPr>
        <w:t>Dying Declaration</w:t>
      </w:r>
      <w:bookmarkEnd w:id="31"/>
      <w:r w:rsidR="00102AE5" w:rsidRPr="008B1F04">
        <w:rPr>
          <w:b/>
        </w:rPr>
        <w:t xml:space="preserve">. </w:t>
      </w:r>
      <w:r w:rsidRPr="008B1F04">
        <w:rPr>
          <w:rFonts w:cs="Arial"/>
        </w:rPr>
        <w:t xml:space="preserve">Rule 804(b)(2) contains the hearsay exception for dying declarations. It provides an exception </w:t>
      </w:r>
      <w:r w:rsidR="00BA74B3" w:rsidRPr="008B1F04">
        <w:rPr>
          <w:rFonts w:cs="Arial"/>
        </w:rPr>
        <w:t>for</w:t>
      </w:r>
      <w:r w:rsidRPr="008B1F04">
        <w:rPr>
          <w:rFonts w:cs="Arial"/>
        </w:rPr>
        <w:t xml:space="preserve"> a “</w:t>
      </w:r>
      <w:r w:rsidR="004C0063" w:rsidRPr="008B1F04">
        <w:rPr>
          <w:rFonts w:cs="Arial"/>
        </w:rPr>
        <w:t>statement made by a declarant while believing that his death was imminent, concerning the cause or circumstances of what he believed to be his impending death.</w:t>
      </w:r>
      <w:r w:rsidRPr="008B1F04">
        <w:rPr>
          <w:rFonts w:cs="Arial"/>
        </w:rPr>
        <w:t>”</w:t>
      </w:r>
      <w:r w:rsidR="009843B9" w:rsidRPr="008B1F04">
        <w:rPr>
          <w:rFonts w:cs="Arial"/>
        </w:rPr>
        <w:t xml:space="preserve"> </w:t>
      </w:r>
      <w:r w:rsidR="0083038F" w:rsidRPr="008B1F04">
        <w:rPr>
          <w:rFonts w:cs="Arial"/>
        </w:rPr>
        <w:t>N.C. R. Evid. 804(b)(2)</w:t>
      </w:r>
      <w:r w:rsidR="00E12615" w:rsidRPr="008B1F04">
        <w:rPr>
          <w:rFonts w:cs="Arial"/>
        </w:rPr>
        <w:t xml:space="preserve">. </w:t>
      </w:r>
      <w:r w:rsidR="008974DD" w:rsidRPr="008B1F04">
        <w:rPr>
          <w:rFonts w:cs="Arial"/>
        </w:rPr>
        <w:t>This exception is</w:t>
      </w:r>
      <w:r w:rsidR="009843B9" w:rsidRPr="008B1F04">
        <w:rPr>
          <w:rFonts w:cs="Arial"/>
        </w:rPr>
        <w:t xml:space="preserve"> important for the State because it satisfies both the hearsay rules and the confrontation clause. </w:t>
      </w:r>
      <w:r w:rsidR="0083038F" w:rsidRPr="008B1F04">
        <w:rPr>
          <w:rFonts w:cs="Arial"/>
        </w:rPr>
        <w:t>State v. Bodden, 190 N.C. App. 505, 514-15 (2008)</w:t>
      </w:r>
      <w:r w:rsidR="008974DD" w:rsidRPr="008B1F04">
        <w:rPr>
          <w:rFonts w:cs="Arial"/>
        </w:rPr>
        <w:t xml:space="preserve">; </w:t>
      </w:r>
      <w:r w:rsidR="0083038F" w:rsidRPr="008B1F04">
        <w:rPr>
          <w:rFonts w:cs="Arial"/>
        </w:rPr>
        <w:t>State v. Calhoun, 189 N.C. App. 166, 172 (2008)</w:t>
      </w:r>
      <w:r w:rsidR="008974DD" w:rsidRPr="008B1F04">
        <w:rPr>
          <w:rFonts w:cs="Arial"/>
        </w:rPr>
        <w:t>.</w:t>
      </w:r>
    </w:p>
    <w:p w14:paraId="6ECA8EAA" w14:textId="77777777" w:rsidR="00BA74B3" w:rsidRPr="008B1F04" w:rsidRDefault="006F1495" w:rsidP="00102AE5">
      <w:pPr>
        <w:ind w:left="2160" w:firstLine="360"/>
        <w:rPr>
          <w:rFonts w:cs="Arial"/>
        </w:rPr>
      </w:pPr>
      <w:r w:rsidRPr="008B1F04">
        <w:rPr>
          <w:rFonts w:cs="Arial"/>
        </w:rPr>
        <w:t xml:space="preserve">Pre-rules cases state that the proponent must </w:t>
      </w:r>
      <w:r w:rsidR="00127FBB" w:rsidRPr="008B1F04">
        <w:rPr>
          <w:rFonts w:cs="Arial"/>
        </w:rPr>
        <w:t>s</w:t>
      </w:r>
      <w:r w:rsidRPr="008B1F04">
        <w:rPr>
          <w:rFonts w:cs="Arial"/>
        </w:rPr>
        <w:t>how that</w:t>
      </w:r>
      <w:r w:rsidR="00AB56C6" w:rsidRPr="008B1F04">
        <w:rPr>
          <w:rFonts w:cs="Arial"/>
        </w:rPr>
        <w:t xml:space="preserve"> death actually occurred, 2 </w:t>
      </w:r>
      <w:r w:rsidR="00AB56C6" w:rsidRPr="008B1F04">
        <w:rPr>
          <w:rFonts w:cs="Arial"/>
          <w:smallCaps/>
        </w:rPr>
        <w:t xml:space="preserve">Brandis &amp; Broun </w:t>
      </w:r>
      <w:r w:rsidR="00AB56C6" w:rsidRPr="008B1F04">
        <w:rPr>
          <w:rFonts w:cs="Arial"/>
        </w:rPr>
        <w:t>at 921,</w:t>
      </w:r>
      <w:r w:rsidR="00A004B5" w:rsidRPr="008B1F04">
        <w:rPr>
          <w:rFonts w:cs="Arial"/>
        </w:rPr>
        <w:t xml:space="preserve"> </w:t>
      </w:r>
      <w:r w:rsidR="00AB56C6" w:rsidRPr="008B1F04">
        <w:rPr>
          <w:rFonts w:cs="Arial"/>
        </w:rPr>
        <w:t>and t</w:t>
      </w:r>
      <w:r w:rsidRPr="008B1F04">
        <w:rPr>
          <w:rFonts w:cs="Arial"/>
        </w:rPr>
        <w:t xml:space="preserve">hat foundational requirement has been repeated by at least one post-Rules case. </w:t>
      </w:r>
      <w:r w:rsidR="0083038F" w:rsidRPr="008B1F04">
        <w:rPr>
          <w:rFonts w:cs="Arial"/>
          <w:i/>
        </w:rPr>
        <w:t>Bodden</w:t>
      </w:r>
      <w:r w:rsidR="0083038F" w:rsidRPr="008B1F04">
        <w:rPr>
          <w:rFonts w:cs="Arial"/>
        </w:rPr>
        <w:t>, 190 N.C. App. at 512</w:t>
      </w:r>
      <w:r w:rsidR="007059DA" w:rsidRPr="008B1F04">
        <w:rPr>
          <w:rFonts w:cs="Arial"/>
        </w:rPr>
        <w:t>.</w:t>
      </w:r>
      <w:r w:rsidRPr="008B1F04">
        <w:rPr>
          <w:rFonts w:cs="Arial"/>
        </w:rPr>
        <w:t xml:space="preserve"> </w:t>
      </w:r>
      <w:r w:rsidR="00BA74B3" w:rsidRPr="008B1F04">
        <w:rPr>
          <w:rFonts w:cs="Arial"/>
        </w:rPr>
        <w:t>However, other authority</w:t>
      </w:r>
      <w:r w:rsidR="00127FBB" w:rsidRPr="008B1F04">
        <w:rPr>
          <w:rFonts w:cs="Arial"/>
        </w:rPr>
        <w:t xml:space="preserve"> suggests that the rule rejects</w:t>
      </w:r>
      <w:r w:rsidR="00BA74B3" w:rsidRPr="008B1F04">
        <w:rPr>
          <w:rFonts w:cs="Arial"/>
        </w:rPr>
        <w:t xml:space="preserve"> the common law requirement that death actually occur, </w:t>
      </w:r>
      <w:r w:rsidR="007059DA" w:rsidRPr="008B1F04">
        <w:rPr>
          <w:rFonts w:cs="Arial"/>
        </w:rPr>
        <w:t xml:space="preserve">2 </w:t>
      </w:r>
      <w:r w:rsidR="007059DA" w:rsidRPr="008B1F04">
        <w:rPr>
          <w:rFonts w:cs="Arial"/>
          <w:smallCaps/>
        </w:rPr>
        <w:t>Brandis &amp; Broun</w:t>
      </w:r>
      <w:r w:rsidR="007059DA" w:rsidRPr="008B1F04">
        <w:rPr>
          <w:rFonts w:cs="Arial"/>
        </w:rPr>
        <w:t xml:space="preserve"> at 921 </w:t>
      </w:r>
      <w:r w:rsidR="00472851" w:rsidRPr="008B1F04">
        <w:rPr>
          <w:rFonts w:cs="Arial"/>
        </w:rPr>
        <w:t>n.6</w:t>
      </w:r>
      <w:r w:rsidR="007059DA" w:rsidRPr="008B1F04">
        <w:rPr>
          <w:rFonts w:cs="Arial"/>
        </w:rPr>
        <w:t xml:space="preserve">70; </w:t>
      </w:r>
      <w:r w:rsidR="00BA74B3" w:rsidRPr="008B1F04">
        <w:rPr>
          <w:rFonts w:cs="Arial"/>
          <w:smallCaps/>
        </w:rPr>
        <w:t>Evidentiary Foundations</w:t>
      </w:r>
      <w:r w:rsidR="00BA74B3" w:rsidRPr="008B1F04">
        <w:rPr>
          <w:rFonts w:cs="Arial"/>
        </w:rPr>
        <w:t xml:space="preserve"> at 11-85, and not all post-Rules cases include the fact of death when articulating the evidentiary foundation</w:t>
      </w:r>
      <w:r w:rsidR="00127FBB" w:rsidRPr="008B1F04">
        <w:rPr>
          <w:rFonts w:cs="Arial"/>
        </w:rPr>
        <w:t xml:space="preserve"> for</w:t>
      </w:r>
      <w:r w:rsidR="00294E17" w:rsidRPr="008B1F04">
        <w:rPr>
          <w:rFonts w:cs="Arial"/>
        </w:rPr>
        <w:t xml:space="preserve"> </w:t>
      </w:r>
      <w:r w:rsidR="00127FBB" w:rsidRPr="008B1F04">
        <w:rPr>
          <w:rFonts w:cs="Arial"/>
        </w:rPr>
        <w:t>this exception</w:t>
      </w:r>
      <w:r w:rsidR="00BA74B3" w:rsidRPr="008B1F04">
        <w:rPr>
          <w:rFonts w:cs="Arial"/>
        </w:rPr>
        <w:t xml:space="preserve">. </w:t>
      </w:r>
      <w:r w:rsidR="00294E17" w:rsidRPr="008B1F04">
        <w:rPr>
          <w:rFonts w:cs="Arial"/>
          <w:i/>
        </w:rPr>
        <w:t>See, e.g</w:t>
      </w:r>
      <w:r w:rsidR="00294E17" w:rsidRPr="008B1F04">
        <w:rPr>
          <w:rFonts w:cs="Arial"/>
        </w:rPr>
        <w:t xml:space="preserve">., </w:t>
      </w:r>
      <w:r w:rsidR="0083038F" w:rsidRPr="008B1F04">
        <w:rPr>
          <w:rFonts w:cs="Arial"/>
        </w:rPr>
        <w:t>State v. Sharpe, 344 N.C. 190, 193-94 (1996)</w:t>
      </w:r>
      <w:r w:rsidR="00BA74B3" w:rsidRPr="008B1F04">
        <w:rPr>
          <w:rFonts w:cs="Arial"/>
        </w:rPr>
        <w:t>.</w:t>
      </w:r>
      <w:r w:rsidR="00127FBB" w:rsidRPr="008B1F04">
        <w:rPr>
          <w:rFonts w:cs="Arial"/>
        </w:rPr>
        <w:t xml:space="preserve"> </w:t>
      </w:r>
    </w:p>
    <w:p w14:paraId="6BD00970" w14:textId="77777777" w:rsidR="00A004B5" w:rsidRPr="008B1F04" w:rsidRDefault="00A004B5" w:rsidP="00102AE5">
      <w:pPr>
        <w:ind w:left="2160" w:firstLine="360"/>
        <w:rPr>
          <w:rFonts w:eastAsia="Times New Roman" w:cs="Arial"/>
        </w:rPr>
      </w:pPr>
      <w:r w:rsidRPr="008B1F04">
        <w:rPr>
          <w:rFonts w:cs="Arial"/>
        </w:rPr>
        <w:t>T</w:t>
      </w:r>
      <w:r w:rsidR="00BA74B3" w:rsidRPr="008B1F04">
        <w:rPr>
          <w:rFonts w:cs="Arial"/>
        </w:rPr>
        <w:t xml:space="preserve">he statement must be made at a time when the declarant believes that death is imminent. </w:t>
      </w:r>
      <w:r w:rsidRPr="008B1F04">
        <w:rPr>
          <w:rFonts w:cs="Arial"/>
          <w:i/>
        </w:rPr>
        <w:t xml:space="preserve">Compare </w:t>
      </w:r>
      <w:r w:rsidR="0083038F" w:rsidRPr="008B1F04">
        <w:rPr>
          <w:rFonts w:cs="Arial"/>
          <w:i/>
        </w:rPr>
        <w:t>Sharpe</w:t>
      </w:r>
      <w:r w:rsidR="0083038F" w:rsidRPr="008B1F04">
        <w:rPr>
          <w:rFonts w:cs="Arial"/>
        </w:rPr>
        <w:t>, 344 N.C. at 194 (1996) (following his confession to a murder, the witness stated that he would kill himself before he would go to jail for the murder, but nothing in the circumstances surrounding the making of the statement suggest</w:t>
      </w:r>
      <w:r w:rsidR="00394EA7" w:rsidRPr="008B1F04">
        <w:rPr>
          <w:rFonts w:cs="Arial"/>
        </w:rPr>
        <w:t>ed</w:t>
      </w:r>
      <w:r w:rsidR="0083038F" w:rsidRPr="008B1F04">
        <w:rPr>
          <w:rFonts w:cs="Arial"/>
        </w:rPr>
        <w:t xml:space="preserve"> that he was in immediate danger of being arrested; thus, it was not established that the witness believed his death was imminent)</w:t>
      </w:r>
      <w:r w:rsidRPr="008B1F04">
        <w:rPr>
          <w:rFonts w:cs="Arial"/>
        </w:rPr>
        <w:t xml:space="preserve">, </w:t>
      </w:r>
      <w:r w:rsidRPr="008B1F04">
        <w:rPr>
          <w:rFonts w:cs="Arial"/>
          <w:i/>
        </w:rPr>
        <w:t xml:space="preserve">with </w:t>
      </w:r>
      <w:r w:rsidR="0083038F" w:rsidRPr="008B1F04">
        <w:rPr>
          <w:rFonts w:eastAsia="Times New Roman" w:cs="Arial"/>
        </w:rPr>
        <w:t>State v. Penley, 318 N.C. 30, 40 (1986) (</w:t>
      </w:r>
      <w:r w:rsidR="00102AE5" w:rsidRPr="008B1F04">
        <w:rPr>
          <w:rFonts w:eastAsia="Times New Roman" w:cs="Arial"/>
        </w:rPr>
        <w:t>declarant</w:t>
      </w:r>
      <w:r w:rsidR="0083038F" w:rsidRPr="008B1F04">
        <w:rPr>
          <w:rFonts w:eastAsia="Times New Roman" w:cs="Arial"/>
        </w:rPr>
        <w:t xml:space="preserve"> believed death was imminent)</w:t>
      </w:r>
      <w:r w:rsidRPr="008B1F04">
        <w:rPr>
          <w:rFonts w:eastAsia="Times New Roman" w:cs="Arial"/>
        </w:rPr>
        <w:t>.</w:t>
      </w:r>
    </w:p>
    <w:p w14:paraId="27070D4B" w14:textId="77777777" w:rsidR="00A004B5" w:rsidRPr="008B1F04" w:rsidRDefault="001C2821" w:rsidP="00102AE5">
      <w:pPr>
        <w:ind w:left="2160" w:firstLine="360"/>
        <w:rPr>
          <w:rFonts w:cs="Arial"/>
        </w:rPr>
      </w:pPr>
      <w:r w:rsidRPr="008B1F04">
        <w:rPr>
          <w:rFonts w:cs="Arial"/>
        </w:rPr>
        <w:t>The</w:t>
      </w:r>
      <w:r w:rsidR="00A004B5" w:rsidRPr="008B1F04">
        <w:rPr>
          <w:rFonts w:cs="Arial"/>
        </w:rPr>
        <w:t xml:space="preserve"> statement must “concern[] the cause or circumstances of what he believed to be his impending death.” </w:t>
      </w:r>
      <w:r w:rsidR="0083038F" w:rsidRPr="008B1F04">
        <w:rPr>
          <w:rFonts w:cs="Arial"/>
          <w:smallCaps/>
        </w:rPr>
        <w:t>N.C. R. Evid</w:t>
      </w:r>
      <w:r w:rsidR="0083038F" w:rsidRPr="008B1F04">
        <w:rPr>
          <w:rFonts w:cs="Arial"/>
        </w:rPr>
        <w:t>. 804(b)(2)</w:t>
      </w:r>
      <w:r w:rsidR="00A004B5" w:rsidRPr="008B1F04">
        <w:rPr>
          <w:rFonts w:cs="Arial"/>
        </w:rPr>
        <w:t xml:space="preserve">. </w:t>
      </w:r>
      <w:r w:rsidR="00A004B5" w:rsidRPr="008B1F04">
        <w:rPr>
          <w:rFonts w:cs="Arial"/>
          <w:i/>
        </w:rPr>
        <w:t xml:space="preserve">Compare </w:t>
      </w:r>
      <w:r w:rsidR="0083038F" w:rsidRPr="008B1F04">
        <w:rPr>
          <w:rFonts w:cs="Arial"/>
          <w:i/>
        </w:rPr>
        <w:t>Sharpe</w:t>
      </w:r>
      <w:r w:rsidR="0083038F" w:rsidRPr="008B1F04">
        <w:rPr>
          <w:rFonts w:cs="Arial"/>
        </w:rPr>
        <w:t>, 344 N.C. at 194 (statement did not satisfy this requirement)</w:t>
      </w:r>
      <w:r w:rsidR="00A004B5" w:rsidRPr="008B1F04">
        <w:rPr>
          <w:rFonts w:cs="Arial"/>
        </w:rPr>
        <w:t xml:space="preserve">, </w:t>
      </w:r>
      <w:r w:rsidR="00A004B5" w:rsidRPr="008B1F04">
        <w:rPr>
          <w:rFonts w:cs="Arial"/>
          <w:i/>
        </w:rPr>
        <w:t xml:space="preserve">with </w:t>
      </w:r>
      <w:r w:rsidR="0083038F" w:rsidRPr="008B1F04">
        <w:rPr>
          <w:rFonts w:eastAsia="Times New Roman" w:cs="Arial"/>
          <w:i/>
        </w:rPr>
        <w:t>Penley</w:t>
      </w:r>
      <w:r w:rsidR="0083038F" w:rsidRPr="008B1F04">
        <w:rPr>
          <w:rFonts w:eastAsia="Times New Roman" w:cs="Arial"/>
        </w:rPr>
        <w:t>, 318 N.C. at 40 (statements concerned cause of death)</w:t>
      </w:r>
      <w:r w:rsidR="00A004B5" w:rsidRPr="008B1F04">
        <w:rPr>
          <w:rFonts w:cs="Arial"/>
        </w:rPr>
        <w:t xml:space="preserve">. </w:t>
      </w:r>
    </w:p>
    <w:p w14:paraId="5495B69C" w14:textId="77777777" w:rsidR="006A3A4B" w:rsidRPr="008B1F04" w:rsidRDefault="004C0063" w:rsidP="00F83AD6">
      <w:pPr>
        <w:pStyle w:val="ListParagraph"/>
        <w:numPr>
          <w:ilvl w:val="0"/>
          <w:numId w:val="2"/>
        </w:numPr>
        <w:rPr>
          <w:rFonts w:cs="Arial"/>
        </w:rPr>
      </w:pPr>
      <w:bookmarkStart w:id="32" w:name="_Toc405983803"/>
      <w:r w:rsidRPr="00A2261E">
        <w:rPr>
          <w:rStyle w:val="Heading3Char"/>
        </w:rPr>
        <w:t xml:space="preserve">Statement Against </w:t>
      </w:r>
      <w:r w:rsidR="00EC7300" w:rsidRPr="00A2261E">
        <w:rPr>
          <w:rStyle w:val="Heading3Char"/>
        </w:rPr>
        <w:t xml:space="preserve">Penal </w:t>
      </w:r>
      <w:r w:rsidRPr="00A2261E">
        <w:rPr>
          <w:rStyle w:val="Heading3Char"/>
        </w:rPr>
        <w:t>Interest</w:t>
      </w:r>
      <w:bookmarkEnd w:id="32"/>
      <w:r w:rsidR="00102AE5" w:rsidRPr="008B1F04">
        <w:rPr>
          <w:b/>
        </w:rPr>
        <w:t xml:space="preserve">. </w:t>
      </w:r>
      <w:r w:rsidR="002E085F" w:rsidRPr="008B1F04">
        <w:rPr>
          <w:rFonts w:cs="Arial"/>
        </w:rPr>
        <w:t>Rule 804(b)(3) creates a hearsay exception for a</w:t>
      </w:r>
      <w:r w:rsidRPr="008B1F04">
        <w:rPr>
          <w:rFonts w:cs="Arial"/>
        </w:rPr>
        <w:t xml:space="preserve"> </w:t>
      </w:r>
      <w:r w:rsidR="002E085F" w:rsidRPr="008B1F04">
        <w:rPr>
          <w:rFonts w:cs="Arial"/>
        </w:rPr>
        <w:t>“</w:t>
      </w:r>
      <w:r w:rsidRPr="008B1F04">
        <w:rPr>
          <w:rFonts w:cs="Arial"/>
        </w:rPr>
        <w:t>statement which was at the time of its making so far contrary to the declarant's pecuniary or proprietary interest, or so far tended to subject him to civil or criminal liability, or to render invalid a claim by him against another, that a reasonable man in his position would not have made the statement unless he believed it to be true.</w:t>
      </w:r>
      <w:r w:rsidR="002E085F" w:rsidRPr="008B1F04">
        <w:rPr>
          <w:rFonts w:cs="Arial"/>
        </w:rPr>
        <w:t>”</w:t>
      </w:r>
      <w:r w:rsidRPr="008B1F04">
        <w:rPr>
          <w:rFonts w:cs="Arial"/>
        </w:rPr>
        <w:t xml:space="preserve"> </w:t>
      </w:r>
      <w:r w:rsidR="002E085F" w:rsidRPr="008B1F04">
        <w:rPr>
          <w:rFonts w:cs="Arial"/>
        </w:rPr>
        <w:t>It further provides that a</w:t>
      </w:r>
      <w:r w:rsidRPr="008B1F04">
        <w:rPr>
          <w:rFonts w:cs="Arial"/>
        </w:rPr>
        <w:t xml:space="preserve"> </w:t>
      </w:r>
      <w:r w:rsidR="002E085F" w:rsidRPr="008B1F04">
        <w:rPr>
          <w:rFonts w:cs="Arial"/>
        </w:rPr>
        <w:t>“</w:t>
      </w:r>
      <w:r w:rsidRPr="008B1F04">
        <w:rPr>
          <w:rFonts w:cs="Arial"/>
        </w:rPr>
        <w:t>statement tending to expose the declarant to criminal liability is not admissible in a criminal case unless corroborating circumstances clearly indicate the trustworthiness of the statement.</w:t>
      </w:r>
      <w:r w:rsidR="00E60E60" w:rsidRPr="008B1F04">
        <w:rPr>
          <w:rFonts w:cs="Arial"/>
        </w:rPr>
        <w:t xml:space="preserve">” </w:t>
      </w:r>
      <w:r w:rsidR="0083038F" w:rsidRPr="008B1F04">
        <w:rPr>
          <w:rFonts w:cs="Arial"/>
          <w:smallCaps/>
        </w:rPr>
        <w:t>N.C. R. Evid</w:t>
      </w:r>
      <w:r w:rsidR="0083038F" w:rsidRPr="008B1F04">
        <w:rPr>
          <w:rFonts w:cs="Arial"/>
        </w:rPr>
        <w:t>. 804(b)(3)</w:t>
      </w:r>
      <w:r w:rsidR="00E60E60" w:rsidRPr="008B1F04">
        <w:rPr>
          <w:rFonts w:cs="Arial"/>
        </w:rPr>
        <w:t xml:space="preserve">; </w:t>
      </w:r>
      <w:r w:rsidR="0083038F" w:rsidRPr="008B1F04">
        <w:rPr>
          <w:rFonts w:cs="Arial"/>
        </w:rPr>
        <w:t>State v. Levan, 326 N.C. 155, 164 (1990) (noting that this last requirement is designed to avoid fabrication of statements against penal interest which might exculpate a defendant)</w:t>
      </w:r>
      <w:r w:rsidR="00E60E60" w:rsidRPr="008B1F04">
        <w:rPr>
          <w:rFonts w:cs="Arial"/>
        </w:rPr>
        <w:t xml:space="preserve">. </w:t>
      </w:r>
      <w:r w:rsidR="00EE6925" w:rsidRPr="008B1F04">
        <w:rPr>
          <w:rFonts w:cs="Arial"/>
        </w:rPr>
        <w:t xml:space="preserve">The courts have repeatedly stated that </w:t>
      </w:r>
      <w:r w:rsidR="006A3A4B" w:rsidRPr="008B1F04">
        <w:rPr>
          <w:rFonts w:cs="Arial"/>
        </w:rPr>
        <w:t>to be admitted under this exception, a statement concerning criminal liability:</w:t>
      </w:r>
    </w:p>
    <w:p w14:paraId="0E8B59A3" w14:textId="77777777" w:rsidR="009D4BE0" w:rsidRPr="008B1F04" w:rsidRDefault="009D4BE0" w:rsidP="009D4BE0">
      <w:pPr>
        <w:pStyle w:val="ListParagraph"/>
        <w:ind w:left="2160"/>
        <w:rPr>
          <w:rFonts w:cs="Arial"/>
        </w:rPr>
      </w:pPr>
    </w:p>
    <w:p w14:paraId="12FA8953" w14:textId="77777777" w:rsidR="00BA2D2B" w:rsidRPr="008B1F04" w:rsidRDefault="006A3A4B" w:rsidP="00102AE5">
      <w:pPr>
        <w:pStyle w:val="ListParagraph"/>
        <w:numPr>
          <w:ilvl w:val="0"/>
          <w:numId w:val="13"/>
        </w:numPr>
        <w:ind w:left="3240"/>
        <w:rPr>
          <w:rFonts w:cs="Arial"/>
        </w:rPr>
      </w:pPr>
      <w:r w:rsidRPr="008B1F04">
        <w:rPr>
          <w:rFonts w:cs="Arial"/>
        </w:rPr>
        <w:t xml:space="preserve">must be against the declarant's penal interest, </w:t>
      </w:r>
      <w:r w:rsidR="00EE6925" w:rsidRPr="008B1F04">
        <w:rPr>
          <w:rFonts w:cs="Arial"/>
        </w:rPr>
        <w:t>and</w:t>
      </w:r>
    </w:p>
    <w:p w14:paraId="3072F717" w14:textId="77777777" w:rsidR="006A3A4B" w:rsidRPr="008B1F04" w:rsidRDefault="006A3A4B" w:rsidP="00102AE5">
      <w:pPr>
        <w:pStyle w:val="ListParagraph"/>
        <w:numPr>
          <w:ilvl w:val="0"/>
          <w:numId w:val="13"/>
        </w:numPr>
        <w:ind w:left="3240"/>
        <w:rPr>
          <w:rFonts w:cs="Arial"/>
        </w:rPr>
      </w:pPr>
      <w:r w:rsidRPr="008B1F04">
        <w:rPr>
          <w:rFonts w:cs="Arial"/>
        </w:rPr>
        <w:t xml:space="preserve">corroborating circumstances </w:t>
      </w:r>
      <w:r w:rsidR="006E482B" w:rsidRPr="008B1F04">
        <w:rPr>
          <w:rFonts w:cs="Arial"/>
        </w:rPr>
        <w:t xml:space="preserve">must </w:t>
      </w:r>
      <w:r w:rsidRPr="008B1F04">
        <w:rPr>
          <w:rFonts w:cs="Arial"/>
        </w:rPr>
        <w:t xml:space="preserve">insure the </w:t>
      </w:r>
      <w:r w:rsidR="006E482B" w:rsidRPr="008B1F04">
        <w:rPr>
          <w:rFonts w:cs="Arial"/>
        </w:rPr>
        <w:t xml:space="preserve">statement’s </w:t>
      </w:r>
      <w:r w:rsidRPr="008B1F04">
        <w:rPr>
          <w:rFonts w:cs="Arial"/>
        </w:rPr>
        <w:t>trustworthiness.</w:t>
      </w:r>
    </w:p>
    <w:p w14:paraId="457E0133" w14:textId="77777777" w:rsidR="009D4BE0" w:rsidRPr="008B1F04" w:rsidRDefault="009D4BE0" w:rsidP="009D4BE0">
      <w:pPr>
        <w:pStyle w:val="ListParagraph"/>
        <w:ind w:left="3240"/>
        <w:rPr>
          <w:rFonts w:cs="Arial"/>
        </w:rPr>
      </w:pPr>
    </w:p>
    <w:p w14:paraId="0E00E52F" w14:textId="77777777" w:rsidR="00BA2D2B" w:rsidRPr="008B1F04" w:rsidRDefault="006E482B" w:rsidP="00102AE5">
      <w:pPr>
        <w:ind w:left="2160"/>
        <w:rPr>
          <w:rFonts w:cs="Arial"/>
        </w:rPr>
      </w:pPr>
      <w:r w:rsidRPr="008B1F04">
        <w:rPr>
          <w:rFonts w:cs="Arial"/>
          <w:i/>
        </w:rPr>
        <w:lastRenderedPageBreak/>
        <w:t xml:space="preserve">See, e.g., </w:t>
      </w:r>
      <w:r w:rsidR="0083038F" w:rsidRPr="008B1F04">
        <w:rPr>
          <w:rFonts w:cs="Arial"/>
        </w:rPr>
        <w:t>State v. Dewberry, 166 N.C. App. 177, 181 (2004)</w:t>
      </w:r>
      <w:r w:rsidR="00472851" w:rsidRPr="008B1F04">
        <w:rPr>
          <w:rFonts w:cs="Arial"/>
        </w:rPr>
        <w:t>;</w:t>
      </w:r>
      <w:r w:rsidR="005554E7" w:rsidRPr="008B1F04">
        <w:rPr>
          <w:rFonts w:cs="Arial"/>
        </w:rPr>
        <w:t xml:space="preserve"> </w:t>
      </w:r>
      <w:r w:rsidR="0083038F" w:rsidRPr="008B1F04">
        <w:rPr>
          <w:rFonts w:cs="Arial"/>
        </w:rPr>
        <w:t xml:space="preserve">State v. Choudhry, 206 N.C. App. 418, 422 (2010) (quoting </w:t>
      </w:r>
      <w:r w:rsidR="0083038F" w:rsidRPr="008B1F04">
        <w:rPr>
          <w:rFonts w:cs="Arial"/>
          <w:i/>
        </w:rPr>
        <w:t>Dewberry</w:t>
      </w:r>
      <w:r w:rsidR="0083038F" w:rsidRPr="008B1F04">
        <w:rPr>
          <w:rFonts w:cs="Arial"/>
        </w:rPr>
        <w:t>)</w:t>
      </w:r>
      <w:r w:rsidR="006A3A4B" w:rsidRPr="008B1F04">
        <w:rPr>
          <w:rFonts w:cs="Arial"/>
        </w:rPr>
        <w:t xml:space="preserve">. </w:t>
      </w:r>
      <w:r w:rsidR="00E604A2" w:rsidRPr="008B1F04">
        <w:rPr>
          <w:rFonts w:cs="Arial"/>
        </w:rPr>
        <w:t>The subsections below explore these requirements.</w:t>
      </w:r>
    </w:p>
    <w:p w14:paraId="536505E1" w14:textId="77777777" w:rsidR="00BA2D2B" w:rsidRPr="008B1F04" w:rsidRDefault="00EE6925" w:rsidP="00F83AD6">
      <w:pPr>
        <w:pStyle w:val="ListParagraph"/>
        <w:numPr>
          <w:ilvl w:val="3"/>
          <w:numId w:val="2"/>
        </w:numPr>
        <w:rPr>
          <w:rFonts w:cs="Arial"/>
        </w:rPr>
      </w:pPr>
      <w:r w:rsidRPr="008B1F04">
        <w:rPr>
          <w:b/>
        </w:rPr>
        <w:t>Against the Declarant’s</w:t>
      </w:r>
      <w:r w:rsidR="00472851" w:rsidRPr="008B1F04">
        <w:rPr>
          <w:b/>
        </w:rPr>
        <w:t xml:space="preserve"> Penal</w:t>
      </w:r>
      <w:r w:rsidRPr="008B1F04">
        <w:rPr>
          <w:b/>
        </w:rPr>
        <w:t xml:space="preserve"> Interest</w:t>
      </w:r>
      <w:r w:rsidR="00102AE5" w:rsidRPr="008B1F04">
        <w:rPr>
          <w:b/>
        </w:rPr>
        <w:t xml:space="preserve">. </w:t>
      </w:r>
      <w:r w:rsidR="00890DCE" w:rsidRPr="008B1F04">
        <w:rPr>
          <w:rFonts w:cs="Arial"/>
        </w:rPr>
        <w:t>By its terms, the Rule requires that the statement “so far tended to subject [the declarant] to</w:t>
      </w:r>
      <w:r w:rsidR="00ED3BA6" w:rsidRPr="008B1F04">
        <w:rPr>
          <w:rFonts w:cs="Arial"/>
        </w:rPr>
        <w:t xml:space="preserve"> . . .</w:t>
      </w:r>
      <w:r w:rsidR="00890DCE" w:rsidRPr="008B1F04">
        <w:rPr>
          <w:rFonts w:cs="Arial"/>
        </w:rPr>
        <w:t xml:space="preserve"> criminal liability</w:t>
      </w:r>
      <w:r w:rsidR="00472851" w:rsidRPr="008B1F04">
        <w:rPr>
          <w:rFonts w:cs="Arial"/>
        </w:rPr>
        <w:t xml:space="preserve"> . . . ,</w:t>
      </w:r>
      <w:r w:rsidR="00890DCE" w:rsidRPr="008B1F04">
        <w:rPr>
          <w:rFonts w:cs="Arial"/>
        </w:rPr>
        <w:t xml:space="preserve"> that a reasonable man in his position would not have made the statement unless he believed it to be true.”</w:t>
      </w:r>
      <w:r w:rsidR="00493EE6" w:rsidRPr="008B1F04">
        <w:rPr>
          <w:rFonts w:cs="Arial"/>
        </w:rPr>
        <w:t xml:space="preserve"> </w:t>
      </w:r>
      <w:r w:rsidR="0083038F" w:rsidRPr="008B1F04">
        <w:rPr>
          <w:rFonts w:cs="Arial"/>
          <w:smallCaps/>
        </w:rPr>
        <w:t>N.C. R. Evid</w:t>
      </w:r>
      <w:r w:rsidR="0083038F" w:rsidRPr="008B1F04">
        <w:rPr>
          <w:rFonts w:cs="Arial"/>
        </w:rPr>
        <w:t>. 804(b)(3)</w:t>
      </w:r>
      <w:r w:rsidR="00890DCE" w:rsidRPr="008B1F04">
        <w:rPr>
          <w:rFonts w:cs="Arial"/>
        </w:rPr>
        <w:t>. The</w:t>
      </w:r>
      <w:r w:rsidR="00BA2D2B" w:rsidRPr="008B1F04">
        <w:rPr>
          <w:rFonts w:cs="Arial"/>
        </w:rPr>
        <w:t xml:space="preserve"> statement must </w:t>
      </w:r>
      <w:r w:rsidR="006A3A4B" w:rsidRPr="008B1F04">
        <w:rPr>
          <w:rFonts w:cs="Arial"/>
        </w:rPr>
        <w:t>actually subject the declarant to criminal liability</w:t>
      </w:r>
      <w:r w:rsidR="00E604A2" w:rsidRPr="008B1F04">
        <w:rPr>
          <w:rFonts w:cs="Arial"/>
        </w:rPr>
        <w:t>.</w:t>
      </w:r>
      <w:r w:rsidR="006A3A4B" w:rsidRPr="008B1F04">
        <w:rPr>
          <w:rFonts w:cs="Arial"/>
        </w:rPr>
        <w:t xml:space="preserve"> </w:t>
      </w:r>
      <w:r w:rsidR="00E604A2" w:rsidRPr="008B1F04">
        <w:rPr>
          <w:rFonts w:cs="Arial"/>
          <w:i/>
        </w:rPr>
        <w:t xml:space="preserve">See, e.g., </w:t>
      </w:r>
      <w:r w:rsidR="0083038F" w:rsidRPr="008B1F04">
        <w:rPr>
          <w:rFonts w:cs="Arial"/>
        </w:rPr>
        <w:t>State v. Tucker, 331 N.C. 12, 26 (1992)</w:t>
      </w:r>
      <w:r w:rsidR="00E604A2" w:rsidRPr="008B1F04">
        <w:rPr>
          <w:rFonts w:cs="Arial"/>
        </w:rPr>
        <w:t>;</w:t>
      </w:r>
      <w:r w:rsidR="00BA2D2B" w:rsidRPr="008B1F04">
        <w:rPr>
          <w:rFonts w:cs="Arial"/>
        </w:rPr>
        <w:t xml:space="preserve"> </w:t>
      </w:r>
      <w:r w:rsidR="0083038F" w:rsidRPr="008B1F04">
        <w:rPr>
          <w:rFonts w:cs="Arial"/>
          <w:i/>
        </w:rPr>
        <w:t>Dewberry</w:t>
      </w:r>
      <w:r w:rsidR="0083038F" w:rsidRPr="008B1F04">
        <w:rPr>
          <w:rFonts w:cs="Arial"/>
        </w:rPr>
        <w:t>, 166 N.C. App. at 181</w:t>
      </w:r>
      <w:r w:rsidR="00DC3F5D" w:rsidRPr="008B1F04">
        <w:rPr>
          <w:rFonts w:cs="Arial"/>
        </w:rPr>
        <w:t>;</w:t>
      </w:r>
      <w:r w:rsidR="006A3A4B" w:rsidRPr="008B1F04">
        <w:rPr>
          <w:rFonts w:cs="Arial"/>
        </w:rPr>
        <w:t xml:space="preserve"> </w:t>
      </w:r>
      <w:r w:rsidR="0083038F" w:rsidRPr="008B1F04">
        <w:rPr>
          <w:rFonts w:cs="Arial"/>
          <w:i/>
        </w:rPr>
        <w:t>Choudhry</w:t>
      </w:r>
      <w:r w:rsidR="0083038F" w:rsidRPr="008B1F04">
        <w:rPr>
          <w:rFonts w:cs="Arial"/>
        </w:rPr>
        <w:t>, 206 N.C. App. at 422</w:t>
      </w:r>
      <w:r w:rsidR="00E604A2" w:rsidRPr="008B1F04">
        <w:rPr>
          <w:rFonts w:cs="Arial"/>
        </w:rPr>
        <w:t>.</w:t>
      </w:r>
      <w:r w:rsidR="009335C3" w:rsidRPr="008B1F04">
        <w:rPr>
          <w:rFonts w:cs="Arial"/>
        </w:rPr>
        <w:t xml:space="preserve"> </w:t>
      </w:r>
      <w:r w:rsidR="00EC7300" w:rsidRPr="008B1F04">
        <w:rPr>
          <w:rFonts w:cs="Arial"/>
          <w:i/>
        </w:rPr>
        <w:t>Compare</w:t>
      </w:r>
      <w:r w:rsidR="00DE40EC" w:rsidRPr="008B1F04">
        <w:rPr>
          <w:rFonts w:cs="Arial"/>
          <w:i/>
        </w:rPr>
        <w:t xml:space="preserve"> </w:t>
      </w:r>
      <w:r w:rsidR="0083038F" w:rsidRPr="008B1F04">
        <w:rPr>
          <w:rFonts w:cs="Arial"/>
          <w:i/>
        </w:rPr>
        <w:t>Tucker</w:t>
      </w:r>
      <w:r w:rsidR="0083038F" w:rsidRPr="008B1F04">
        <w:rPr>
          <w:rFonts w:cs="Arial"/>
        </w:rPr>
        <w:t>, 331 N.C. at 26 (statement exposed declarant to criminal liability)</w:t>
      </w:r>
      <w:r w:rsidR="0045170C" w:rsidRPr="008B1F04">
        <w:rPr>
          <w:rFonts w:cs="Arial"/>
        </w:rPr>
        <w:t xml:space="preserve">, </w:t>
      </w:r>
      <w:r w:rsidR="0045170C" w:rsidRPr="008B1F04">
        <w:rPr>
          <w:rFonts w:cs="Arial"/>
          <w:i/>
        </w:rPr>
        <w:t>and</w:t>
      </w:r>
      <w:r w:rsidR="0045170C" w:rsidRPr="008B1F04">
        <w:rPr>
          <w:rFonts w:cs="Arial"/>
        </w:rPr>
        <w:t xml:space="preserve"> </w:t>
      </w:r>
      <w:r w:rsidR="0083038F" w:rsidRPr="008B1F04">
        <w:rPr>
          <w:rFonts w:cs="Arial"/>
        </w:rPr>
        <w:t>State v. Kimble, 140 N.C. App. 153, 158-59 (2000) (same)</w:t>
      </w:r>
      <w:r w:rsidR="00340BC0" w:rsidRPr="008B1F04">
        <w:rPr>
          <w:rFonts w:cs="Arial"/>
        </w:rPr>
        <w:t>,</w:t>
      </w:r>
      <w:r w:rsidR="00EC7300" w:rsidRPr="008B1F04">
        <w:rPr>
          <w:rFonts w:cs="Arial"/>
        </w:rPr>
        <w:t xml:space="preserve"> </w:t>
      </w:r>
      <w:r w:rsidR="00EC7300" w:rsidRPr="008B1F04">
        <w:rPr>
          <w:rFonts w:cs="Arial"/>
          <w:i/>
        </w:rPr>
        <w:t>with</w:t>
      </w:r>
      <w:r w:rsidR="00E604A2" w:rsidRPr="008B1F04">
        <w:rPr>
          <w:rFonts w:cs="Arial"/>
        </w:rPr>
        <w:t xml:space="preserve"> </w:t>
      </w:r>
      <w:r w:rsidR="0083038F" w:rsidRPr="008B1F04">
        <w:rPr>
          <w:rFonts w:cs="Arial"/>
        </w:rPr>
        <w:t>State v. Eggert, 110 N.C. App. 614, 620 (1993) (where the declarant did not admit that contraband belonged to him, his statement about it was not against his penal interest)</w:t>
      </w:r>
      <w:r w:rsidR="002D406F" w:rsidRPr="008B1F04">
        <w:rPr>
          <w:rFonts w:cs="Arial"/>
        </w:rPr>
        <w:t xml:space="preserve">, </w:t>
      </w:r>
      <w:r w:rsidR="002D406F" w:rsidRPr="008B1F04">
        <w:rPr>
          <w:rFonts w:cs="Arial"/>
          <w:i/>
        </w:rPr>
        <w:t>and</w:t>
      </w:r>
      <w:r w:rsidR="00E9073B" w:rsidRPr="008B1F04">
        <w:rPr>
          <w:rFonts w:cs="Arial"/>
        </w:rPr>
        <w:t xml:space="preserve"> </w:t>
      </w:r>
      <w:r w:rsidR="0083038F" w:rsidRPr="008B1F04">
        <w:rPr>
          <w:rFonts w:cs="Arial"/>
        </w:rPr>
        <w:t>State v. Singleton, 85 N.C. App. 123, 129 (1987) (statement that the declarant took nude pictures with another person did not subject him to criminal liability)</w:t>
      </w:r>
      <w:r w:rsidR="00DE40EC" w:rsidRPr="008B1F04">
        <w:rPr>
          <w:rFonts w:cs="Arial"/>
        </w:rPr>
        <w:t>.</w:t>
      </w:r>
      <w:r w:rsidR="009335C3" w:rsidRPr="008B1F04">
        <w:rPr>
          <w:rFonts w:cs="Arial"/>
        </w:rPr>
        <w:t xml:space="preserve"> </w:t>
      </w:r>
      <w:r w:rsidR="00BA2D2B" w:rsidRPr="008B1F04">
        <w:rPr>
          <w:rFonts w:cs="Arial"/>
        </w:rPr>
        <w:t xml:space="preserve">There is no requirement that the statement </w:t>
      </w:r>
      <w:r w:rsidR="00E604A2" w:rsidRPr="008B1F04">
        <w:rPr>
          <w:rFonts w:cs="Arial"/>
        </w:rPr>
        <w:t xml:space="preserve">must </w:t>
      </w:r>
      <w:r w:rsidR="00BA2D2B" w:rsidRPr="008B1F04">
        <w:rPr>
          <w:rFonts w:cs="Arial"/>
        </w:rPr>
        <w:t xml:space="preserve">subject the declarant to criminal liability for the offense </w:t>
      </w:r>
      <w:r w:rsidR="00E604A2" w:rsidRPr="008B1F04">
        <w:rPr>
          <w:rFonts w:cs="Arial"/>
        </w:rPr>
        <w:t xml:space="preserve">currently being tried. </w:t>
      </w:r>
      <w:r w:rsidR="0083038F" w:rsidRPr="008B1F04">
        <w:rPr>
          <w:rFonts w:cs="Arial"/>
          <w:i/>
        </w:rPr>
        <w:t>Tucker</w:t>
      </w:r>
      <w:r w:rsidR="0083038F" w:rsidRPr="008B1F04">
        <w:rPr>
          <w:rFonts w:cs="Arial"/>
        </w:rPr>
        <w:t>, 331 N.C. 12 at 26</w:t>
      </w:r>
      <w:r w:rsidR="00E604A2" w:rsidRPr="008B1F04">
        <w:rPr>
          <w:rFonts w:cs="Arial"/>
        </w:rPr>
        <w:t xml:space="preserve">. Nor is there a requirement that the </w:t>
      </w:r>
      <w:r w:rsidR="00E9073B" w:rsidRPr="008B1F04">
        <w:rPr>
          <w:rFonts w:cs="Arial"/>
        </w:rPr>
        <w:t xml:space="preserve">statement was made </w:t>
      </w:r>
      <w:r w:rsidR="00936326" w:rsidRPr="008B1F04">
        <w:rPr>
          <w:rFonts w:cs="Arial"/>
        </w:rPr>
        <w:t>in the presence of</w:t>
      </w:r>
      <w:r w:rsidR="00E9073B" w:rsidRPr="008B1F04">
        <w:rPr>
          <w:rFonts w:cs="Arial"/>
        </w:rPr>
        <w:t xml:space="preserve"> </w:t>
      </w:r>
      <w:r w:rsidR="00D3615E" w:rsidRPr="008B1F04">
        <w:rPr>
          <w:rFonts w:cs="Arial"/>
        </w:rPr>
        <w:t xml:space="preserve">law </w:t>
      </w:r>
      <w:r w:rsidR="00E9073B" w:rsidRPr="008B1F04">
        <w:rPr>
          <w:rFonts w:cs="Arial"/>
        </w:rPr>
        <w:t xml:space="preserve">enforcement officers. </w:t>
      </w:r>
      <w:r w:rsidR="0083038F" w:rsidRPr="008B1F04">
        <w:rPr>
          <w:rFonts w:cs="Arial"/>
          <w:i/>
        </w:rPr>
        <w:t>Eggert</w:t>
      </w:r>
      <w:r w:rsidR="0083038F" w:rsidRPr="008B1F04">
        <w:rPr>
          <w:rFonts w:cs="Arial"/>
        </w:rPr>
        <w:t>, 110 N.C. App. at 619</w:t>
      </w:r>
      <w:r w:rsidR="00BA2D2B" w:rsidRPr="008B1F04">
        <w:rPr>
          <w:rFonts w:cs="Arial"/>
        </w:rPr>
        <w:t>.</w:t>
      </w:r>
      <w:r w:rsidR="00B94053" w:rsidRPr="008B1F04">
        <w:rPr>
          <w:rFonts w:cs="Arial"/>
        </w:rPr>
        <w:t xml:space="preserve"> </w:t>
      </w:r>
      <w:r w:rsidR="00711CCB" w:rsidRPr="008B1F04">
        <w:rPr>
          <w:rFonts w:cs="Arial"/>
        </w:rPr>
        <w:t xml:space="preserve">However, a statement is not against penal interest when the declarant had entered a guilty plea and </w:t>
      </w:r>
      <w:r w:rsidR="00E604A2" w:rsidRPr="008B1F04">
        <w:rPr>
          <w:rFonts w:cs="Arial"/>
        </w:rPr>
        <w:t xml:space="preserve">already </w:t>
      </w:r>
      <w:r w:rsidR="00711CCB" w:rsidRPr="008B1F04">
        <w:rPr>
          <w:rFonts w:cs="Arial"/>
        </w:rPr>
        <w:t xml:space="preserve">was serving a sentence for the admitted-to conduct. </w:t>
      </w:r>
      <w:r w:rsidR="0083038F" w:rsidRPr="008B1F04">
        <w:rPr>
          <w:rFonts w:cs="Arial"/>
        </w:rPr>
        <w:t>State v. Pickens, 346 N.C. 628, 642 (1997)</w:t>
      </w:r>
      <w:r w:rsidR="00711CCB" w:rsidRPr="008B1F04">
        <w:rPr>
          <w:rFonts w:cs="Arial"/>
        </w:rPr>
        <w:t xml:space="preserve">. </w:t>
      </w:r>
      <w:r w:rsidR="00B94053" w:rsidRPr="008B1F04">
        <w:rPr>
          <w:rFonts w:cs="Arial"/>
        </w:rPr>
        <w:t xml:space="preserve">An anonymous letter does not satisfy this requirement because a declarant who conceals his or her identity does not tend to expose himself or herself to criminal liability. </w:t>
      </w:r>
      <w:r w:rsidR="0083038F" w:rsidRPr="008B1F04">
        <w:rPr>
          <w:rFonts w:cs="Arial"/>
          <w:i/>
        </w:rPr>
        <w:t>Tucker</w:t>
      </w:r>
      <w:r w:rsidR="0083038F" w:rsidRPr="008B1F04">
        <w:rPr>
          <w:rFonts w:cs="Arial"/>
        </w:rPr>
        <w:t>, 331 N.C. at 25</w:t>
      </w:r>
      <w:r w:rsidR="00B94053" w:rsidRPr="008B1F04">
        <w:rPr>
          <w:rFonts w:cs="Arial"/>
        </w:rPr>
        <w:t>.</w:t>
      </w:r>
    </w:p>
    <w:p w14:paraId="659F5F5A" w14:textId="77777777" w:rsidR="00BA2D2B" w:rsidRDefault="00E604A2" w:rsidP="00102AE5">
      <w:pPr>
        <w:ind w:left="2880" w:firstLine="360"/>
        <w:rPr>
          <w:rFonts w:cs="Arial"/>
        </w:rPr>
      </w:pPr>
      <w:r w:rsidRPr="008B1F04">
        <w:rPr>
          <w:rFonts w:cs="Arial"/>
        </w:rPr>
        <w:t>T</w:t>
      </w:r>
      <w:r w:rsidR="00A63E86" w:rsidRPr="008B1F04">
        <w:rPr>
          <w:rFonts w:cs="Arial"/>
        </w:rPr>
        <w:t xml:space="preserve">he </w:t>
      </w:r>
      <w:r w:rsidR="00BA2D2B" w:rsidRPr="008B1F04">
        <w:rPr>
          <w:rFonts w:cs="Arial"/>
        </w:rPr>
        <w:t>statement must be such that the declarant would understand its damaging potential</w:t>
      </w:r>
      <w:r w:rsidR="00A63E86" w:rsidRPr="008B1F04">
        <w:rPr>
          <w:rFonts w:cs="Arial"/>
        </w:rPr>
        <w:t xml:space="preserve">. </w:t>
      </w:r>
      <w:r w:rsidR="0083038F" w:rsidRPr="008B1F04">
        <w:rPr>
          <w:rFonts w:cs="Arial"/>
          <w:i/>
        </w:rPr>
        <w:t>Tucker</w:t>
      </w:r>
      <w:r w:rsidR="0083038F" w:rsidRPr="008B1F04">
        <w:rPr>
          <w:rFonts w:cs="Arial"/>
        </w:rPr>
        <w:t>, 331 N.C. at 25</w:t>
      </w:r>
      <w:r w:rsidR="00510F45" w:rsidRPr="008B1F04">
        <w:rPr>
          <w:rFonts w:cs="Arial"/>
        </w:rPr>
        <w:t>; s</w:t>
      </w:r>
      <w:r w:rsidR="00A63E86" w:rsidRPr="008B1F04">
        <w:rPr>
          <w:rFonts w:cs="Arial"/>
          <w:i/>
        </w:rPr>
        <w:t xml:space="preserve">ee, e.g., </w:t>
      </w:r>
      <w:r w:rsidR="0083038F" w:rsidRPr="008B1F04">
        <w:rPr>
          <w:rFonts w:cs="Arial"/>
        </w:rPr>
        <w:t>State v. Barnes, 345 N.C. 184, 215 (1997) (the declarant “no doubt knew the consequences of acknowledging his involvement in an attack on a law enforcement officer”)</w:t>
      </w:r>
      <w:r w:rsidR="00A63E86" w:rsidRPr="008B1F04">
        <w:rPr>
          <w:rFonts w:cs="Arial"/>
        </w:rPr>
        <w:t>. Some</w:t>
      </w:r>
      <w:r w:rsidR="00BA2D2B" w:rsidRPr="008B1F04">
        <w:rPr>
          <w:rFonts w:cs="Arial"/>
        </w:rPr>
        <w:t xml:space="preserve"> courts have held that statements made to law enforcement officers or prosecutors as part of plea bargain negotiations do not meet this element because </w:t>
      </w:r>
      <w:r w:rsidRPr="008B1F04">
        <w:rPr>
          <w:rFonts w:cs="Arial"/>
        </w:rPr>
        <w:t xml:space="preserve">a </w:t>
      </w:r>
      <w:r w:rsidR="00BA2D2B" w:rsidRPr="008B1F04">
        <w:rPr>
          <w:rFonts w:cs="Arial"/>
        </w:rPr>
        <w:t xml:space="preserve">reasonable </w:t>
      </w:r>
      <w:r w:rsidRPr="008B1F04">
        <w:rPr>
          <w:rFonts w:cs="Arial"/>
        </w:rPr>
        <w:t xml:space="preserve">person </w:t>
      </w:r>
      <w:r w:rsidR="00BA2D2B" w:rsidRPr="008B1F04">
        <w:rPr>
          <w:rFonts w:cs="Arial"/>
        </w:rPr>
        <w:t xml:space="preserve">would not believe </w:t>
      </w:r>
      <w:r w:rsidRPr="008B1F04">
        <w:rPr>
          <w:rFonts w:cs="Arial"/>
        </w:rPr>
        <w:t xml:space="preserve">that statements made in this context will </w:t>
      </w:r>
      <w:r w:rsidR="00BA2D2B" w:rsidRPr="008B1F04">
        <w:rPr>
          <w:rFonts w:cs="Arial"/>
        </w:rPr>
        <w:t>subject</w:t>
      </w:r>
      <w:r w:rsidRPr="008B1F04">
        <w:rPr>
          <w:rFonts w:cs="Arial"/>
        </w:rPr>
        <w:t xml:space="preserve"> the declarant </w:t>
      </w:r>
      <w:r w:rsidR="00BA2D2B" w:rsidRPr="008B1F04">
        <w:rPr>
          <w:rFonts w:cs="Arial"/>
        </w:rPr>
        <w:t xml:space="preserve">to criminal liability. </w:t>
      </w:r>
      <w:r w:rsidR="0083038F" w:rsidRPr="008B1F04">
        <w:rPr>
          <w:rFonts w:cs="Arial"/>
          <w:i/>
        </w:rPr>
        <w:t>Tucker</w:t>
      </w:r>
      <w:r w:rsidR="0083038F" w:rsidRPr="008B1F04">
        <w:rPr>
          <w:rFonts w:cs="Arial"/>
        </w:rPr>
        <w:t>, 331 N.C. at 25 (1992) (not deciding the issue because there was no evidence that plea negotiations were underway)</w:t>
      </w:r>
      <w:r w:rsidR="00BA2D2B" w:rsidRPr="008B1F04">
        <w:rPr>
          <w:rFonts w:cs="Arial"/>
        </w:rPr>
        <w:t>.</w:t>
      </w:r>
    </w:p>
    <w:p w14:paraId="2E19FF00" w14:textId="77777777" w:rsidR="005F740E" w:rsidRPr="008B1F04" w:rsidRDefault="005F740E" w:rsidP="00102AE5">
      <w:pPr>
        <w:ind w:left="2880" w:firstLine="360"/>
        <w:rPr>
          <w:rFonts w:cs="Arial"/>
        </w:rPr>
      </w:pPr>
      <w:r w:rsidRPr="008B1F04">
        <w:rPr>
          <w:rFonts w:cs="Arial"/>
        </w:rPr>
        <w:t xml:space="preserve">In </w:t>
      </w:r>
      <w:r w:rsidRPr="008B1F04">
        <w:rPr>
          <w:rFonts w:cs="Arial"/>
          <w:i/>
        </w:rPr>
        <w:t>State v. Wilson</w:t>
      </w:r>
      <w:r w:rsidRPr="008B1F04">
        <w:rPr>
          <w:rFonts w:cs="Arial"/>
        </w:rPr>
        <w:t xml:space="preserve">, 322 N.C. 117, 133-34 (1988), the North Carolina Supreme Court held that statements that are not directly self-inculpatory are admissible as statements against penal interest when they are part of the same narrative as a statement that was against interest. In </w:t>
      </w:r>
      <w:r w:rsidRPr="008B1F04">
        <w:rPr>
          <w:rFonts w:cs="Arial"/>
          <w:i/>
        </w:rPr>
        <w:t>Wilson,</w:t>
      </w:r>
      <w:r w:rsidRPr="008B1F04">
        <w:rPr>
          <w:rFonts w:cs="Arial"/>
        </w:rPr>
        <w:t xml:space="preserve"> the defendant acknowledged that the portion of the declarant’s statement implicating himself in a robbery was covered by the exception. He argued however that the declarant’s statements that the defendant also participated in the robbery and later threatened to kill the declarant if he told anyone, were “collateral” to the declarant’s statement against interest and thus should have been excluded. Looking for </w:t>
      </w:r>
      <w:r w:rsidRPr="008B1F04">
        <w:rPr>
          <w:rFonts w:cs="Arial"/>
        </w:rPr>
        <w:lastRenderedPageBreak/>
        <w:t xml:space="preserve">guidance to federal law, the court rejected this argument, concluding: “[W]e adopt the view of several federal courts that such collateral statements are admissible even though they are themselves neutral as to the declarant's interest if they are integral to a larger statement which is against the declarant's interest.” </w:t>
      </w:r>
      <w:r w:rsidRPr="008B1F04">
        <w:rPr>
          <w:rFonts w:cs="Arial"/>
          <w:i/>
        </w:rPr>
        <w:t>Id</w:t>
      </w:r>
      <w:r w:rsidRPr="008B1F04">
        <w:rPr>
          <w:rFonts w:cs="Arial"/>
        </w:rPr>
        <w:t xml:space="preserve">. at 133; </w:t>
      </w:r>
      <w:r w:rsidRPr="008B1F04">
        <w:rPr>
          <w:rFonts w:cs="Arial"/>
          <w:i/>
        </w:rPr>
        <w:t>see also</w:t>
      </w:r>
      <w:r w:rsidRPr="008B1F04">
        <w:rPr>
          <w:rFonts w:cs="Arial"/>
        </w:rPr>
        <w:t xml:space="preserve"> State v. Levan, 326 N.C. 155, 164 (1990) (citing </w:t>
      </w:r>
      <w:r w:rsidRPr="008B1F04">
        <w:rPr>
          <w:rFonts w:cs="Arial"/>
          <w:i/>
        </w:rPr>
        <w:t xml:space="preserve">Wilson </w:t>
      </w:r>
      <w:r w:rsidRPr="008B1F04">
        <w:rPr>
          <w:rFonts w:cs="Arial"/>
        </w:rPr>
        <w:t>for the proposition that non-incriminating collateral statements are admissible).</w:t>
      </w:r>
      <w:r w:rsidRPr="008B1F04">
        <w:rPr>
          <w:rFonts w:cs="Arial"/>
          <w:i/>
        </w:rPr>
        <w:t xml:space="preserve"> </w:t>
      </w:r>
      <w:r w:rsidRPr="008B1F04">
        <w:rPr>
          <w:rFonts w:cs="Arial"/>
        </w:rPr>
        <w:t xml:space="preserve">As pointed out by one treatise, </w:t>
      </w:r>
      <w:r w:rsidRPr="008B1F04">
        <w:rPr>
          <w:rFonts w:cs="Arial"/>
          <w:smallCaps/>
        </w:rPr>
        <w:t>Evidentiary Foundations</w:t>
      </w:r>
      <w:r w:rsidRPr="008B1F04">
        <w:rPr>
          <w:rFonts w:cs="Arial"/>
        </w:rPr>
        <w:t xml:space="preserve"> at 11-81 n.55, the United States Supreme Court subsequently interpreted the parallel federal evidentiary rule and held that such “collateral” statements are inadmissible under this hearsay exception. Williamson v. United States, 512 U.S. 594, 604 (1994). The North Carolina Supreme Court does not appear to have directly addressed the implications of that ruling on its earlier interpretation of North Carolina’s statement against interest exception. State v. Barnes, 345 N.C. 184, 216 (1997) (noting the defendant’s argument regarding </w:t>
      </w:r>
      <w:r w:rsidRPr="008B1F04">
        <w:rPr>
          <w:rFonts w:cs="Arial"/>
          <w:i/>
        </w:rPr>
        <w:t xml:space="preserve">Williamson </w:t>
      </w:r>
      <w:r w:rsidRPr="008B1F04">
        <w:rPr>
          <w:rFonts w:cs="Arial"/>
        </w:rPr>
        <w:t>but not addressing the conflict directly because the statement at issue, “we f––––– up a police,” clearly implicated the declarant along with the defendant). At least one post-</w:t>
      </w:r>
      <w:r w:rsidRPr="008B1F04">
        <w:rPr>
          <w:rFonts w:cs="Arial"/>
          <w:i/>
        </w:rPr>
        <w:t>Williamson</w:t>
      </w:r>
      <w:r w:rsidRPr="008B1F04">
        <w:rPr>
          <w:rFonts w:cs="Arial"/>
        </w:rPr>
        <w:t xml:space="preserve"> court of appeals decision has cited the </w:t>
      </w:r>
      <w:r w:rsidRPr="008B1F04">
        <w:rPr>
          <w:rFonts w:cs="Arial"/>
          <w:i/>
        </w:rPr>
        <w:t xml:space="preserve">Wilson </w:t>
      </w:r>
      <w:r w:rsidRPr="008B1F04">
        <w:rPr>
          <w:rFonts w:cs="Arial"/>
        </w:rPr>
        <w:t xml:space="preserve">rule, albeit without mentioning </w:t>
      </w:r>
      <w:r w:rsidRPr="008B1F04">
        <w:rPr>
          <w:rFonts w:cs="Arial"/>
          <w:i/>
        </w:rPr>
        <w:t>Williamson</w:t>
      </w:r>
      <w:r w:rsidRPr="008B1F04">
        <w:rPr>
          <w:rFonts w:cs="Arial"/>
        </w:rPr>
        <w:t>. State v. Kimble, 140 N.C. App. 153, 161 (2000).</w:t>
      </w:r>
    </w:p>
    <w:p w14:paraId="36586DC8" w14:textId="77777777" w:rsidR="00DE40EC" w:rsidRPr="008B1F04" w:rsidRDefault="00E604A2" w:rsidP="00F83AD6">
      <w:pPr>
        <w:pStyle w:val="ListParagraph"/>
        <w:numPr>
          <w:ilvl w:val="3"/>
          <w:numId w:val="2"/>
        </w:numPr>
        <w:rPr>
          <w:rFonts w:cs="Arial"/>
        </w:rPr>
      </w:pPr>
      <w:r w:rsidRPr="008B1F04">
        <w:rPr>
          <w:b/>
        </w:rPr>
        <w:t xml:space="preserve">Independent, Non-Hearsay </w:t>
      </w:r>
      <w:r w:rsidR="006E482B" w:rsidRPr="008B1F04">
        <w:rPr>
          <w:b/>
        </w:rPr>
        <w:t>Indications of Trustworthiness</w:t>
      </w:r>
      <w:r w:rsidR="00102AE5" w:rsidRPr="008B1F04">
        <w:rPr>
          <w:b/>
        </w:rPr>
        <w:t xml:space="preserve">. </w:t>
      </w:r>
      <w:r w:rsidR="009F2317" w:rsidRPr="008B1F04">
        <w:rPr>
          <w:rFonts w:cs="Arial"/>
        </w:rPr>
        <w:t>In a criminal case, a statement tending to expose the declarant to criminal liability is not admissible unless corroborating circumstances clearly indicate the statement’s trustworthiness.</w:t>
      </w:r>
      <w:r w:rsidR="00493EE6" w:rsidRPr="008B1F04">
        <w:rPr>
          <w:rFonts w:cs="Arial"/>
        </w:rPr>
        <w:t xml:space="preserve"> </w:t>
      </w:r>
      <w:r w:rsidR="0083038F" w:rsidRPr="008B1F04">
        <w:rPr>
          <w:rFonts w:cs="Arial"/>
          <w:smallCaps/>
        </w:rPr>
        <w:t>N.C. R. Evid</w:t>
      </w:r>
      <w:r w:rsidR="0083038F" w:rsidRPr="008B1F04">
        <w:rPr>
          <w:rFonts w:cs="Arial"/>
        </w:rPr>
        <w:t>. 804(b)(3)</w:t>
      </w:r>
      <w:r w:rsidR="009F2317" w:rsidRPr="008B1F04">
        <w:rPr>
          <w:rFonts w:cs="Arial"/>
        </w:rPr>
        <w:t xml:space="preserve">. </w:t>
      </w:r>
      <w:r w:rsidRPr="008B1F04">
        <w:rPr>
          <w:rFonts w:cs="Arial"/>
        </w:rPr>
        <w:t>To</w:t>
      </w:r>
      <w:r w:rsidR="009F2317" w:rsidRPr="008B1F04">
        <w:rPr>
          <w:rFonts w:cs="Arial"/>
        </w:rPr>
        <w:t xml:space="preserve"> satisfy this requirement,</w:t>
      </w:r>
      <w:r w:rsidR="00493EE6" w:rsidRPr="008B1F04">
        <w:rPr>
          <w:rFonts w:cs="Arial"/>
        </w:rPr>
        <w:t xml:space="preserve"> </w:t>
      </w:r>
      <w:r w:rsidRPr="008B1F04">
        <w:rPr>
          <w:rFonts w:cs="Arial"/>
        </w:rPr>
        <w:t xml:space="preserve">there </w:t>
      </w:r>
      <w:r w:rsidR="00A63E86" w:rsidRPr="008B1F04">
        <w:rPr>
          <w:rFonts w:cs="Arial"/>
        </w:rPr>
        <w:t xml:space="preserve">must </w:t>
      </w:r>
      <w:r w:rsidR="005554E7" w:rsidRPr="008B1F04">
        <w:rPr>
          <w:rFonts w:cs="Arial"/>
        </w:rPr>
        <w:t>be “some other independent, non</w:t>
      </w:r>
      <w:r w:rsidR="00B94053" w:rsidRPr="008B1F04">
        <w:rPr>
          <w:rFonts w:cs="Arial"/>
        </w:rPr>
        <w:t>h</w:t>
      </w:r>
      <w:r w:rsidR="005554E7" w:rsidRPr="008B1F04">
        <w:rPr>
          <w:rFonts w:cs="Arial"/>
        </w:rPr>
        <w:t>earsay indication</w:t>
      </w:r>
      <w:r w:rsidR="00A63E86" w:rsidRPr="008B1F04">
        <w:rPr>
          <w:rFonts w:cs="Arial"/>
        </w:rPr>
        <w:t>”</w:t>
      </w:r>
      <w:r w:rsidR="005554E7" w:rsidRPr="008B1F04">
        <w:rPr>
          <w:rFonts w:cs="Arial"/>
        </w:rPr>
        <w:t xml:space="preserve"> of the </w:t>
      </w:r>
      <w:r w:rsidR="00A63E86" w:rsidRPr="008B1F04">
        <w:rPr>
          <w:rFonts w:cs="Arial"/>
        </w:rPr>
        <w:t xml:space="preserve">statement’s </w:t>
      </w:r>
      <w:r w:rsidR="005554E7" w:rsidRPr="008B1F04">
        <w:rPr>
          <w:rFonts w:cs="Arial"/>
        </w:rPr>
        <w:t xml:space="preserve">trustworthiness. </w:t>
      </w:r>
      <w:r w:rsidR="0083038F" w:rsidRPr="008B1F04">
        <w:rPr>
          <w:rFonts w:cs="Arial"/>
        </w:rPr>
        <w:t xml:space="preserve">State v. Artis, 325 N.C. 278, 305-06 (1989), </w:t>
      </w:r>
      <w:r w:rsidR="0083038F" w:rsidRPr="008B1F04">
        <w:rPr>
          <w:rFonts w:eastAsia="Times New Roman" w:cs="Arial"/>
          <w:i/>
          <w:iCs/>
        </w:rPr>
        <w:t>judgment vacated sub nom. on other grounds</w:t>
      </w:r>
      <w:r w:rsidR="005F6A08" w:rsidRPr="008B1F04">
        <w:rPr>
          <w:rFonts w:eastAsia="Times New Roman" w:cs="Arial"/>
          <w:i/>
          <w:iCs/>
        </w:rPr>
        <w:t xml:space="preserve"> by</w:t>
      </w:r>
      <w:r w:rsidR="0083038F" w:rsidRPr="008B1F04">
        <w:rPr>
          <w:rFonts w:eastAsia="Times New Roman" w:cs="Arial"/>
        </w:rPr>
        <w:t xml:space="preserve"> </w:t>
      </w:r>
      <w:r w:rsidR="0083038F" w:rsidRPr="008B1F04">
        <w:rPr>
          <w:rFonts w:eastAsia="Times New Roman" w:cs="Arial"/>
          <w:iCs/>
        </w:rPr>
        <w:t>Artis v. North Carolina</w:t>
      </w:r>
      <w:r w:rsidR="0083038F" w:rsidRPr="008B1F04">
        <w:rPr>
          <w:rFonts w:eastAsia="Times New Roman" w:cs="Arial"/>
        </w:rPr>
        <w:t>, 494 U.S. 1023 (1990)</w:t>
      </w:r>
      <w:r w:rsidR="009F2317" w:rsidRPr="008B1F04">
        <w:rPr>
          <w:rFonts w:cs="Arial"/>
        </w:rPr>
        <w:t xml:space="preserve">. The determination of whether sufficient corroborating circumstances exist is a preliminary question for the trial judge. </w:t>
      </w:r>
      <w:r w:rsidR="009F2317" w:rsidRPr="008B1F04">
        <w:rPr>
          <w:rFonts w:cs="Arial"/>
          <w:i/>
        </w:rPr>
        <w:t>See, e.g</w:t>
      </w:r>
      <w:r w:rsidR="009F2317" w:rsidRPr="008B1F04">
        <w:rPr>
          <w:rFonts w:cs="Arial"/>
        </w:rPr>
        <w:t xml:space="preserve">., </w:t>
      </w:r>
      <w:r w:rsidR="0083038F" w:rsidRPr="008B1F04">
        <w:rPr>
          <w:rFonts w:cs="Arial"/>
        </w:rPr>
        <w:t>State v. Brown, 335 N.C. 477, 484 (1994)</w:t>
      </w:r>
      <w:r w:rsidR="009F2317" w:rsidRPr="008B1F04">
        <w:rPr>
          <w:rFonts w:cs="Arial"/>
        </w:rPr>
        <w:t xml:space="preserve">. </w:t>
      </w:r>
      <w:r w:rsidR="005554E7" w:rsidRPr="008B1F04">
        <w:rPr>
          <w:rFonts w:cs="Arial"/>
        </w:rPr>
        <w:t xml:space="preserve">The corroborating </w:t>
      </w:r>
      <w:r w:rsidR="00B94053" w:rsidRPr="008B1F04">
        <w:rPr>
          <w:rFonts w:cs="Arial"/>
        </w:rPr>
        <w:t xml:space="preserve">circumstances may include </w:t>
      </w:r>
      <w:r w:rsidR="005554E7" w:rsidRPr="008B1F04">
        <w:rPr>
          <w:rFonts w:cs="Arial"/>
        </w:rPr>
        <w:t xml:space="preserve">evidence presented at trial. </w:t>
      </w:r>
      <w:r w:rsidR="00DE40EC" w:rsidRPr="008B1F04">
        <w:rPr>
          <w:rFonts w:cs="Arial"/>
        </w:rPr>
        <w:t xml:space="preserve">However, </w:t>
      </w:r>
      <w:r w:rsidR="0038085A" w:rsidRPr="008B1F04">
        <w:rPr>
          <w:rFonts w:cs="Arial"/>
        </w:rPr>
        <w:t xml:space="preserve">evidence cutting against trustworthiness, such as a </w:t>
      </w:r>
      <w:r w:rsidR="00DE40EC" w:rsidRPr="008B1F04">
        <w:rPr>
          <w:rFonts w:cs="Arial"/>
        </w:rPr>
        <w:t xml:space="preserve">motive for </w:t>
      </w:r>
      <w:r w:rsidR="0038085A" w:rsidRPr="008B1F04">
        <w:rPr>
          <w:rFonts w:cs="Arial"/>
        </w:rPr>
        <w:t xml:space="preserve">the </w:t>
      </w:r>
      <w:r w:rsidR="00DE40EC" w:rsidRPr="008B1F04">
        <w:rPr>
          <w:rFonts w:cs="Arial"/>
        </w:rPr>
        <w:t>declarant to have offered a false statement</w:t>
      </w:r>
      <w:r w:rsidR="0038085A" w:rsidRPr="008B1F04">
        <w:rPr>
          <w:rFonts w:cs="Arial"/>
        </w:rPr>
        <w:t>,</w:t>
      </w:r>
      <w:r w:rsidR="00DE40EC" w:rsidRPr="008B1F04">
        <w:rPr>
          <w:rFonts w:cs="Arial"/>
        </w:rPr>
        <w:t xml:space="preserve"> will </w:t>
      </w:r>
      <w:r w:rsidR="00F7153F" w:rsidRPr="008B1F04">
        <w:rPr>
          <w:rFonts w:cs="Arial"/>
        </w:rPr>
        <w:t xml:space="preserve">weigh </w:t>
      </w:r>
      <w:r w:rsidR="00DE40EC" w:rsidRPr="008B1F04">
        <w:rPr>
          <w:rFonts w:cs="Arial"/>
        </w:rPr>
        <w:t xml:space="preserve">against admission. </w:t>
      </w:r>
      <w:r w:rsidR="0083038F" w:rsidRPr="008B1F04">
        <w:rPr>
          <w:rFonts w:cs="Arial"/>
        </w:rPr>
        <w:t>State v. Dewberry, 166 N.C. App. 177, 182-83 (2004)</w:t>
      </w:r>
      <w:r w:rsidR="00F7153F" w:rsidRPr="008B1F04">
        <w:rPr>
          <w:rFonts w:cs="Arial"/>
        </w:rPr>
        <w:t xml:space="preserve">. </w:t>
      </w:r>
      <w:r w:rsidR="003755D1" w:rsidRPr="008B1F04">
        <w:rPr>
          <w:rFonts w:cs="Arial"/>
        </w:rPr>
        <w:t xml:space="preserve">For sample cases, </w:t>
      </w:r>
      <w:r w:rsidR="003755D1" w:rsidRPr="008B1F04">
        <w:rPr>
          <w:rFonts w:cs="Arial"/>
          <w:i/>
        </w:rPr>
        <w:t>c</w:t>
      </w:r>
      <w:r w:rsidR="00DE40EC" w:rsidRPr="008B1F04">
        <w:rPr>
          <w:rFonts w:cs="Arial"/>
          <w:i/>
        </w:rPr>
        <w:t xml:space="preserve">ompare </w:t>
      </w:r>
      <w:r w:rsidR="0083038F" w:rsidRPr="008B1F04">
        <w:rPr>
          <w:rFonts w:cs="Arial"/>
        </w:rPr>
        <w:t>State v. Levan, 326 N.C. 155, 164 (1990) (circumstances indicated trustworthiness)</w:t>
      </w:r>
      <w:r w:rsidR="00340BC0" w:rsidRPr="008B1F04">
        <w:rPr>
          <w:rFonts w:cs="Arial"/>
        </w:rPr>
        <w:t>,</w:t>
      </w:r>
      <w:r w:rsidR="00493EE6" w:rsidRPr="008B1F04">
        <w:rPr>
          <w:rFonts w:cs="Arial"/>
        </w:rPr>
        <w:t xml:space="preserve"> </w:t>
      </w:r>
      <w:r w:rsidR="0083038F" w:rsidRPr="008B1F04">
        <w:rPr>
          <w:rFonts w:cs="Arial"/>
        </w:rPr>
        <w:t>State v. Kimble, 140 N.C. App. 153, 159 (2000) (same)</w:t>
      </w:r>
      <w:r w:rsidR="00DE40EC" w:rsidRPr="008B1F04">
        <w:rPr>
          <w:rFonts w:cs="Arial"/>
        </w:rPr>
        <w:t>,</w:t>
      </w:r>
      <w:r w:rsidR="00E9073B" w:rsidRPr="008B1F04">
        <w:rPr>
          <w:rFonts w:cs="Arial"/>
        </w:rPr>
        <w:t xml:space="preserve"> </w:t>
      </w:r>
      <w:r w:rsidR="00632E9A" w:rsidRPr="008B1F04">
        <w:rPr>
          <w:rFonts w:cs="Arial"/>
          <w:i/>
        </w:rPr>
        <w:t>and</w:t>
      </w:r>
      <w:r w:rsidR="00632E9A" w:rsidRPr="008B1F04">
        <w:rPr>
          <w:rFonts w:cs="Arial"/>
        </w:rPr>
        <w:t xml:space="preserve"> </w:t>
      </w:r>
      <w:r w:rsidR="0083038F" w:rsidRPr="008B1F04">
        <w:rPr>
          <w:rFonts w:cs="Arial"/>
        </w:rPr>
        <w:t>State v. Eggert, 110 N.C. App. 614, 617 (1993) (same)</w:t>
      </w:r>
      <w:r w:rsidR="00E9073B" w:rsidRPr="008B1F04">
        <w:rPr>
          <w:rFonts w:cs="Arial"/>
        </w:rPr>
        <w:t xml:space="preserve">, </w:t>
      </w:r>
      <w:r w:rsidR="00E9073B" w:rsidRPr="008B1F04">
        <w:rPr>
          <w:rFonts w:cs="Arial"/>
          <w:i/>
        </w:rPr>
        <w:t>w</w:t>
      </w:r>
      <w:r w:rsidR="00DE40EC" w:rsidRPr="008B1F04">
        <w:rPr>
          <w:rFonts w:cs="Arial"/>
          <w:i/>
        </w:rPr>
        <w:t>ith</w:t>
      </w:r>
      <w:r w:rsidR="00DE40EC" w:rsidRPr="008B1F04">
        <w:rPr>
          <w:rFonts w:cs="Arial"/>
        </w:rPr>
        <w:t xml:space="preserve"> </w:t>
      </w:r>
      <w:r w:rsidR="0083038F" w:rsidRPr="008B1F04">
        <w:rPr>
          <w:rFonts w:cs="Arial"/>
        </w:rPr>
        <w:t>State v. Pickens, 346 N.C. 628, 642 (1997) (not only were there no corroborating circumstances indicating that the declarant’s confession was trustworthy but also the circumstances indicated otherwise)</w:t>
      </w:r>
      <w:r w:rsidR="00632E9A" w:rsidRPr="008B1F04">
        <w:rPr>
          <w:rFonts w:cs="Arial"/>
        </w:rPr>
        <w:t xml:space="preserve">, </w:t>
      </w:r>
      <w:r w:rsidR="0083038F" w:rsidRPr="008B1F04">
        <w:rPr>
          <w:rFonts w:cs="Arial"/>
        </w:rPr>
        <w:t xml:space="preserve">State v. </w:t>
      </w:r>
      <w:proofErr w:type="spellStart"/>
      <w:r w:rsidR="0083038F" w:rsidRPr="008B1F04">
        <w:rPr>
          <w:rFonts w:cs="Arial"/>
        </w:rPr>
        <w:t>Reeb</w:t>
      </w:r>
      <w:proofErr w:type="spellEnd"/>
      <w:r w:rsidR="0083038F" w:rsidRPr="008B1F04">
        <w:rPr>
          <w:rFonts w:cs="Arial"/>
        </w:rPr>
        <w:t>, 331 N.C. 159, 172 (1992) (circumstances did not indicate trustworthiness)</w:t>
      </w:r>
      <w:r w:rsidR="00340BC0" w:rsidRPr="008B1F04">
        <w:rPr>
          <w:rFonts w:cs="Arial"/>
        </w:rPr>
        <w:t>,</w:t>
      </w:r>
      <w:r w:rsidR="006E482B" w:rsidRPr="008B1F04">
        <w:rPr>
          <w:rFonts w:cs="Arial"/>
        </w:rPr>
        <w:t xml:space="preserve"> </w:t>
      </w:r>
      <w:r w:rsidR="0083038F" w:rsidRPr="008B1F04">
        <w:rPr>
          <w:rFonts w:cs="Arial"/>
        </w:rPr>
        <w:t xml:space="preserve">State v. Choudhry, 206 N.C. App. 418, 424 (2010) (no evidence corroborated the statement and the declarant had a motive to speak falsely), </w:t>
      </w:r>
      <w:r w:rsidR="0083038F" w:rsidRPr="008B1F04">
        <w:rPr>
          <w:rFonts w:eastAsia="Times New Roman" w:cs="Arial"/>
          <w:i/>
          <w:iCs/>
        </w:rPr>
        <w:t>aff'd as modified,</w:t>
      </w:r>
      <w:r w:rsidR="0083038F" w:rsidRPr="008B1F04">
        <w:rPr>
          <w:rFonts w:eastAsia="Times New Roman" w:cs="Arial"/>
        </w:rPr>
        <w:t xml:space="preserve"> 365 N.C. 215 (2011)</w:t>
      </w:r>
      <w:r w:rsidR="003A0854" w:rsidRPr="008B1F04">
        <w:rPr>
          <w:rFonts w:cs="Arial"/>
        </w:rPr>
        <w:t xml:space="preserve">, </w:t>
      </w:r>
      <w:r w:rsidR="0083038F" w:rsidRPr="008B1F04">
        <w:rPr>
          <w:rFonts w:cs="Arial"/>
        </w:rPr>
        <w:t xml:space="preserve">State v. </w:t>
      </w:r>
      <w:proofErr w:type="spellStart"/>
      <w:r w:rsidR="0083038F" w:rsidRPr="008B1F04">
        <w:rPr>
          <w:rFonts w:cs="Arial"/>
        </w:rPr>
        <w:t>Wardrett</w:t>
      </w:r>
      <w:proofErr w:type="spellEnd"/>
      <w:r w:rsidR="0083038F" w:rsidRPr="008B1F04">
        <w:rPr>
          <w:rFonts w:cs="Arial"/>
        </w:rPr>
        <w:t xml:space="preserve">, 145 N.C. App. 409, 415-16 (2001) (several factors </w:t>
      </w:r>
      <w:r w:rsidR="0083038F" w:rsidRPr="008B1F04">
        <w:rPr>
          <w:rFonts w:cs="Arial"/>
        </w:rPr>
        <w:lastRenderedPageBreak/>
        <w:t>weighed against admission including that the declarant was deceased and could not contradict statements allegedly made by him; “[c]</w:t>
      </w:r>
      <w:proofErr w:type="spellStart"/>
      <w:r w:rsidR="0083038F" w:rsidRPr="008B1F04">
        <w:rPr>
          <w:rFonts w:cs="Arial"/>
        </w:rPr>
        <w:t>ontrary</w:t>
      </w:r>
      <w:proofErr w:type="spellEnd"/>
      <w:r w:rsidR="0083038F" w:rsidRPr="008B1F04">
        <w:rPr>
          <w:rFonts w:cs="Arial"/>
        </w:rPr>
        <w:t xml:space="preserve"> to defendant's argument, the fact that there are multiple hearsay statements does not indicate the trustworthiness of any one of the individual statements”)</w:t>
      </w:r>
      <w:r w:rsidR="00BB1EE2" w:rsidRPr="008B1F04">
        <w:rPr>
          <w:rFonts w:cs="Arial"/>
        </w:rPr>
        <w:t xml:space="preserve">, </w:t>
      </w:r>
      <w:r w:rsidR="0083038F" w:rsidRPr="008B1F04">
        <w:rPr>
          <w:rFonts w:cs="Arial"/>
        </w:rPr>
        <w:t>State v. Brown, 335 N.C. 477, 484-85 (1994) (defense evidence of accomplice’s admission was inadmissible where, among other things, the accomplice’s account was unlikely given the known circumstances of the crime and it conflicted with his subsequent statements; additionally no corroborating physical evidence was found)</w:t>
      </w:r>
      <w:r w:rsidR="00711CCB" w:rsidRPr="008B1F04">
        <w:rPr>
          <w:rFonts w:cs="Arial"/>
        </w:rPr>
        <w:t xml:space="preserve">, </w:t>
      </w:r>
      <w:r w:rsidR="00BB1EE2" w:rsidRPr="008B1F04">
        <w:rPr>
          <w:rFonts w:cs="Arial"/>
          <w:i/>
        </w:rPr>
        <w:t>and</w:t>
      </w:r>
      <w:r w:rsidR="00BB1EE2" w:rsidRPr="008B1F04">
        <w:rPr>
          <w:rFonts w:cs="Arial"/>
        </w:rPr>
        <w:t xml:space="preserve"> </w:t>
      </w:r>
      <w:r w:rsidR="0083038F" w:rsidRPr="008B1F04">
        <w:rPr>
          <w:rFonts w:cs="Arial"/>
        </w:rPr>
        <w:t xml:space="preserve">State v. </w:t>
      </w:r>
      <w:proofErr w:type="spellStart"/>
      <w:r w:rsidR="0083038F" w:rsidRPr="008B1F04">
        <w:rPr>
          <w:rFonts w:cs="Arial"/>
        </w:rPr>
        <w:t>Agubata</w:t>
      </w:r>
      <w:proofErr w:type="spellEnd"/>
      <w:r w:rsidR="0083038F" w:rsidRPr="008B1F04">
        <w:rPr>
          <w:rFonts w:cs="Arial"/>
        </w:rPr>
        <w:t xml:space="preserve">, 92 N.C. App. 651, 655 (1989) (trustworthiness of letters produced by the defendant purportedly written by one “Mr. </w:t>
      </w:r>
      <w:proofErr w:type="spellStart"/>
      <w:r w:rsidR="0083038F" w:rsidRPr="008B1F04">
        <w:rPr>
          <w:rFonts w:cs="Arial"/>
        </w:rPr>
        <w:t>Babatundi</w:t>
      </w:r>
      <w:proofErr w:type="spellEnd"/>
      <w:r w:rsidR="0083038F" w:rsidRPr="008B1F04">
        <w:rPr>
          <w:rFonts w:cs="Arial"/>
        </w:rPr>
        <w:t xml:space="preserve">” taking responsibility for events was not established where, among other things, no one other than the defendant testified that </w:t>
      </w:r>
      <w:proofErr w:type="spellStart"/>
      <w:r w:rsidR="0083038F" w:rsidRPr="008B1F04">
        <w:rPr>
          <w:rFonts w:cs="Arial"/>
        </w:rPr>
        <w:t>Babatundi</w:t>
      </w:r>
      <w:proofErr w:type="spellEnd"/>
      <w:r w:rsidR="0083038F" w:rsidRPr="008B1F04">
        <w:rPr>
          <w:rFonts w:cs="Arial"/>
        </w:rPr>
        <w:t xml:space="preserve"> existed)</w:t>
      </w:r>
      <w:r w:rsidR="00BB1EE2" w:rsidRPr="008B1F04">
        <w:rPr>
          <w:rFonts w:cs="Arial"/>
        </w:rPr>
        <w:t xml:space="preserve">. </w:t>
      </w:r>
    </w:p>
    <w:p w14:paraId="79784FC5" w14:textId="77777777" w:rsidR="002E085F" w:rsidRPr="008B1F04" w:rsidRDefault="002E085F" w:rsidP="00F83AD6">
      <w:pPr>
        <w:pStyle w:val="ListParagraph"/>
        <w:numPr>
          <w:ilvl w:val="0"/>
          <w:numId w:val="2"/>
        </w:numPr>
        <w:rPr>
          <w:rFonts w:cs="Arial"/>
        </w:rPr>
      </w:pPr>
      <w:bookmarkStart w:id="33" w:name="_Toc405983804"/>
      <w:r w:rsidRPr="00A2261E">
        <w:rPr>
          <w:rStyle w:val="Heading3Char"/>
        </w:rPr>
        <w:t>Residual Exception</w:t>
      </w:r>
      <w:bookmarkEnd w:id="33"/>
      <w:r w:rsidR="00CA5F66" w:rsidRPr="008B1F04">
        <w:rPr>
          <w:b/>
        </w:rPr>
        <w:t xml:space="preserve">. </w:t>
      </w:r>
      <w:r w:rsidR="0083038F" w:rsidRPr="008B1F04">
        <w:rPr>
          <w:rFonts w:cs="Arial"/>
        </w:rPr>
        <w:t>Rule 804(b)(5)</w:t>
      </w:r>
      <w:r w:rsidRPr="008B1F04">
        <w:rPr>
          <w:rFonts w:cs="Arial"/>
        </w:rPr>
        <w:t xml:space="preserve"> contains a residual hearsay exception that is identical </w:t>
      </w:r>
      <w:r w:rsidR="0053737D" w:rsidRPr="008B1F04">
        <w:rPr>
          <w:rFonts w:cs="Arial"/>
        </w:rPr>
        <w:t>the Rule 803(24</w:t>
      </w:r>
      <w:r w:rsidRPr="008B1F04">
        <w:rPr>
          <w:rFonts w:cs="Arial"/>
        </w:rPr>
        <w:t>)</w:t>
      </w:r>
      <w:r w:rsidR="00493EE6" w:rsidRPr="008B1F04">
        <w:rPr>
          <w:rFonts w:cs="Arial"/>
        </w:rPr>
        <w:t xml:space="preserve"> </w:t>
      </w:r>
      <w:r w:rsidR="00340BC0" w:rsidRPr="008B1F04">
        <w:rPr>
          <w:rFonts w:cs="Arial"/>
        </w:rPr>
        <w:t>r</w:t>
      </w:r>
      <w:r w:rsidR="00370AAA" w:rsidRPr="008B1F04">
        <w:rPr>
          <w:rFonts w:cs="Arial"/>
        </w:rPr>
        <w:t>esidual exception.</w:t>
      </w:r>
      <w:r w:rsidR="0053737D" w:rsidRPr="008B1F04">
        <w:rPr>
          <w:rFonts w:cs="Arial"/>
        </w:rPr>
        <w:t xml:space="preserve"> </w:t>
      </w:r>
      <w:r w:rsidR="0053737D" w:rsidRPr="008B1F04">
        <w:rPr>
          <w:rFonts w:cs="Arial"/>
          <w:i/>
        </w:rPr>
        <w:t xml:space="preserve">See </w:t>
      </w:r>
      <w:r w:rsidR="00370AAA" w:rsidRPr="008B1F04">
        <w:rPr>
          <w:rFonts w:cs="Arial"/>
        </w:rPr>
        <w:t>S</w:t>
      </w:r>
      <w:r w:rsidR="0053737D" w:rsidRPr="008B1F04">
        <w:rPr>
          <w:rFonts w:cs="Arial"/>
        </w:rPr>
        <w:t xml:space="preserve">ection </w:t>
      </w:r>
      <w:r w:rsidR="00340BC0" w:rsidRPr="008B1F04">
        <w:rPr>
          <w:rFonts w:cs="Arial"/>
        </w:rPr>
        <w:t>II.B.11</w:t>
      </w:r>
      <w:r w:rsidR="0053737D" w:rsidRPr="008B1F04">
        <w:rPr>
          <w:rFonts w:cs="Arial"/>
        </w:rPr>
        <w:t xml:space="preserve"> above</w:t>
      </w:r>
      <w:r w:rsidR="0053737D" w:rsidRPr="008B1F04">
        <w:rPr>
          <w:rFonts w:cs="Arial"/>
          <w:i/>
        </w:rPr>
        <w:t xml:space="preserve">. </w:t>
      </w:r>
    </w:p>
    <w:p w14:paraId="179928A9" w14:textId="77777777" w:rsidR="00F526B1" w:rsidRPr="008B1F04" w:rsidRDefault="0086687D" w:rsidP="00F83AD6">
      <w:pPr>
        <w:pStyle w:val="ListParagraph"/>
        <w:numPr>
          <w:ilvl w:val="0"/>
          <w:numId w:val="2"/>
        </w:numPr>
        <w:rPr>
          <w:rFonts w:cs="Arial"/>
        </w:rPr>
      </w:pPr>
      <w:bookmarkStart w:id="34" w:name="_Toc405983805"/>
      <w:r w:rsidRPr="00A2261E">
        <w:rPr>
          <w:rStyle w:val="Heading3Char"/>
        </w:rPr>
        <w:t>Statutory Exceptions</w:t>
      </w:r>
      <w:bookmarkEnd w:id="34"/>
      <w:r w:rsidR="00CA5F66" w:rsidRPr="008B1F04">
        <w:rPr>
          <w:b/>
        </w:rPr>
        <w:t xml:space="preserve">. </w:t>
      </w:r>
      <w:r w:rsidRPr="008B1F04">
        <w:rPr>
          <w:rFonts w:cs="Arial"/>
        </w:rPr>
        <w:t xml:space="preserve">As noted in </w:t>
      </w:r>
      <w:r w:rsidR="0083038F" w:rsidRPr="008B1F04">
        <w:rPr>
          <w:rFonts w:cs="Arial"/>
        </w:rPr>
        <w:t>Section I.A above, Rule 802</w:t>
      </w:r>
      <w:r w:rsidRPr="008B1F04">
        <w:rPr>
          <w:rFonts w:cs="Arial"/>
        </w:rPr>
        <w:t xml:space="preserve"> provides that hearsay is inadmissible except as provide</w:t>
      </w:r>
      <w:r w:rsidR="00340BC0" w:rsidRPr="008B1F04">
        <w:rPr>
          <w:rFonts w:cs="Arial"/>
        </w:rPr>
        <w:t>d</w:t>
      </w:r>
      <w:r w:rsidRPr="008B1F04">
        <w:rPr>
          <w:rFonts w:cs="Arial"/>
        </w:rPr>
        <w:t xml:space="preserve"> by</w:t>
      </w:r>
      <w:r w:rsidR="00DA2290" w:rsidRPr="008B1F04">
        <w:rPr>
          <w:rFonts w:cs="Arial"/>
        </w:rPr>
        <w:t xml:space="preserve"> statute or the evidence rules.</w:t>
      </w:r>
      <w:r w:rsidR="00493EE6" w:rsidRPr="008B1F04">
        <w:rPr>
          <w:rFonts w:cs="Arial"/>
        </w:rPr>
        <w:t xml:space="preserve"> </w:t>
      </w:r>
      <w:r w:rsidR="0083038F" w:rsidRPr="008B1F04">
        <w:rPr>
          <w:rFonts w:cs="Arial"/>
        </w:rPr>
        <w:t>Evidence Rule 1101</w:t>
      </w:r>
      <w:r w:rsidR="00DA2290" w:rsidRPr="008B1F04">
        <w:rPr>
          <w:rFonts w:cs="Arial"/>
        </w:rPr>
        <w:t xml:space="preserve"> makes the Rules inapplicable to certain specified proceedings. </w:t>
      </w:r>
      <w:r w:rsidR="00370AAA" w:rsidRPr="008B1F04">
        <w:rPr>
          <w:rFonts w:cs="Arial"/>
        </w:rPr>
        <w:t xml:space="preserve">Thus, </w:t>
      </w:r>
      <w:r w:rsidR="00DA2290" w:rsidRPr="008B1F04">
        <w:rPr>
          <w:rFonts w:cs="Arial"/>
        </w:rPr>
        <w:t>statutes excepting these proceedings from the evidence Rules are redundant.</w:t>
      </w:r>
      <w:r w:rsidR="00493EE6" w:rsidRPr="008B1F04">
        <w:rPr>
          <w:rFonts w:cs="Arial"/>
        </w:rPr>
        <w:t xml:space="preserve"> </w:t>
      </w:r>
      <w:r w:rsidR="00DA2290" w:rsidRPr="008B1F04">
        <w:rPr>
          <w:rFonts w:cs="Arial"/>
          <w:i/>
        </w:rPr>
        <w:t>See, e.g.,</w:t>
      </w:r>
      <w:r w:rsidR="00DA2290" w:rsidRPr="008B1F04">
        <w:rPr>
          <w:rFonts w:cs="Arial"/>
        </w:rPr>
        <w:t xml:space="preserve"> </w:t>
      </w:r>
      <w:r w:rsidR="0083038F" w:rsidRPr="008B1F04">
        <w:rPr>
          <w:rFonts w:cs="Arial"/>
        </w:rPr>
        <w:t>G.S. 15A-534 &amp; 15A-536 (bail); G.S. 15A-611 (allowing for the admission of certain reliable hearsay in probable cause hearings); G.S. 15A-1334 (sentencing); G.S. 15A-1345 (probation violations)</w:t>
      </w:r>
      <w:r w:rsidR="00DA2290" w:rsidRPr="008B1F04">
        <w:rPr>
          <w:rFonts w:cs="Arial"/>
        </w:rPr>
        <w:t>.</w:t>
      </w:r>
      <w:r w:rsidR="00493EE6" w:rsidRPr="008B1F04">
        <w:rPr>
          <w:rFonts w:cs="Arial"/>
        </w:rPr>
        <w:t xml:space="preserve"> </w:t>
      </w:r>
      <w:r w:rsidR="00DA2290" w:rsidRPr="008B1F04">
        <w:rPr>
          <w:rFonts w:cs="Arial"/>
        </w:rPr>
        <w:t xml:space="preserve">Two relevant statutory exceptions include </w:t>
      </w:r>
      <w:r w:rsidR="0083038F" w:rsidRPr="008B1F04">
        <w:rPr>
          <w:rFonts w:cs="Arial"/>
        </w:rPr>
        <w:t>G.S. 15A-1022 (reliable hearsay admissible in connection with establishing the factual basis for a plea), and G.S. 15A-1376 (formal evidence rules do not apply in parole violation hearings)</w:t>
      </w:r>
      <w:r w:rsidR="00DA2290" w:rsidRPr="008B1F04">
        <w:rPr>
          <w:rFonts w:cs="Arial"/>
        </w:rPr>
        <w:t>.</w:t>
      </w:r>
      <w:r w:rsidR="00493EE6" w:rsidRPr="008B1F04">
        <w:rPr>
          <w:rFonts w:cs="Arial"/>
        </w:rPr>
        <w:t xml:space="preserve"> </w:t>
      </w:r>
    </w:p>
    <w:p w14:paraId="69B9AB0B" w14:textId="77777777" w:rsidR="00E32CB1" w:rsidRDefault="00E32CB1" w:rsidP="00E32CB1">
      <w:pPr>
        <w:rPr>
          <w:rFonts w:cs="Arial"/>
        </w:rPr>
      </w:pPr>
    </w:p>
    <w:p w14:paraId="12E3A20F" w14:textId="77777777" w:rsidR="008B1F04" w:rsidRDefault="008B1F04" w:rsidP="00E32CB1">
      <w:pPr>
        <w:rPr>
          <w:rFonts w:cs="Arial"/>
        </w:rPr>
      </w:pPr>
    </w:p>
    <w:p w14:paraId="41CCE3DA" w14:textId="77777777" w:rsidR="008B1F04" w:rsidRDefault="008B1F04" w:rsidP="00E32CB1">
      <w:pPr>
        <w:rPr>
          <w:rFonts w:cs="Arial"/>
        </w:rPr>
      </w:pPr>
    </w:p>
    <w:p w14:paraId="6C4E0A32" w14:textId="77777777" w:rsidR="00411683" w:rsidRDefault="00411683" w:rsidP="00E32CB1">
      <w:pPr>
        <w:rPr>
          <w:rFonts w:cs="Arial"/>
        </w:rPr>
      </w:pPr>
    </w:p>
    <w:p w14:paraId="08E9FE81" w14:textId="77777777" w:rsidR="00E32CB1" w:rsidRDefault="00E32CB1" w:rsidP="00E32CB1">
      <w:pPr>
        <w:rPr>
          <w:rFonts w:cs="Arial"/>
        </w:rPr>
      </w:pPr>
    </w:p>
    <w:p w14:paraId="13D5425B" w14:textId="77777777" w:rsidR="00E32CB1" w:rsidRDefault="00E32CB1" w:rsidP="00EF2FB3">
      <w:pPr>
        <w:jc w:val="center"/>
        <w:rPr>
          <w:rFonts w:cs="Arial"/>
          <w:color w:val="000000"/>
          <w:sz w:val="16"/>
          <w:szCs w:val="16"/>
        </w:rPr>
      </w:pPr>
      <w:r w:rsidRPr="000A659C">
        <w:rPr>
          <w:rFonts w:cs="Arial"/>
          <w:color w:val="000000"/>
          <w:sz w:val="16"/>
          <w:szCs w:val="16"/>
        </w:rPr>
        <w:t>© 2013, School of Government, University of North Carolina at Chapel Hill. This document may not be copied or posted online, nor transmitted, in printed or electronic form, without the written permission of the School of Government, except as allowed by fair use under United States copyright law. For questions about use of the document and permission for copying, contact the School of Government at sales@sog.unc.edu or call 919.966.4119.</w:t>
      </w:r>
    </w:p>
    <w:p w14:paraId="775F45F7" w14:textId="77777777" w:rsidR="00E32CB1" w:rsidRPr="00E32CB1" w:rsidRDefault="00E32CB1" w:rsidP="00E32CB1">
      <w:pPr>
        <w:rPr>
          <w:rFonts w:cs="Arial"/>
        </w:rPr>
      </w:pPr>
    </w:p>
    <w:sectPr w:rsidR="00E32CB1" w:rsidRPr="00E32CB1" w:rsidSect="00E32CB1">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2057" w14:textId="77777777" w:rsidR="00DB1C82" w:rsidRDefault="00DB1C82" w:rsidP="00952922">
      <w:r>
        <w:separator/>
      </w:r>
    </w:p>
  </w:endnote>
  <w:endnote w:type="continuationSeparator" w:id="0">
    <w:p w14:paraId="324EE2BA" w14:textId="77777777" w:rsidR="00DB1C82" w:rsidRDefault="00DB1C82" w:rsidP="0095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929318"/>
      <w:docPartObj>
        <w:docPartGallery w:val="Page Numbers (Bottom of Page)"/>
        <w:docPartUnique/>
      </w:docPartObj>
    </w:sdtPr>
    <w:sdtEndPr>
      <w:rPr>
        <w:noProof/>
      </w:rPr>
    </w:sdtEndPr>
    <w:sdtContent>
      <w:p w14:paraId="2231F5AE" w14:textId="77777777" w:rsidR="00AA085B" w:rsidRDefault="00AA085B">
        <w:pPr>
          <w:pStyle w:val="Footer"/>
          <w:jc w:val="center"/>
        </w:pPr>
        <w:r w:rsidRPr="00E32CB1">
          <w:rPr>
            <w:sz w:val="20"/>
            <w:szCs w:val="20"/>
          </w:rPr>
          <w:t xml:space="preserve">Hearsay </w:t>
        </w:r>
        <w:r>
          <w:rPr>
            <w:rFonts w:cs="Arial"/>
            <w:sz w:val="20"/>
            <w:szCs w:val="20"/>
          </w:rPr>
          <w:t>─</w:t>
        </w:r>
        <w:r w:rsidRPr="00E32CB1">
          <w:rPr>
            <w:sz w:val="20"/>
            <w:szCs w:val="20"/>
          </w:rPr>
          <w:t xml:space="preserve"> </w:t>
        </w:r>
        <w:r w:rsidRPr="00E32CB1">
          <w:rPr>
            <w:sz w:val="20"/>
            <w:szCs w:val="20"/>
          </w:rPr>
          <w:fldChar w:fldCharType="begin"/>
        </w:r>
        <w:r w:rsidRPr="00E32CB1">
          <w:rPr>
            <w:sz w:val="20"/>
            <w:szCs w:val="20"/>
          </w:rPr>
          <w:instrText xml:space="preserve"> PAGE   \* MERGEFORMAT </w:instrText>
        </w:r>
        <w:r w:rsidRPr="00E32CB1">
          <w:rPr>
            <w:sz w:val="20"/>
            <w:szCs w:val="20"/>
          </w:rPr>
          <w:fldChar w:fldCharType="separate"/>
        </w:r>
        <w:r w:rsidR="00C96B0D">
          <w:rPr>
            <w:noProof/>
            <w:sz w:val="20"/>
            <w:szCs w:val="20"/>
          </w:rPr>
          <w:t>1</w:t>
        </w:r>
        <w:r w:rsidRPr="00E32CB1">
          <w:rPr>
            <w:sz w:val="20"/>
            <w:szCs w:val="20"/>
          </w:rPr>
          <w:fldChar w:fldCharType="end"/>
        </w:r>
      </w:p>
    </w:sdtContent>
  </w:sdt>
  <w:p w14:paraId="71AAD087" w14:textId="77777777" w:rsidR="00AA085B" w:rsidRDefault="00AA08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93083" w14:textId="77777777" w:rsidR="00DB1C82" w:rsidRDefault="00DB1C82" w:rsidP="00952922">
      <w:r>
        <w:separator/>
      </w:r>
    </w:p>
  </w:footnote>
  <w:footnote w:type="continuationSeparator" w:id="0">
    <w:p w14:paraId="4FECB0D4" w14:textId="77777777" w:rsidR="00DB1C82" w:rsidRDefault="00DB1C82" w:rsidP="00952922">
      <w:r>
        <w:continuationSeparator/>
      </w:r>
    </w:p>
  </w:footnote>
  <w:footnote w:id="1">
    <w:p w14:paraId="4BE4A9A5" w14:textId="77777777" w:rsidR="00AA085B" w:rsidRDefault="00AA085B" w:rsidP="002220CD">
      <w:pPr>
        <w:pStyle w:val="FootnoteText"/>
      </w:pPr>
      <w:r>
        <w:rPr>
          <w:rStyle w:val="FootnoteReference"/>
        </w:rPr>
        <w:footnoteRef/>
      </w:r>
      <w:r>
        <w:t xml:space="preserve"> These exceptions include:</w:t>
      </w:r>
    </w:p>
    <w:p w14:paraId="1E4CEE98" w14:textId="77777777" w:rsidR="00AA085B" w:rsidRPr="00E31EA5" w:rsidRDefault="00AA085B" w:rsidP="002220CD">
      <w:pPr>
        <w:pStyle w:val="FootnoteText"/>
        <w:numPr>
          <w:ilvl w:val="0"/>
          <w:numId w:val="7"/>
        </w:numPr>
      </w:pPr>
      <w:r w:rsidRPr="00952922">
        <w:rPr>
          <w:rFonts w:cs="Arial"/>
        </w:rPr>
        <w:t>Rule 803(7)</w:t>
      </w:r>
      <w:r>
        <w:rPr>
          <w:rFonts w:cs="Arial"/>
        </w:rPr>
        <w:t>; absence of entry in records kept in accordance with Rule 803(6).</w:t>
      </w:r>
      <w:r w:rsidRPr="00952922">
        <w:rPr>
          <w:rFonts w:cs="Arial"/>
        </w:rPr>
        <w:t xml:space="preserve"> </w:t>
      </w:r>
    </w:p>
    <w:p w14:paraId="0869F3EC" w14:textId="77777777" w:rsidR="00AA085B" w:rsidRPr="00E31EA5" w:rsidRDefault="00AA085B" w:rsidP="002220CD">
      <w:pPr>
        <w:pStyle w:val="FootnoteText"/>
        <w:numPr>
          <w:ilvl w:val="0"/>
          <w:numId w:val="7"/>
        </w:numPr>
      </w:pPr>
      <w:r>
        <w:rPr>
          <w:rFonts w:cs="Arial"/>
        </w:rPr>
        <w:t>Rule 803(9); records of vital statistics.</w:t>
      </w:r>
    </w:p>
    <w:p w14:paraId="63BF48C6" w14:textId="77777777" w:rsidR="00AA085B" w:rsidRPr="00E31EA5" w:rsidRDefault="00AA085B" w:rsidP="002220CD">
      <w:pPr>
        <w:pStyle w:val="FootnoteText"/>
        <w:numPr>
          <w:ilvl w:val="0"/>
          <w:numId w:val="7"/>
        </w:numPr>
      </w:pPr>
      <w:r>
        <w:rPr>
          <w:rFonts w:cs="Arial"/>
        </w:rPr>
        <w:t>Rule 803(10); absence of public record or entry.</w:t>
      </w:r>
    </w:p>
    <w:p w14:paraId="3C57BBEE" w14:textId="77777777" w:rsidR="00AA085B" w:rsidRPr="00E31EA5" w:rsidRDefault="00AA085B" w:rsidP="002220CD">
      <w:pPr>
        <w:pStyle w:val="FootnoteText"/>
        <w:numPr>
          <w:ilvl w:val="0"/>
          <w:numId w:val="7"/>
        </w:numPr>
      </w:pPr>
      <w:r>
        <w:rPr>
          <w:rFonts w:cs="Arial"/>
        </w:rPr>
        <w:t>Rule 803(11); records of religious organizations.</w:t>
      </w:r>
    </w:p>
    <w:p w14:paraId="0CD177CD" w14:textId="77777777" w:rsidR="00AA085B" w:rsidRPr="00E31EA5" w:rsidRDefault="00AA085B" w:rsidP="002220CD">
      <w:pPr>
        <w:pStyle w:val="FootnoteText"/>
        <w:numPr>
          <w:ilvl w:val="0"/>
          <w:numId w:val="7"/>
        </w:numPr>
      </w:pPr>
      <w:r>
        <w:rPr>
          <w:rFonts w:cs="Arial"/>
        </w:rPr>
        <w:t>Rule 803(12); marriage, baptismal, and similar certificates.</w:t>
      </w:r>
    </w:p>
    <w:p w14:paraId="5AED9AE2" w14:textId="77777777" w:rsidR="00AA085B" w:rsidRPr="00E31EA5" w:rsidRDefault="00AA085B" w:rsidP="002220CD">
      <w:pPr>
        <w:pStyle w:val="FootnoteText"/>
        <w:numPr>
          <w:ilvl w:val="0"/>
          <w:numId w:val="7"/>
        </w:numPr>
      </w:pPr>
      <w:r>
        <w:rPr>
          <w:rFonts w:cs="Arial"/>
        </w:rPr>
        <w:t>Rule 803(13); family records.</w:t>
      </w:r>
    </w:p>
    <w:p w14:paraId="685BBEC5" w14:textId="77777777" w:rsidR="00AA085B" w:rsidRPr="00E31EA5" w:rsidRDefault="00AA085B" w:rsidP="002220CD">
      <w:pPr>
        <w:pStyle w:val="FootnoteText"/>
        <w:numPr>
          <w:ilvl w:val="0"/>
          <w:numId w:val="7"/>
        </w:numPr>
      </w:pPr>
      <w:r>
        <w:rPr>
          <w:rFonts w:cs="Arial"/>
        </w:rPr>
        <w:t>Rule 803(14); records of documents affecting an interest in property.</w:t>
      </w:r>
    </w:p>
    <w:p w14:paraId="22B27046" w14:textId="77777777" w:rsidR="00AA085B" w:rsidRPr="00E31EA5" w:rsidRDefault="00AA085B" w:rsidP="002220CD">
      <w:pPr>
        <w:pStyle w:val="FootnoteText"/>
        <w:numPr>
          <w:ilvl w:val="0"/>
          <w:numId w:val="7"/>
        </w:numPr>
      </w:pPr>
      <w:r>
        <w:rPr>
          <w:rFonts w:cs="Arial"/>
        </w:rPr>
        <w:t xml:space="preserve">Rule 803(15); statements in </w:t>
      </w:r>
      <w:r w:rsidRPr="00E31EA5">
        <w:rPr>
          <w:rFonts w:cs="Arial"/>
        </w:rPr>
        <w:t>documents affecting an interest in property</w:t>
      </w:r>
      <w:r>
        <w:rPr>
          <w:rFonts w:cs="Arial"/>
        </w:rPr>
        <w:t>.</w:t>
      </w:r>
    </w:p>
    <w:p w14:paraId="3289E5B4" w14:textId="77777777" w:rsidR="00AA085B" w:rsidRPr="00C67489" w:rsidRDefault="00AA085B" w:rsidP="002220CD">
      <w:pPr>
        <w:pStyle w:val="FootnoteText"/>
        <w:numPr>
          <w:ilvl w:val="0"/>
          <w:numId w:val="7"/>
        </w:numPr>
      </w:pPr>
      <w:r>
        <w:rPr>
          <w:rFonts w:cs="Arial"/>
        </w:rPr>
        <w:t>Rule 803(16); statements in ancient documents.</w:t>
      </w:r>
    </w:p>
    <w:p w14:paraId="6F3DEDAC" w14:textId="77777777" w:rsidR="00AA085B" w:rsidRPr="00C67489" w:rsidRDefault="00AA085B" w:rsidP="002220CD">
      <w:pPr>
        <w:pStyle w:val="FootnoteText"/>
        <w:numPr>
          <w:ilvl w:val="0"/>
          <w:numId w:val="7"/>
        </w:numPr>
      </w:pPr>
      <w:r>
        <w:rPr>
          <w:rFonts w:cs="Arial"/>
        </w:rPr>
        <w:t>Rule 803(19); reputation concerning personal or family history.</w:t>
      </w:r>
    </w:p>
    <w:p w14:paraId="35D3E409" w14:textId="77777777" w:rsidR="00AA085B" w:rsidRPr="00C67489" w:rsidRDefault="00AA085B" w:rsidP="002220CD">
      <w:pPr>
        <w:pStyle w:val="FootnoteText"/>
        <w:numPr>
          <w:ilvl w:val="0"/>
          <w:numId w:val="7"/>
        </w:numPr>
      </w:pPr>
      <w:r>
        <w:rPr>
          <w:rFonts w:cs="Arial"/>
        </w:rPr>
        <w:t>Rule 803(20); reputation concerning boundaries or general history.</w:t>
      </w:r>
    </w:p>
    <w:p w14:paraId="1CDFED30" w14:textId="77777777" w:rsidR="00AA085B" w:rsidRPr="006753A6" w:rsidRDefault="00AA085B" w:rsidP="002220CD">
      <w:pPr>
        <w:pStyle w:val="FootnoteText"/>
        <w:numPr>
          <w:ilvl w:val="0"/>
          <w:numId w:val="7"/>
        </w:numPr>
        <w:rPr>
          <w:rFonts w:cs="Arial"/>
        </w:rPr>
      </w:pPr>
      <w:r w:rsidRPr="006753A6">
        <w:rPr>
          <w:rFonts w:cs="Arial"/>
        </w:rPr>
        <w:t>Rule 803(23); judgment as to personal, family or general history, or boundaries.</w:t>
      </w:r>
    </w:p>
  </w:footnote>
  <w:footnote w:id="2">
    <w:p w14:paraId="559AFB97" w14:textId="77777777" w:rsidR="00AA085B" w:rsidRDefault="00AA085B" w:rsidP="00340BC0">
      <w:pPr>
        <w:pStyle w:val="FootnoteText"/>
      </w:pPr>
      <w:r>
        <w:rPr>
          <w:rStyle w:val="FootnoteReference"/>
        </w:rPr>
        <w:footnoteRef/>
      </w:r>
      <w:r>
        <w:t xml:space="preserve"> </w:t>
      </w:r>
      <w:r w:rsidRPr="001E458D">
        <w:t>Rule 804(b)(4) creates a hearsay exception for statements of personal or family history. This exception has been cited only once in a published North Carolina criminal case. State v. Hester, 343 N.C. 266, 271 (1996) (clarifying that the rule merely allows testimony about the existence of a marriage or other personal relationship and has “no bearing on events, activities, or emotional states occurring within those relationships”).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EAE6" w14:textId="77777777" w:rsidR="00AA085B" w:rsidRDefault="00AA085B">
    <w:pPr>
      <w:pStyle w:val="Header"/>
    </w:pPr>
    <w:r w:rsidRPr="00E32CB1">
      <w:rPr>
        <w:noProof/>
      </w:rPr>
      <w:drawing>
        <wp:anchor distT="0" distB="0" distL="114300" distR="114300" simplePos="0" relativeHeight="251659264" behindDoc="0" locked="0" layoutInCell="1" allowOverlap="0" wp14:anchorId="55C199F7" wp14:editId="7F3C6B13">
          <wp:simplePos x="0" y="0"/>
          <wp:positionH relativeFrom="page">
            <wp:posOffset>0</wp:posOffset>
          </wp:positionH>
          <wp:positionV relativeFrom="page">
            <wp:posOffset>0</wp:posOffset>
          </wp:positionV>
          <wp:extent cx="7772400" cy="3429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ma14="http://schemas.microsoft.com/office/mac/drawingml/2011/main"/>
                    </a:ext>
                  </a:extLst>
                </pic:spPr>
              </pic:pic>
            </a:graphicData>
          </a:graphic>
        </wp:anchor>
      </w:drawing>
    </w:r>
  </w:p>
  <w:p w14:paraId="36BF5FFC" w14:textId="77777777" w:rsidR="00AA085B" w:rsidRDefault="00AA08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208"/>
    <w:multiLevelType w:val="hybridMultilevel"/>
    <w:tmpl w:val="55C6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A5784"/>
    <w:multiLevelType w:val="hybridMultilevel"/>
    <w:tmpl w:val="073C0710"/>
    <w:lvl w:ilvl="0" w:tplc="447233AA">
      <w:start w:val="1"/>
      <w:numFmt w:val="upperLetter"/>
      <w:pStyle w:val="Heading2"/>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3243F"/>
    <w:multiLevelType w:val="hybridMultilevel"/>
    <w:tmpl w:val="17DE0440"/>
    <w:lvl w:ilvl="0" w:tplc="6CDE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D0A64"/>
    <w:multiLevelType w:val="hybridMultilevel"/>
    <w:tmpl w:val="D3D048A4"/>
    <w:lvl w:ilvl="0" w:tplc="D6306A06">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068238D"/>
    <w:multiLevelType w:val="hybridMultilevel"/>
    <w:tmpl w:val="025C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A4271"/>
    <w:multiLevelType w:val="hybridMultilevel"/>
    <w:tmpl w:val="7AD6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A6BAE"/>
    <w:multiLevelType w:val="hybridMultilevel"/>
    <w:tmpl w:val="8ECA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40BFB"/>
    <w:multiLevelType w:val="hybridMultilevel"/>
    <w:tmpl w:val="BB3C751A"/>
    <w:lvl w:ilvl="0" w:tplc="200E1A38">
      <w:start w:val="2"/>
      <w:numFmt w:val="upperLetter"/>
      <w:lvlText w:val="%1."/>
      <w:lvlJc w:val="left"/>
      <w:pPr>
        <w:ind w:left="144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057740F"/>
    <w:multiLevelType w:val="hybridMultilevel"/>
    <w:tmpl w:val="4C3888B4"/>
    <w:lvl w:ilvl="0" w:tplc="C6AE8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577C5D"/>
    <w:multiLevelType w:val="hybridMultilevel"/>
    <w:tmpl w:val="472E1118"/>
    <w:lvl w:ilvl="0" w:tplc="3DF2D1E8">
      <w:start w:val="1"/>
      <w:numFmt w:val="lowerLetter"/>
      <w:lvlText w:val="%1."/>
      <w:lvlJc w:val="left"/>
      <w:pPr>
        <w:ind w:left="28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55AFA"/>
    <w:multiLevelType w:val="hybridMultilevel"/>
    <w:tmpl w:val="EBF4B288"/>
    <w:lvl w:ilvl="0" w:tplc="B27A77DC">
      <w:start w:val="1"/>
      <w:numFmt w:val="upperRoman"/>
      <w:pStyle w:val="NoSpacing"/>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42400B"/>
    <w:multiLevelType w:val="hybridMultilevel"/>
    <w:tmpl w:val="B8949290"/>
    <w:lvl w:ilvl="0" w:tplc="878A5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EE72ED"/>
    <w:multiLevelType w:val="hybridMultilevel"/>
    <w:tmpl w:val="16F6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2345F"/>
    <w:multiLevelType w:val="hybridMultilevel"/>
    <w:tmpl w:val="C1BA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42C8D"/>
    <w:multiLevelType w:val="hybridMultilevel"/>
    <w:tmpl w:val="A9861E66"/>
    <w:lvl w:ilvl="0" w:tplc="B8341C44">
      <w:start w:val="1"/>
      <w:numFmt w:val="lowerLetter"/>
      <w:lvlText w:val="%1."/>
      <w:lvlJc w:val="left"/>
      <w:pPr>
        <w:ind w:left="28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13D4F"/>
    <w:multiLevelType w:val="hybridMultilevel"/>
    <w:tmpl w:val="11D0D658"/>
    <w:lvl w:ilvl="0" w:tplc="68A87CAC">
      <w:start w:val="1"/>
      <w:numFmt w:val="upperLetter"/>
      <w:lvlText w:val="%1."/>
      <w:lvlJc w:val="left"/>
      <w:pPr>
        <w:ind w:left="144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268052B"/>
    <w:multiLevelType w:val="hybridMultilevel"/>
    <w:tmpl w:val="81504B6E"/>
    <w:lvl w:ilvl="0" w:tplc="5C547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476844"/>
    <w:multiLevelType w:val="hybridMultilevel"/>
    <w:tmpl w:val="5A840256"/>
    <w:lvl w:ilvl="0" w:tplc="EDA4747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D779A8"/>
    <w:multiLevelType w:val="hybridMultilevel"/>
    <w:tmpl w:val="C71AD388"/>
    <w:lvl w:ilvl="0" w:tplc="A096322A">
      <w:start w:val="1"/>
      <w:numFmt w:val="lowerLetter"/>
      <w:lvlText w:val="%1."/>
      <w:lvlJc w:val="left"/>
      <w:pPr>
        <w:ind w:left="28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034D0"/>
    <w:multiLevelType w:val="hybridMultilevel"/>
    <w:tmpl w:val="BA5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E0188"/>
    <w:multiLevelType w:val="hybridMultilevel"/>
    <w:tmpl w:val="8828F93E"/>
    <w:lvl w:ilvl="0" w:tplc="4AA061A6">
      <w:start w:val="1"/>
      <w:numFmt w:val="lowerLetter"/>
      <w:lvlText w:val="%1."/>
      <w:lvlJc w:val="left"/>
      <w:pPr>
        <w:ind w:left="2880" w:hanging="720"/>
      </w:pPr>
      <w:rPr>
        <w:rFonts w:hint="default"/>
        <w:b/>
      </w:rPr>
    </w:lvl>
    <w:lvl w:ilvl="1" w:tplc="466C144C">
      <w:start w:val="1"/>
      <w:numFmt w:val="lowerLetter"/>
      <w:lvlText w:val="%2."/>
      <w:lvlJc w:val="left"/>
      <w:pPr>
        <w:ind w:left="2880" w:hanging="72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886074"/>
    <w:multiLevelType w:val="hybridMultilevel"/>
    <w:tmpl w:val="E19CC1D6"/>
    <w:lvl w:ilvl="0" w:tplc="F856C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9B7A7B"/>
    <w:multiLevelType w:val="hybridMultilevel"/>
    <w:tmpl w:val="2238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662ED"/>
    <w:multiLevelType w:val="hybridMultilevel"/>
    <w:tmpl w:val="505C4250"/>
    <w:lvl w:ilvl="0" w:tplc="79CC0F2C">
      <w:start w:val="1"/>
      <w:numFmt w:val="decimal"/>
      <w:lvlText w:val="(%1)"/>
      <w:lvlJc w:val="left"/>
      <w:pPr>
        <w:ind w:left="1260" w:hanging="360"/>
      </w:pPr>
      <w:rPr>
        <w:rFonts w:ascii="Arial" w:eastAsiaTheme="minorHAnsi" w:hAnsi="Arial" w:cs="Arial"/>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2EA5784"/>
    <w:multiLevelType w:val="hybridMultilevel"/>
    <w:tmpl w:val="385EDA78"/>
    <w:lvl w:ilvl="0" w:tplc="E9D053D2">
      <w:start w:val="1"/>
      <w:numFmt w:val="decimal"/>
      <w:lvlText w:val="%1."/>
      <w:lvlJc w:val="left"/>
      <w:pPr>
        <w:ind w:left="72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5">
    <w:nsid w:val="452900AC"/>
    <w:multiLevelType w:val="hybridMultilevel"/>
    <w:tmpl w:val="5A0E3F5C"/>
    <w:lvl w:ilvl="0" w:tplc="50540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1A1A8A"/>
    <w:multiLevelType w:val="hybridMultilevel"/>
    <w:tmpl w:val="7656564C"/>
    <w:lvl w:ilvl="0" w:tplc="0826EEAC">
      <w:start w:val="1"/>
      <w:numFmt w:val="decimal"/>
      <w:lvlText w:val="%1."/>
      <w:lvlJc w:val="left"/>
      <w:pPr>
        <w:ind w:left="2160" w:hanging="72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8E37F6F"/>
    <w:multiLevelType w:val="hybridMultilevel"/>
    <w:tmpl w:val="F0881114"/>
    <w:lvl w:ilvl="0" w:tplc="9210F022">
      <w:start w:val="1"/>
      <w:numFmt w:val="lowerLetter"/>
      <w:lvlText w:val="%1."/>
      <w:lvlJc w:val="left"/>
      <w:pPr>
        <w:ind w:left="28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A0ED1"/>
    <w:multiLevelType w:val="hybridMultilevel"/>
    <w:tmpl w:val="56125ED8"/>
    <w:lvl w:ilvl="0" w:tplc="1DAA5B40">
      <w:start w:val="1"/>
      <w:numFmt w:val="decimal"/>
      <w:pStyle w:val="Heading3"/>
      <w:lvlText w:val="%1."/>
      <w:lvlJc w:val="left"/>
      <w:pPr>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04CF2"/>
    <w:multiLevelType w:val="hybridMultilevel"/>
    <w:tmpl w:val="399E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A92AE5"/>
    <w:multiLevelType w:val="hybridMultilevel"/>
    <w:tmpl w:val="B0AC55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564E461A"/>
    <w:multiLevelType w:val="hybridMultilevel"/>
    <w:tmpl w:val="522AA828"/>
    <w:lvl w:ilvl="0" w:tplc="79E24B60">
      <w:start w:val="1"/>
      <w:numFmt w:val="lowerLetter"/>
      <w:lvlText w:val="%1."/>
      <w:lvlJc w:val="left"/>
      <w:pPr>
        <w:ind w:left="28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F064E0"/>
    <w:multiLevelType w:val="hybridMultilevel"/>
    <w:tmpl w:val="A6A818B0"/>
    <w:lvl w:ilvl="0" w:tplc="73EA7CCC">
      <w:start w:val="1"/>
      <w:numFmt w:val="upperLetter"/>
      <w:lvlText w:val="%1."/>
      <w:lvlJc w:val="left"/>
      <w:pPr>
        <w:ind w:left="1440" w:hanging="72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3">
    <w:nsid w:val="5B731A3A"/>
    <w:multiLevelType w:val="hybridMultilevel"/>
    <w:tmpl w:val="173EE468"/>
    <w:lvl w:ilvl="0" w:tplc="C5C48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30113F"/>
    <w:multiLevelType w:val="hybridMultilevel"/>
    <w:tmpl w:val="920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C40766"/>
    <w:multiLevelType w:val="hybridMultilevel"/>
    <w:tmpl w:val="0F7C4B1C"/>
    <w:lvl w:ilvl="0" w:tplc="6EECC316">
      <w:start w:val="3"/>
      <w:numFmt w:val="decimal"/>
      <w:lvlText w:val="%1."/>
      <w:lvlJc w:val="left"/>
      <w:pPr>
        <w:ind w:left="216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230CE8"/>
    <w:multiLevelType w:val="hybridMultilevel"/>
    <w:tmpl w:val="827C31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6943718E"/>
    <w:multiLevelType w:val="hybridMultilevel"/>
    <w:tmpl w:val="379A955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8">
    <w:nsid w:val="6AE05D58"/>
    <w:multiLevelType w:val="hybridMultilevel"/>
    <w:tmpl w:val="5BB246B6"/>
    <w:lvl w:ilvl="0" w:tplc="21AAC920">
      <w:start w:val="1"/>
      <w:numFmt w:val="upperLetter"/>
      <w:lvlText w:val="(%1)"/>
      <w:lvlJc w:val="left"/>
      <w:pPr>
        <w:ind w:left="1800" w:hanging="360"/>
      </w:pPr>
      <w:rPr>
        <w:rFonts w:ascii="Arial" w:eastAsiaTheme="minorHAnsi" w:hAnsi="Arial"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5DC4ABE"/>
    <w:multiLevelType w:val="hybridMultilevel"/>
    <w:tmpl w:val="3C4CC3C4"/>
    <w:lvl w:ilvl="0" w:tplc="C882A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28186B"/>
    <w:multiLevelType w:val="hybridMultilevel"/>
    <w:tmpl w:val="DFDEFBC2"/>
    <w:lvl w:ilvl="0" w:tplc="D84EC6AA">
      <w:start w:val="1"/>
      <w:numFmt w:val="decimal"/>
      <w:lvlText w:val="%1."/>
      <w:lvlJc w:val="left"/>
      <w:pPr>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090F68"/>
    <w:multiLevelType w:val="hybridMultilevel"/>
    <w:tmpl w:val="95B4B18A"/>
    <w:lvl w:ilvl="0" w:tplc="6A001018">
      <w:start w:val="1"/>
      <w:numFmt w:val="decimal"/>
      <w:lvlText w:val="%1."/>
      <w:lvlJc w:val="left"/>
      <w:pPr>
        <w:ind w:left="2160" w:hanging="720"/>
      </w:pPr>
      <w:rPr>
        <w:rFonts w:hint="default"/>
        <w:b/>
      </w:rPr>
    </w:lvl>
    <w:lvl w:ilvl="1" w:tplc="C43EF36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472FC4E">
      <w:start w:val="1"/>
      <w:numFmt w:val="lowerLetter"/>
      <w:lvlText w:val="%4."/>
      <w:lvlJc w:val="left"/>
      <w:pPr>
        <w:ind w:left="2880" w:hanging="720"/>
      </w:pPr>
      <w:rPr>
        <w:rFonts w:hint="default"/>
        <w:b/>
      </w:rPr>
    </w:lvl>
    <w:lvl w:ilvl="4" w:tplc="DDCC7CE8">
      <w:start w:val="1"/>
      <w:numFmt w:val="lowerLetter"/>
      <w:lvlText w:val="%5."/>
      <w:lvlJc w:val="left"/>
      <w:pPr>
        <w:ind w:left="288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644E3C"/>
    <w:multiLevelType w:val="hybridMultilevel"/>
    <w:tmpl w:val="51E40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85185B"/>
    <w:multiLevelType w:val="hybridMultilevel"/>
    <w:tmpl w:val="ADBC766E"/>
    <w:lvl w:ilvl="0" w:tplc="EB8E2458">
      <w:start w:val="1"/>
      <w:numFmt w:val="decimal"/>
      <w:lvlText w:val="%1."/>
      <w:lvlJc w:val="left"/>
      <w:pPr>
        <w:ind w:left="2160" w:hanging="720"/>
      </w:pPr>
      <w:rPr>
        <w:rFonts w:hint="default"/>
        <w:b/>
        <w:i w:val="0"/>
        <w:color w:val="auto"/>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27A4EAE">
      <w:start w:val="1"/>
      <w:numFmt w:val="decimal"/>
      <w:lvlText w:val="%4."/>
      <w:lvlJc w:val="left"/>
      <w:pPr>
        <w:ind w:left="2160" w:hanging="720"/>
      </w:pPr>
      <w:rPr>
        <w:rFonts w:hint="default"/>
        <w:b/>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8"/>
  </w:num>
  <w:num w:numId="2">
    <w:abstractNumId w:val="41"/>
  </w:num>
  <w:num w:numId="3">
    <w:abstractNumId w:val="19"/>
  </w:num>
  <w:num w:numId="4">
    <w:abstractNumId w:val="30"/>
  </w:num>
  <w:num w:numId="5">
    <w:abstractNumId w:val="36"/>
  </w:num>
  <w:num w:numId="6">
    <w:abstractNumId w:val="13"/>
  </w:num>
  <w:num w:numId="7">
    <w:abstractNumId w:val="34"/>
  </w:num>
  <w:num w:numId="8">
    <w:abstractNumId w:val="4"/>
  </w:num>
  <w:num w:numId="9">
    <w:abstractNumId w:val="22"/>
  </w:num>
  <w:num w:numId="10">
    <w:abstractNumId w:val="0"/>
  </w:num>
  <w:num w:numId="11">
    <w:abstractNumId w:val="3"/>
  </w:num>
  <w:num w:numId="12">
    <w:abstractNumId w:val="6"/>
  </w:num>
  <w:num w:numId="13">
    <w:abstractNumId w:val="42"/>
  </w:num>
  <w:num w:numId="14">
    <w:abstractNumId w:val="37"/>
  </w:num>
  <w:num w:numId="15">
    <w:abstractNumId w:val="29"/>
  </w:num>
  <w:num w:numId="16">
    <w:abstractNumId w:val="23"/>
  </w:num>
  <w:num w:numId="17">
    <w:abstractNumId w:val="8"/>
  </w:num>
  <w:num w:numId="18">
    <w:abstractNumId w:val="33"/>
  </w:num>
  <w:num w:numId="19">
    <w:abstractNumId w:val="21"/>
  </w:num>
  <w:num w:numId="20">
    <w:abstractNumId w:val="11"/>
  </w:num>
  <w:num w:numId="21">
    <w:abstractNumId w:val="39"/>
  </w:num>
  <w:num w:numId="22">
    <w:abstractNumId w:val="2"/>
  </w:num>
  <w:num w:numId="23">
    <w:abstractNumId w:val="16"/>
  </w:num>
  <w:num w:numId="24">
    <w:abstractNumId w:val="5"/>
  </w:num>
  <w:num w:numId="25">
    <w:abstractNumId w:val="25"/>
  </w:num>
  <w:num w:numId="26">
    <w:abstractNumId w:val="10"/>
  </w:num>
  <w:num w:numId="27">
    <w:abstractNumId w:val="1"/>
  </w:num>
  <w:num w:numId="28">
    <w:abstractNumId w:val="26"/>
  </w:num>
  <w:num w:numId="29">
    <w:abstractNumId w:val="15"/>
  </w:num>
  <w:num w:numId="30">
    <w:abstractNumId w:val="17"/>
  </w:num>
  <w:num w:numId="31">
    <w:abstractNumId w:val="24"/>
  </w:num>
  <w:num w:numId="32">
    <w:abstractNumId w:val="12"/>
  </w:num>
  <w:num w:numId="33">
    <w:abstractNumId w:val="43"/>
  </w:num>
  <w:num w:numId="34">
    <w:abstractNumId w:val="18"/>
  </w:num>
  <w:num w:numId="35">
    <w:abstractNumId w:val="31"/>
  </w:num>
  <w:num w:numId="36">
    <w:abstractNumId w:val="35"/>
  </w:num>
  <w:num w:numId="37">
    <w:abstractNumId w:val="20"/>
  </w:num>
  <w:num w:numId="38">
    <w:abstractNumId w:val="9"/>
  </w:num>
  <w:num w:numId="39">
    <w:abstractNumId w:val="27"/>
  </w:num>
  <w:num w:numId="40">
    <w:abstractNumId w:val="14"/>
  </w:num>
  <w:num w:numId="41">
    <w:abstractNumId w:val="40"/>
  </w:num>
  <w:num w:numId="42">
    <w:abstractNumId w:val="28"/>
  </w:num>
  <w:num w:numId="43">
    <w:abstractNumId w:val="32"/>
  </w:num>
  <w:num w:numId="4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0063"/>
    <w:rsid w:val="00002E2E"/>
    <w:rsid w:val="00003C1E"/>
    <w:rsid w:val="0000418B"/>
    <w:rsid w:val="00004308"/>
    <w:rsid w:val="000046E6"/>
    <w:rsid w:val="000065DB"/>
    <w:rsid w:val="000147C8"/>
    <w:rsid w:val="00016AAD"/>
    <w:rsid w:val="00021B3E"/>
    <w:rsid w:val="000357EC"/>
    <w:rsid w:val="00036713"/>
    <w:rsid w:val="0003684F"/>
    <w:rsid w:val="00040BF4"/>
    <w:rsid w:val="0004634F"/>
    <w:rsid w:val="00050F5C"/>
    <w:rsid w:val="00052C18"/>
    <w:rsid w:val="000532AC"/>
    <w:rsid w:val="00056B6D"/>
    <w:rsid w:val="00081112"/>
    <w:rsid w:val="00090678"/>
    <w:rsid w:val="00091C63"/>
    <w:rsid w:val="00094278"/>
    <w:rsid w:val="00095BAB"/>
    <w:rsid w:val="00096966"/>
    <w:rsid w:val="000976C9"/>
    <w:rsid w:val="000A6D04"/>
    <w:rsid w:val="000B2BCC"/>
    <w:rsid w:val="000B5816"/>
    <w:rsid w:val="000C07FD"/>
    <w:rsid w:val="000C6625"/>
    <w:rsid w:val="000D4EFB"/>
    <w:rsid w:val="000D73DB"/>
    <w:rsid w:val="000E34F6"/>
    <w:rsid w:val="000E7162"/>
    <w:rsid w:val="000F376A"/>
    <w:rsid w:val="000F5ECD"/>
    <w:rsid w:val="000F6208"/>
    <w:rsid w:val="000F7BD2"/>
    <w:rsid w:val="00102AE5"/>
    <w:rsid w:val="001063DF"/>
    <w:rsid w:val="0010752F"/>
    <w:rsid w:val="00110472"/>
    <w:rsid w:val="00113A59"/>
    <w:rsid w:val="00116FC5"/>
    <w:rsid w:val="001220CD"/>
    <w:rsid w:val="00123FA9"/>
    <w:rsid w:val="00127FBB"/>
    <w:rsid w:val="00133A34"/>
    <w:rsid w:val="001346C0"/>
    <w:rsid w:val="00134C65"/>
    <w:rsid w:val="00137490"/>
    <w:rsid w:val="0014056E"/>
    <w:rsid w:val="00144065"/>
    <w:rsid w:val="0014413A"/>
    <w:rsid w:val="001500C4"/>
    <w:rsid w:val="0015535A"/>
    <w:rsid w:val="001563DC"/>
    <w:rsid w:val="0015653C"/>
    <w:rsid w:val="00157D39"/>
    <w:rsid w:val="0016234B"/>
    <w:rsid w:val="00162954"/>
    <w:rsid w:val="001633E0"/>
    <w:rsid w:val="0016515F"/>
    <w:rsid w:val="00170F1E"/>
    <w:rsid w:val="0017158F"/>
    <w:rsid w:val="00172E22"/>
    <w:rsid w:val="00174620"/>
    <w:rsid w:val="00175A7E"/>
    <w:rsid w:val="00184303"/>
    <w:rsid w:val="00187564"/>
    <w:rsid w:val="00190DC5"/>
    <w:rsid w:val="00194D4A"/>
    <w:rsid w:val="00196866"/>
    <w:rsid w:val="00197012"/>
    <w:rsid w:val="001972D3"/>
    <w:rsid w:val="001A41D7"/>
    <w:rsid w:val="001B3A2B"/>
    <w:rsid w:val="001B7CA9"/>
    <w:rsid w:val="001C0FA0"/>
    <w:rsid w:val="001C1082"/>
    <w:rsid w:val="001C1444"/>
    <w:rsid w:val="001C2821"/>
    <w:rsid w:val="001C40BB"/>
    <w:rsid w:val="001C7214"/>
    <w:rsid w:val="001D1584"/>
    <w:rsid w:val="001D1D9A"/>
    <w:rsid w:val="001D27FF"/>
    <w:rsid w:val="001D3434"/>
    <w:rsid w:val="001D5E18"/>
    <w:rsid w:val="001E088A"/>
    <w:rsid w:val="001E458D"/>
    <w:rsid w:val="001E4CCC"/>
    <w:rsid w:val="001F7104"/>
    <w:rsid w:val="002030C8"/>
    <w:rsid w:val="002039F2"/>
    <w:rsid w:val="00206BA3"/>
    <w:rsid w:val="00211CB8"/>
    <w:rsid w:val="00214D80"/>
    <w:rsid w:val="002179BA"/>
    <w:rsid w:val="002220CD"/>
    <w:rsid w:val="00224B08"/>
    <w:rsid w:val="0022653B"/>
    <w:rsid w:val="00227326"/>
    <w:rsid w:val="002274A4"/>
    <w:rsid w:val="0023037B"/>
    <w:rsid w:val="002313D6"/>
    <w:rsid w:val="00232D23"/>
    <w:rsid w:val="00234765"/>
    <w:rsid w:val="0024117E"/>
    <w:rsid w:val="00241C6F"/>
    <w:rsid w:val="002420FD"/>
    <w:rsid w:val="00243F38"/>
    <w:rsid w:val="00251B3B"/>
    <w:rsid w:val="00252D9B"/>
    <w:rsid w:val="0025445E"/>
    <w:rsid w:val="002602C6"/>
    <w:rsid w:val="0026386A"/>
    <w:rsid w:val="002667ED"/>
    <w:rsid w:val="00266FF6"/>
    <w:rsid w:val="0027206E"/>
    <w:rsid w:val="002735B2"/>
    <w:rsid w:val="0027423A"/>
    <w:rsid w:val="0027583E"/>
    <w:rsid w:val="0027604D"/>
    <w:rsid w:val="0027631B"/>
    <w:rsid w:val="002772ED"/>
    <w:rsid w:val="0028266E"/>
    <w:rsid w:val="00282F89"/>
    <w:rsid w:val="00285EDD"/>
    <w:rsid w:val="002901E0"/>
    <w:rsid w:val="00290CEA"/>
    <w:rsid w:val="00290E43"/>
    <w:rsid w:val="002917E2"/>
    <w:rsid w:val="002928B6"/>
    <w:rsid w:val="00294E17"/>
    <w:rsid w:val="002A10AA"/>
    <w:rsid w:val="002A3972"/>
    <w:rsid w:val="002A418D"/>
    <w:rsid w:val="002A5FE6"/>
    <w:rsid w:val="002A71A1"/>
    <w:rsid w:val="002B0FDA"/>
    <w:rsid w:val="002B1FC1"/>
    <w:rsid w:val="002B59F8"/>
    <w:rsid w:val="002B5CBE"/>
    <w:rsid w:val="002C324A"/>
    <w:rsid w:val="002C36E2"/>
    <w:rsid w:val="002C4FD1"/>
    <w:rsid w:val="002C5BE6"/>
    <w:rsid w:val="002C7F1E"/>
    <w:rsid w:val="002D3EBB"/>
    <w:rsid w:val="002D406F"/>
    <w:rsid w:val="002E085F"/>
    <w:rsid w:val="002E5C42"/>
    <w:rsid w:val="002E7167"/>
    <w:rsid w:val="002F1EC7"/>
    <w:rsid w:val="002F4ABD"/>
    <w:rsid w:val="00300E67"/>
    <w:rsid w:val="00302899"/>
    <w:rsid w:val="00303702"/>
    <w:rsid w:val="00313BAE"/>
    <w:rsid w:val="00315265"/>
    <w:rsid w:val="003152B2"/>
    <w:rsid w:val="00316047"/>
    <w:rsid w:val="0031635B"/>
    <w:rsid w:val="00317E72"/>
    <w:rsid w:val="00317FBD"/>
    <w:rsid w:val="00322FD9"/>
    <w:rsid w:val="00323303"/>
    <w:rsid w:val="003247FC"/>
    <w:rsid w:val="00325FCD"/>
    <w:rsid w:val="0033122F"/>
    <w:rsid w:val="00332161"/>
    <w:rsid w:val="0033285C"/>
    <w:rsid w:val="0033394C"/>
    <w:rsid w:val="00334110"/>
    <w:rsid w:val="00334CA5"/>
    <w:rsid w:val="00340BC0"/>
    <w:rsid w:val="00344679"/>
    <w:rsid w:val="00345107"/>
    <w:rsid w:val="00351144"/>
    <w:rsid w:val="00352F68"/>
    <w:rsid w:val="0035360C"/>
    <w:rsid w:val="00363D2E"/>
    <w:rsid w:val="00367653"/>
    <w:rsid w:val="00367F5F"/>
    <w:rsid w:val="00370643"/>
    <w:rsid w:val="00370AAA"/>
    <w:rsid w:val="00372E03"/>
    <w:rsid w:val="00374082"/>
    <w:rsid w:val="003755D1"/>
    <w:rsid w:val="00376E5F"/>
    <w:rsid w:val="00376E8C"/>
    <w:rsid w:val="0038085A"/>
    <w:rsid w:val="00383CAC"/>
    <w:rsid w:val="00387B77"/>
    <w:rsid w:val="00394EA7"/>
    <w:rsid w:val="003A024C"/>
    <w:rsid w:val="003A0854"/>
    <w:rsid w:val="003A2269"/>
    <w:rsid w:val="003A6EA4"/>
    <w:rsid w:val="003A78E4"/>
    <w:rsid w:val="003B10E2"/>
    <w:rsid w:val="003B5AB5"/>
    <w:rsid w:val="003C36D0"/>
    <w:rsid w:val="003D1353"/>
    <w:rsid w:val="003D5932"/>
    <w:rsid w:val="003E22E0"/>
    <w:rsid w:val="003E6244"/>
    <w:rsid w:val="003F0F2E"/>
    <w:rsid w:val="003F7165"/>
    <w:rsid w:val="00405245"/>
    <w:rsid w:val="00407610"/>
    <w:rsid w:val="00411683"/>
    <w:rsid w:val="00411FCF"/>
    <w:rsid w:val="00413166"/>
    <w:rsid w:val="004163D0"/>
    <w:rsid w:val="004203B6"/>
    <w:rsid w:val="004205BA"/>
    <w:rsid w:val="00421CE7"/>
    <w:rsid w:val="004220AF"/>
    <w:rsid w:val="00423991"/>
    <w:rsid w:val="00431FE2"/>
    <w:rsid w:val="00434098"/>
    <w:rsid w:val="00434A9C"/>
    <w:rsid w:val="00435239"/>
    <w:rsid w:val="00436EC1"/>
    <w:rsid w:val="004414C5"/>
    <w:rsid w:val="00441A18"/>
    <w:rsid w:val="00442583"/>
    <w:rsid w:val="004450FA"/>
    <w:rsid w:val="00445804"/>
    <w:rsid w:val="00445E68"/>
    <w:rsid w:val="0045170C"/>
    <w:rsid w:val="00460777"/>
    <w:rsid w:val="00463755"/>
    <w:rsid w:val="004668C6"/>
    <w:rsid w:val="004720B5"/>
    <w:rsid w:val="00472851"/>
    <w:rsid w:val="0048193B"/>
    <w:rsid w:val="00485454"/>
    <w:rsid w:val="00493BE2"/>
    <w:rsid w:val="00493EE6"/>
    <w:rsid w:val="00494FB0"/>
    <w:rsid w:val="00496C09"/>
    <w:rsid w:val="0049744C"/>
    <w:rsid w:val="004A2D36"/>
    <w:rsid w:val="004A3250"/>
    <w:rsid w:val="004A35FA"/>
    <w:rsid w:val="004A4005"/>
    <w:rsid w:val="004A7664"/>
    <w:rsid w:val="004B4EDF"/>
    <w:rsid w:val="004C0063"/>
    <w:rsid w:val="004C0EAF"/>
    <w:rsid w:val="004C157E"/>
    <w:rsid w:val="004C4106"/>
    <w:rsid w:val="004C4E74"/>
    <w:rsid w:val="004C4ED3"/>
    <w:rsid w:val="004C5CA5"/>
    <w:rsid w:val="004D0B24"/>
    <w:rsid w:val="004D1F3B"/>
    <w:rsid w:val="004D25CA"/>
    <w:rsid w:val="004D2671"/>
    <w:rsid w:val="004D2A3F"/>
    <w:rsid w:val="004D3728"/>
    <w:rsid w:val="004E0017"/>
    <w:rsid w:val="004E2986"/>
    <w:rsid w:val="004E43B1"/>
    <w:rsid w:val="004F0621"/>
    <w:rsid w:val="004F076C"/>
    <w:rsid w:val="004F5D52"/>
    <w:rsid w:val="004F744E"/>
    <w:rsid w:val="00501E19"/>
    <w:rsid w:val="00503463"/>
    <w:rsid w:val="0050674B"/>
    <w:rsid w:val="00507D2F"/>
    <w:rsid w:val="00510F45"/>
    <w:rsid w:val="0051210D"/>
    <w:rsid w:val="00513DD5"/>
    <w:rsid w:val="00514C53"/>
    <w:rsid w:val="00520DB4"/>
    <w:rsid w:val="00525500"/>
    <w:rsid w:val="00526CCD"/>
    <w:rsid w:val="00527C6B"/>
    <w:rsid w:val="0053737D"/>
    <w:rsid w:val="005425EB"/>
    <w:rsid w:val="00543307"/>
    <w:rsid w:val="00546057"/>
    <w:rsid w:val="00554782"/>
    <w:rsid w:val="005554E7"/>
    <w:rsid w:val="00562801"/>
    <w:rsid w:val="0056353A"/>
    <w:rsid w:val="005649A5"/>
    <w:rsid w:val="005668EE"/>
    <w:rsid w:val="0056743F"/>
    <w:rsid w:val="005712AC"/>
    <w:rsid w:val="00580511"/>
    <w:rsid w:val="00583ECB"/>
    <w:rsid w:val="00587A22"/>
    <w:rsid w:val="00590729"/>
    <w:rsid w:val="0059207C"/>
    <w:rsid w:val="00592FFA"/>
    <w:rsid w:val="00595FF9"/>
    <w:rsid w:val="00596BA3"/>
    <w:rsid w:val="00596C07"/>
    <w:rsid w:val="005A22B7"/>
    <w:rsid w:val="005A51A2"/>
    <w:rsid w:val="005A6716"/>
    <w:rsid w:val="005A730A"/>
    <w:rsid w:val="005B1341"/>
    <w:rsid w:val="005B1B03"/>
    <w:rsid w:val="005B5859"/>
    <w:rsid w:val="005B7D8D"/>
    <w:rsid w:val="005B7F9F"/>
    <w:rsid w:val="005C7E7D"/>
    <w:rsid w:val="005D1D8A"/>
    <w:rsid w:val="005D2764"/>
    <w:rsid w:val="005D4714"/>
    <w:rsid w:val="005E2AFA"/>
    <w:rsid w:val="005E342D"/>
    <w:rsid w:val="005E6038"/>
    <w:rsid w:val="005E6218"/>
    <w:rsid w:val="005E66D8"/>
    <w:rsid w:val="005F0657"/>
    <w:rsid w:val="005F1A4C"/>
    <w:rsid w:val="005F4025"/>
    <w:rsid w:val="005F6A08"/>
    <w:rsid w:val="005F6B69"/>
    <w:rsid w:val="005F740E"/>
    <w:rsid w:val="0060032D"/>
    <w:rsid w:val="0060356D"/>
    <w:rsid w:val="00604150"/>
    <w:rsid w:val="006120FB"/>
    <w:rsid w:val="00613C59"/>
    <w:rsid w:val="00620581"/>
    <w:rsid w:val="00622184"/>
    <w:rsid w:val="00623CA4"/>
    <w:rsid w:val="00626356"/>
    <w:rsid w:val="0063130C"/>
    <w:rsid w:val="00632E9A"/>
    <w:rsid w:val="00633347"/>
    <w:rsid w:val="006412C4"/>
    <w:rsid w:val="00641FD1"/>
    <w:rsid w:val="00643830"/>
    <w:rsid w:val="00645591"/>
    <w:rsid w:val="006647DA"/>
    <w:rsid w:val="006656E1"/>
    <w:rsid w:val="00665A5D"/>
    <w:rsid w:val="00671856"/>
    <w:rsid w:val="006753A6"/>
    <w:rsid w:val="00676B14"/>
    <w:rsid w:val="00677390"/>
    <w:rsid w:val="006776C8"/>
    <w:rsid w:val="00677994"/>
    <w:rsid w:val="00680262"/>
    <w:rsid w:val="00680EB8"/>
    <w:rsid w:val="006836DE"/>
    <w:rsid w:val="00683CA8"/>
    <w:rsid w:val="00692C02"/>
    <w:rsid w:val="00693461"/>
    <w:rsid w:val="0069384D"/>
    <w:rsid w:val="0069727C"/>
    <w:rsid w:val="006976D4"/>
    <w:rsid w:val="006A3A4B"/>
    <w:rsid w:val="006A4F8B"/>
    <w:rsid w:val="006A7743"/>
    <w:rsid w:val="006B3865"/>
    <w:rsid w:val="006B3FC5"/>
    <w:rsid w:val="006C1D01"/>
    <w:rsid w:val="006C4791"/>
    <w:rsid w:val="006D20F1"/>
    <w:rsid w:val="006E0584"/>
    <w:rsid w:val="006E1592"/>
    <w:rsid w:val="006E1FDC"/>
    <w:rsid w:val="006E482B"/>
    <w:rsid w:val="006E6FC0"/>
    <w:rsid w:val="006F1495"/>
    <w:rsid w:val="006F257C"/>
    <w:rsid w:val="006F29AF"/>
    <w:rsid w:val="006F53C2"/>
    <w:rsid w:val="006F6E56"/>
    <w:rsid w:val="006F743B"/>
    <w:rsid w:val="006F75C4"/>
    <w:rsid w:val="00700C6D"/>
    <w:rsid w:val="00701FE1"/>
    <w:rsid w:val="007059DA"/>
    <w:rsid w:val="00705CB8"/>
    <w:rsid w:val="007072AD"/>
    <w:rsid w:val="00711CCB"/>
    <w:rsid w:val="00713622"/>
    <w:rsid w:val="00714B26"/>
    <w:rsid w:val="0071551B"/>
    <w:rsid w:val="007313E9"/>
    <w:rsid w:val="00741192"/>
    <w:rsid w:val="007422E5"/>
    <w:rsid w:val="0074388C"/>
    <w:rsid w:val="00745D1B"/>
    <w:rsid w:val="007474C8"/>
    <w:rsid w:val="00751008"/>
    <w:rsid w:val="00752FCF"/>
    <w:rsid w:val="007717B6"/>
    <w:rsid w:val="0077196B"/>
    <w:rsid w:val="007720B1"/>
    <w:rsid w:val="007741B6"/>
    <w:rsid w:val="007742A0"/>
    <w:rsid w:val="00786246"/>
    <w:rsid w:val="0079499E"/>
    <w:rsid w:val="00797EF8"/>
    <w:rsid w:val="007A5FCD"/>
    <w:rsid w:val="007A61E6"/>
    <w:rsid w:val="007B1DEA"/>
    <w:rsid w:val="007B5225"/>
    <w:rsid w:val="007C7756"/>
    <w:rsid w:val="007D18F6"/>
    <w:rsid w:val="007D2758"/>
    <w:rsid w:val="007D780D"/>
    <w:rsid w:val="007E0384"/>
    <w:rsid w:val="007E5896"/>
    <w:rsid w:val="007F4779"/>
    <w:rsid w:val="007F7E7C"/>
    <w:rsid w:val="00807D1C"/>
    <w:rsid w:val="00811043"/>
    <w:rsid w:val="00811635"/>
    <w:rsid w:val="00813CD6"/>
    <w:rsid w:val="00814968"/>
    <w:rsid w:val="00820949"/>
    <w:rsid w:val="00822D4A"/>
    <w:rsid w:val="00825D88"/>
    <w:rsid w:val="00826072"/>
    <w:rsid w:val="008269CF"/>
    <w:rsid w:val="0083038F"/>
    <w:rsid w:val="00830EE4"/>
    <w:rsid w:val="00833E73"/>
    <w:rsid w:val="008426E9"/>
    <w:rsid w:val="00847290"/>
    <w:rsid w:val="00850145"/>
    <w:rsid w:val="008628E0"/>
    <w:rsid w:val="00863A45"/>
    <w:rsid w:val="00865644"/>
    <w:rsid w:val="0086687D"/>
    <w:rsid w:val="008749D7"/>
    <w:rsid w:val="00875C89"/>
    <w:rsid w:val="00885B7A"/>
    <w:rsid w:val="00886D7A"/>
    <w:rsid w:val="00890DCE"/>
    <w:rsid w:val="008974DD"/>
    <w:rsid w:val="008A42CF"/>
    <w:rsid w:val="008A6E39"/>
    <w:rsid w:val="008B1F04"/>
    <w:rsid w:val="008B277D"/>
    <w:rsid w:val="008B2A42"/>
    <w:rsid w:val="008B4DC0"/>
    <w:rsid w:val="008B4F8C"/>
    <w:rsid w:val="008C053C"/>
    <w:rsid w:val="008C179C"/>
    <w:rsid w:val="008C3BC6"/>
    <w:rsid w:val="008C4130"/>
    <w:rsid w:val="008C6808"/>
    <w:rsid w:val="008D37A3"/>
    <w:rsid w:val="008D4057"/>
    <w:rsid w:val="008D480B"/>
    <w:rsid w:val="008E27D0"/>
    <w:rsid w:val="008E71B8"/>
    <w:rsid w:val="008F3951"/>
    <w:rsid w:val="008F3B8A"/>
    <w:rsid w:val="008F3B91"/>
    <w:rsid w:val="008F5145"/>
    <w:rsid w:val="00902C14"/>
    <w:rsid w:val="00902EAE"/>
    <w:rsid w:val="0090328B"/>
    <w:rsid w:val="009066E8"/>
    <w:rsid w:val="00911A8D"/>
    <w:rsid w:val="00913386"/>
    <w:rsid w:val="00915B92"/>
    <w:rsid w:val="00917769"/>
    <w:rsid w:val="00917C25"/>
    <w:rsid w:val="00921B2F"/>
    <w:rsid w:val="009232F2"/>
    <w:rsid w:val="009238D8"/>
    <w:rsid w:val="00925E8E"/>
    <w:rsid w:val="00930302"/>
    <w:rsid w:val="009335C3"/>
    <w:rsid w:val="0093446D"/>
    <w:rsid w:val="00934D1F"/>
    <w:rsid w:val="00936326"/>
    <w:rsid w:val="0094134D"/>
    <w:rsid w:val="00947BC4"/>
    <w:rsid w:val="0095105F"/>
    <w:rsid w:val="0095189E"/>
    <w:rsid w:val="00951DCE"/>
    <w:rsid w:val="00952922"/>
    <w:rsid w:val="0095629F"/>
    <w:rsid w:val="00956CFA"/>
    <w:rsid w:val="00960C31"/>
    <w:rsid w:val="009622E7"/>
    <w:rsid w:val="009654BD"/>
    <w:rsid w:val="009656C6"/>
    <w:rsid w:val="00965DAD"/>
    <w:rsid w:val="00966DF1"/>
    <w:rsid w:val="00970327"/>
    <w:rsid w:val="00971607"/>
    <w:rsid w:val="00981C7B"/>
    <w:rsid w:val="00982A17"/>
    <w:rsid w:val="0098379E"/>
    <w:rsid w:val="009843B9"/>
    <w:rsid w:val="00991B7D"/>
    <w:rsid w:val="0099214F"/>
    <w:rsid w:val="00995B08"/>
    <w:rsid w:val="009A0A5D"/>
    <w:rsid w:val="009A30AB"/>
    <w:rsid w:val="009A321E"/>
    <w:rsid w:val="009A74C6"/>
    <w:rsid w:val="009B16D4"/>
    <w:rsid w:val="009B3B9C"/>
    <w:rsid w:val="009D0CDC"/>
    <w:rsid w:val="009D2F56"/>
    <w:rsid w:val="009D4BE0"/>
    <w:rsid w:val="009D5BDA"/>
    <w:rsid w:val="009D6BC0"/>
    <w:rsid w:val="009E3DAC"/>
    <w:rsid w:val="009E4170"/>
    <w:rsid w:val="009F0DDE"/>
    <w:rsid w:val="009F2317"/>
    <w:rsid w:val="009F2D89"/>
    <w:rsid w:val="00A0031A"/>
    <w:rsid w:val="00A004B5"/>
    <w:rsid w:val="00A00C14"/>
    <w:rsid w:val="00A049AE"/>
    <w:rsid w:val="00A049D2"/>
    <w:rsid w:val="00A04D37"/>
    <w:rsid w:val="00A064C9"/>
    <w:rsid w:val="00A10645"/>
    <w:rsid w:val="00A11380"/>
    <w:rsid w:val="00A122AC"/>
    <w:rsid w:val="00A20565"/>
    <w:rsid w:val="00A2261E"/>
    <w:rsid w:val="00A23A25"/>
    <w:rsid w:val="00A23BB8"/>
    <w:rsid w:val="00A23ED8"/>
    <w:rsid w:val="00A24B5F"/>
    <w:rsid w:val="00A328DF"/>
    <w:rsid w:val="00A3370F"/>
    <w:rsid w:val="00A337D6"/>
    <w:rsid w:val="00A35338"/>
    <w:rsid w:val="00A35907"/>
    <w:rsid w:val="00A35B91"/>
    <w:rsid w:val="00A428A0"/>
    <w:rsid w:val="00A455C7"/>
    <w:rsid w:val="00A46E84"/>
    <w:rsid w:val="00A500A9"/>
    <w:rsid w:val="00A519B4"/>
    <w:rsid w:val="00A529F2"/>
    <w:rsid w:val="00A56801"/>
    <w:rsid w:val="00A6084C"/>
    <w:rsid w:val="00A63E86"/>
    <w:rsid w:val="00A65E13"/>
    <w:rsid w:val="00A67729"/>
    <w:rsid w:val="00A70403"/>
    <w:rsid w:val="00A71A9B"/>
    <w:rsid w:val="00A75147"/>
    <w:rsid w:val="00A754B2"/>
    <w:rsid w:val="00A75FF5"/>
    <w:rsid w:val="00A82C1E"/>
    <w:rsid w:val="00A8334F"/>
    <w:rsid w:val="00A84248"/>
    <w:rsid w:val="00A8480B"/>
    <w:rsid w:val="00A91F28"/>
    <w:rsid w:val="00A951E6"/>
    <w:rsid w:val="00A974D5"/>
    <w:rsid w:val="00AA085B"/>
    <w:rsid w:val="00AA2009"/>
    <w:rsid w:val="00AA2D01"/>
    <w:rsid w:val="00AA643F"/>
    <w:rsid w:val="00AB1A1C"/>
    <w:rsid w:val="00AB56C6"/>
    <w:rsid w:val="00AB6932"/>
    <w:rsid w:val="00AC01C3"/>
    <w:rsid w:val="00AC291B"/>
    <w:rsid w:val="00AC30F8"/>
    <w:rsid w:val="00AC6A4C"/>
    <w:rsid w:val="00AD2453"/>
    <w:rsid w:val="00AD3ADD"/>
    <w:rsid w:val="00AD4741"/>
    <w:rsid w:val="00AD6426"/>
    <w:rsid w:val="00AE198E"/>
    <w:rsid w:val="00AE5338"/>
    <w:rsid w:val="00AE799E"/>
    <w:rsid w:val="00B01FF9"/>
    <w:rsid w:val="00B04FDF"/>
    <w:rsid w:val="00B06C10"/>
    <w:rsid w:val="00B1390B"/>
    <w:rsid w:val="00B171BD"/>
    <w:rsid w:val="00B173C7"/>
    <w:rsid w:val="00B21A76"/>
    <w:rsid w:val="00B2290E"/>
    <w:rsid w:val="00B22B94"/>
    <w:rsid w:val="00B243D5"/>
    <w:rsid w:val="00B2648C"/>
    <w:rsid w:val="00B30ECA"/>
    <w:rsid w:val="00B3634B"/>
    <w:rsid w:val="00B44FD0"/>
    <w:rsid w:val="00B52A02"/>
    <w:rsid w:val="00B5397B"/>
    <w:rsid w:val="00B56F3C"/>
    <w:rsid w:val="00B579FF"/>
    <w:rsid w:val="00B57E48"/>
    <w:rsid w:val="00B666DE"/>
    <w:rsid w:val="00B7176C"/>
    <w:rsid w:val="00B72BDB"/>
    <w:rsid w:val="00B74107"/>
    <w:rsid w:val="00B75096"/>
    <w:rsid w:val="00B776D3"/>
    <w:rsid w:val="00B81161"/>
    <w:rsid w:val="00B81AA7"/>
    <w:rsid w:val="00B82396"/>
    <w:rsid w:val="00B8386A"/>
    <w:rsid w:val="00B8753E"/>
    <w:rsid w:val="00B87774"/>
    <w:rsid w:val="00B91E8E"/>
    <w:rsid w:val="00B94053"/>
    <w:rsid w:val="00BA2D2B"/>
    <w:rsid w:val="00BA68A4"/>
    <w:rsid w:val="00BA74B3"/>
    <w:rsid w:val="00BB16E5"/>
    <w:rsid w:val="00BB1EE2"/>
    <w:rsid w:val="00BB3020"/>
    <w:rsid w:val="00BC03B8"/>
    <w:rsid w:val="00BC1D40"/>
    <w:rsid w:val="00BC26A6"/>
    <w:rsid w:val="00BE19FF"/>
    <w:rsid w:val="00BE1C3E"/>
    <w:rsid w:val="00BE1EC0"/>
    <w:rsid w:val="00BE2F60"/>
    <w:rsid w:val="00BF4741"/>
    <w:rsid w:val="00BF70B8"/>
    <w:rsid w:val="00C00A66"/>
    <w:rsid w:val="00C020E1"/>
    <w:rsid w:val="00C112C3"/>
    <w:rsid w:val="00C13635"/>
    <w:rsid w:val="00C13FA2"/>
    <w:rsid w:val="00C215DC"/>
    <w:rsid w:val="00C21E63"/>
    <w:rsid w:val="00C23F0F"/>
    <w:rsid w:val="00C25F45"/>
    <w:rsid w:val="00C30F7D"/>
    <w:rsid w:val="00C40B39"/>
    <w:rsid w:val="00C57057"/>
    <w:rsid w:val="00C57888"/>
    <w:rsid w:val="00C635C1"/>
    <w:rsid w:val="00C64CEB"/>
    <w:rsid w:val="00C65325"/>
    <w:rsid w:val="00C65C36"/>
    <w:rsid w:val="00C66988"/>
    <w:rsid w:val="00C67489"/>
    <w:rsid w:val="00C67CC5"/>
    <w:rsid w:val="00C744DF"/>
    <w:rsid w:val="00C75550"/>
    <w:rsid w:val="00C7741D"/>
    <w:rsid w:val="00C90AA4"/>
    <w:rsid w:val="00C93F42"/>
    <w:rsid w:val="00C956CC"/>
    <w:rsid w:val="00C96B0D"/>
    <w:rsid w:val="00C97FEE"/>
    <w:rsid w:val="00CA5F66"/>
    <w:rsid w:val="00CA6D08"/>
    <w:rsid w:val="00CB39E3"/>
    <w:rsid w:val="00CB4DB8"/>
    <w:rsid w:val="00CB6D0F"/>
    <w:rsid w:val="00CC0CA6"/>
    <w:rsid w:val="00CC498C"/>
    <w:rsid w:val="00CC535F"/>
    <w:rsid w:val="00CD3B5C"/>
    <w:rsid w:val="00CD3CFE"/>
    <w:rsid w:val="00CE016F"/>
    <w:rsid w:val="00CE10D5"/>
    <w:rsid w:val="00CE6792"/>
    <w:rsid w:val="00CE7B63"/>
    <w:rsid w:val="00CF2018"/>
    <w:rsid w:val="00CF4653"/>
    <w:rsid w:val="00D03750"/>
    <w:rsid w:val="00D04EAC"/>
    <w:rsid w:val="00D066F0"/>
    <w:rsid w:val="00D07AE3"/>
    <w:rsid w:val="00D10C0B"/>
    <w:rsid w:val="00D15E3A"/>
    <w:rsid w:val="00D23BE6"/>
    <w:rsid w:val="00D24E1C"/>
    <w:rsid w:val="00D2521F"/>
    <w:rsid w:val="00D316F3"/>
    <w:rsid w:val="00D33E58"/>
    <w:rsid w:val="00D35326"/>
    <w:rsid w:val="00D3615E"/>
    <w:rsid w:val="00D40A04"/>
    <w:rsid w:val="00D40A20"/>
    <w:rsid w:val="00D43147"/>
    <w:rsid w:val="00D4383C"/>
    <w:rsid w:val="00D4515A"/>
    <w:rsid w:val="00D46D10"/>
    <w:rsid w:val="00D46FD1"/>
    <w:rsid w:val="00D5151E"/>
    <w:rsid w:val="00D54A4C"/>
    <w:rsid w:val="00D63315"/>
    <w:rsid w:val="00D66B58"/>
    <w:rsid w:val="00D672CA"/>
    <w:rsid w:val="00D72D55"/>
    <w:rsid w:val="00D73945"/>
    <w:rsid w:val="00D75446"/>
    <w:rsid w:val="00D754E1"/>
    <w:rsid w:val="00D75A89"/>
    <w:rsid w:val="00D76079"/>
    <w:rsid w:val="00D77028"/>
    <w:rsid w:val="00D910AD"/>
    <w:rsid w:val="00D912B7"/>
    <w:rsid w:val="00D92407"/>
    <w:rsid w:val="00D93BE4"/>
    <w:rsid w:val="00D94134"/>
    <w:rsid w:val="00D94432"/>
    <w:rsid w:val="00D94B74"/>
    <w:rsid w:val="00D94DC8"/>
    <w:rsid w:val="00D95738"/>
    <w:rsid w:val="00D95BC5"/>
    <w:rsid w:val="00D967B9"/>
    <w:rsid w:val="00DA0DB4"/>
    <w:rsid w:val="00DA2290"/>
    <w:rsid w:val="00DA4958"/>
    <w:rsid w:val="00DB13F0"/>
    <w:rsid w:val="00DB1C82"/>
    <w:rsid w:val="00DB1F03"/>
    <w:rsid w:val="00DB78AF"/>
    <w:rsid w:val="00DC3F5D"/>
    <w:rsid w:val="00DC4697"/>
    <w:rsid w:val="00DC4EA7"/>
    <w:rsid w:val="00DD0CB4"/>
    <w:rsid w:val="00DD2946"/>
    <w:rsid w:val="00DD627F"/>
    <w:rsid w:val="00DD68B3"/>
    <w:rsid w:val="00DE085E"/>
    <w:rsid w:val="00DE40EC"/>
    <w:rsid w:val="00DE4E44"/>
    <w:rsid w:val="00DE5A52"/>
    <w:rsid w:val="00DF2B26"/>
    <w:rsid w:val="00DF49B7"/>
    <w:rsid w:val="00DF503C"/>
    <w:rsid w:val="00E04567"/>
    <w:rsid w:val="00E12615"/>
    <w:rsid w:val="00E157FE"/>
    <w:rsid w:val="00E15ED1"/>
    <w:rsid w:val="00E16089"/>
    <w:rsid w:val="00E173AD"/>
    <w:rsid w:val="00E2052E"/>
    <w:rsid w:val="00E257C7"/>
    <w:rsid w:val="00E27DD5"/>
    <w:rsid w:val="00E31D8F"/>
    <w:rsid w:val="00E31EA5"/>
    <w:rsid w:val="00E32CB1"/>
    <w:rsid w:val="00E41DAE"/>
    <w:rsid w:val="00E5076F"/>
    <w:rsid w:val="00E51F6A"/>
    <w:rsid w:val="00E604A2"/>
    <w:rsid w:val="00E60E60"/>
    <w:rsid w:val="00E61EB5"/>
    <w:rsid w:val="00E63FC1"/>
    <w:rsid w:val="00E66382"/>
    <w:rsid w:val="00E70FA7"/>
    <w:rsid w:val="00E727E9"/>
    <w:rsid w:val="00E76CE4"/>
    <w:rsid w:val="00E811FA"/>
    <w:rsid w:val="00E81F25"/>
    <w:rsid w:val="00E85BE2"/>
    <w:rsid w:val="00E900F9"/>
    <w:rsid w:val="00E9073B"/>
    <w:rsid w:val="00E940AC"/>
    <w:rsid w:val="00EA0304"/>
    <w:rsid w:val="00EA0D5D"/>
    <w:rsid w:val="00EA24D6"/>
    <w:rsid w:val="00EA377B"/>
    <w:rsid w:val="00EA4FA0"/>
    <w:rsid w:val="00EA5597"/>
    <w:rsid w:val="00EB08FA"/>
    <w:rsid w:val="00EB303C"/>
    <w:rsid w:val="00EB4DE1"/>
    <w:rsid w:val="00EB63C3"/>
    <w:rsid w:val="00EB65D5"/>
    <w:rsid w:val="00EC3D51"/>
    <w:rsid w:val="00EC5514"/>
    <w:rsid w:val="00EC5EBE"/>
    <w:rsid w:val="00EC7300"/>
    <w:rsid w:val="00ED07FC"/>
    <w:rsid w:val="00ED167E"/>
    <w:rsid w:val="00ED2AAB"/>
    <w:rsid w:val="00ED3B2F"/>
    <w:rsid w:val="00ED3BA6"/>
    <w:rsid w:val="00EE1F35"/>
    <w:rsid w:val="00EE30AD"/>
    <w:rsid w:val="00EE5ACF"/>
    <w:rsid w:val="00EE6925"/>
    <w:rsid w:val="00EF180B"/>
    <w:rsid w:val="00EF2FB3"/>
    <w:rsid w:val="00EF4033"/>
    <w:rsid w:val="00EF454B"/>
    <w:rsid w:val="00EF7B9A"/>
    <w:rsid w:val="00F0146B"/>
    <w:rsid w:val="00F01641"/>
    <w:rsid w:val="00F07441"/>
    <w:rsid w:val="00F109EE"/>
    <w:rsid w:val="00F12649"/>
    <w:rsid w:val="00F13319"/>
    <w:rsid w:val="00F224C2"/>
    <w:rsid w:val="00F2270B"/>
    <w:rsid w:val="00F24760"/>
    <w:rsid w:val="00F261C7"/>
    <w:rsid w:val="00F27866"/>
    <w:rsid w:val="00F3169F"/>
    <w:rsid w:val="00F379CA"/>
    <w:rsid w:val="00F469BE"/>
    <w:rsid w:val="00F50207"/>
    <w:rsid w:val="00F50F08"/>
    <w:rsid w:val="00F525AE"/>
    <w:rsid w:val="00F526B1"/>
    <w:rsid w:val="00F5641D"/>
    <w:rsid w:val="00F57241"/>
    <w:rsid w:val="00F6098C"/>
    <w:rsid w:val="00F60BCC"/>
    <w:rsid w:val="00F615C5"/>
    <w:rsid w:val="00F70B05"/>
    <w:rsid w:val="00F7153F"/>
    <w:rsid w:val="00F80AD3"/>
    <w:rsid w:val="00F82085"/>
    <w:rsid w:val="00F83AD6"/>
    <w:rsid w:val="00F83FCC"/>
    <w:rsid w:val="00F8526A"/>
    <w:rsid w:val="00F86725"/>
    <w:rsid w:val="00F86895"/>
    <w:rsid w:val="00F87821"/>
    <w:rsid w:val="00F90053"/>
    <w:rsid w:val="00F91845"/>
    <w:rsid w:val="00F957AC"/>
    <w:rsid w:val="00F970E0"/>
    <w:rsid w:val="00F979C9"/>
    <w:rsid w:val="00F97CE5"/>
    <w:rsid w:val="00FA259C"/>
    <w:rsid w:val="00FA2A85"/>
    <w:rsid w:val="00FA3F79"/>
    <w:rsid w:val="00FB04B7"/>
    <w:rsid w:val="00FB2BF8"/>
    <w:rsid w:val="00FB3AA4"/>
    <w:rsid w:val="00FB594F"/>
    <w:rsid w:val="00FB7B2C"/>
    <w:rsid w:val="00FB7B2E"/>
    <w:rsid w:val="00FC1430"/>
    <w:rsid w:val="00FC3512"/>
    <w:rsid w:val="00FD02F4"/>
    <w:rsid w:val="00FD0374"/>
    <w:rsid w:val="00FE7C94"/>
    <w:rsid w:val="00FF1147"/>
    <w:rsid w:val="00FF17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3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17E2"/>
    <w:pPr>
      <w:spacing w:after="0" w:line="240" w:lineRule="auto"/>
    </w:pPr>
    <w:rPr>
      <w:rFonts w:ascii="Arial" w:hAnsi="Arial"/>
    </w:rPr>
  </w:style>
  <w:style w:type="paragraph" w:styleId="Heading1">
    <w:name w:val="heading 1"/>
    <w:basedOn w:val="NoSpacing"/>
    <w:next w:val="Normal"/>
    <w:link w:val="Heading1Char"/>
    <w:uiPriority w:val="9"/>
    <w:qFormat/>
    <w:rsid w:val="00C635C1"/>
    <w:pPr>
      <w:outlineLvl w:val="0"/>
    </w:pPr>
  </w:style>
  <w:style w:type="paragraph" w:styleId="Heading2">
    <w:name w:val="heading 2"/>
    <w:basedOn w:val="ListParagraph"/>
    <w:next w:val="Normal"/>
    <w:link w:val="Heading2Char"/>
    <w:uiPriority w:val="9"/>
    <w:unhideWhenUsed/>
    <w:qFormat/>
    <w:rsid w:val="00C635C1"/>
    <w:pPr>
      <w:numPr>
        <w:numId w:val="27"/>
      </w:numPr>
      <w:outlineLvl w:val="1"/>
    </w:pPr>
    <w:rPr>
      <w:b/>
    </w:rPr>
  </w:style>
  <w:style w:type="paragraph" w:styleId="Heading3">
    <w:name w:val="heading 3"/>
    <w:basedOn w:val="ListParagraph"/>
    <w:next w:val="Normal"/>
    <w:link w:val="Heading3Char"/>
    <w:uiPriority w:val="9"/>
    <w:unhideWhenUsed/>
    <w:qFormat/>
    <w:rsid w:val="00A2261E"/>
    <w:pPr>
      <w:numPr>
        <w:numId w:val="42"/>
      </w:numPr>
      <w:outlineLvl w:val="2"/>
    </w:pPr>
    <w:rPr>
      <w:b/>
    </w:rPr>
  </w:style>
  <w:style w:type="paragraph" w:styleId="Heading4">
    <w:name w:val="heading 4"/>
    <w:basedOn w:val="Normal"/>
    <w:next w:val="Normal"/>
    <w:link w:val="Heading4Char"/>
    <w:uiPriority w:val="9"/>
    <w:unhideWhenUsed/>
    <w:qFormat/>
    <w:rsid w:val="002917E2"/>
    <w:pPr>
      <w:keepNext/>
      <w:keepLines/>
      <w:ind w:left="720"/>
      <w:outlineLvl w:val="3"/>
    </w:pPr>
    <w:rPr>
      <w:rFonts w:eastAsiaTheme="majorEastAsia" w:cstheme="majorBidi"/>
      <w:b/>
      <w:bCs/>
      <w:iCs/>
      <w:color w:val="4F81BD" w:themeColor="accent1"/>
      <w:u w:val="single"/>
    </w:rPr>
  </w:style>
  <w:style w:type="paragraph" w:styleId="Heading5">
    <w:name w:val="heading 5"/>
    <w:basedOn w:val="Normal"/>
    <w:next w:val="Normal"/>
    <w:link w:val="Heading5Char"/>
    <w:uiPriority w:val="9"/>
    <w:unhideWhenUsed/>
    <w:qFormat/>
    <w:rsid w:val="00CC53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4F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5C1"/>
    <w:rPr>
      <w:rFonts w:ascii="Arial" w:hAnsi="Arial"/>
      <w:b/>
    </w:rPr>
  </w:style>
  <w:style w:type="character" w:customStyle="1" w:styleId="Heading1Char">
    <w:name w:val="Heading 1 Char"/>
    <w:basedOn w:val="DefaultParagraphFont"/>
    <w:link w:val="Heading1"/>
    <w:uiPriority w:val="9"/>
    <w:rsid w:val="00C635C1"/>
    <w:rPr>
      <w:rFonts w:ascii="Arial" w:hAnsi="Arial" w:cs="Arial"/>
      <w:b/>
    </w:rPr>
  </w:style>
  <w:style w:type="character" w:customStyle="1" w:styleId="Heading3Char">
    <w:name w:val="Heading 3 Char"/>
    <w:basedOn w:val="DefaultParagraphFont"/>
    <w:link w:val="Heading3"/>
    <w:uiPriority w:val="9"/>
    <w:rsid w:val="00A2261E"/>
    <w:rPr>
      <w:rFonts w:ascii="Arial" w:hAnsi="Arial"/>
      <w:b/>
    </w:rPr>
  </w:style>
  <w:style w:type="character" w:customStyle="1" w:styleId="Heading4Char">
    <w:name w:val="Heading 4 Char"/>
    <w:basedOn w:val="DefaultParagraphFont"/>
    <w:link w:val="Heading4"/>
    <w:uiPriority w:val="9"/>
    <w:rsid w:val="002917E2"/>
    <w:rPr>
      <w:rFonts w:ascii="Arial" w:eastAsiaTheme="majorEastAsia" w:hAnsi="Arial" w:cstheme="majorBidi"/>
      <w:b/>
      <w:bCs/>
      <w:iCs/>
      <w:color w:val="4F81BD" w:themeColor="accent1"/>
      <w:u w:val="single"/>
    </w:rPr>
  </w:style>
  <w:style w:type="paragraph" w:styleId="Title">
    <w:name w:val="Title"/>
    <w:basedOn w:val="Normal"/>
    <w:next w:val="Normal"/>
    <w:link w:val="TitleChar"/>
    <w:uiPriority w:val="10"/>
    <w:qFormat/>
    <w:rsid w:val="0004634F"/>
    <w:pPr>
      <w:spacing w:after="300"/>
      <w:contextualSpacing/>
      <w:jc w:val="center"/>
    </w:pPr>
    <w:rPr>
      <w:rFonts w:asciiTheme="minorHAnsi" w:eastAsiaTheme="majorEastAsia" w:hAnsiTheme="minorHAnsi" w:cstheme="majorBidi"/>
      <w:b/>
      <w:caps/>
      <w:color w:val="17365D" w:themeColor="text2" w:themeShade="BF"/>
      <w:spacing w:val="5"/>
      <w:kern w:val="28"/>
      <w:sz w:val="28"/>
      <w:szCs w:val="52"/>
    </w:rPr>
  </w:style>
  <w:style w:type="character" w:customStyle="1" w:styleId="TitleChar">
    <w:name w:val="Title Char"/>
    <w:basedOn w:val="DefaultParagraphFont"/>
    <w:link w:val="Title"/>
    <w:uiPriority w:val="10"/>
    <w:rsid w:val="0004634F"/>
    <w:rPr>
      <w:rFonts w:eastAsiaTheme="majorEastAsia" w:cstheme="majorBidi"/>
      <w:b/>
      <w:caps/>
      <w:color w:val="17365D" w:themeColor="text2" w:themeShade="BF"/>
      <w:spacing w:val="5"/>
      <w:kern w:val="28"/>
      <w:sz w:val="28"/>
      <w:szCs w:val="52"/>
    </w:rPr>
  </w:style>
  <w:style w:type="paragraph" w:styleId="NoSpacing">
    <w:name w:val="No Spacing"/>
    <w:aliases w:val="Head 1"/>
    <w:autoRedefine/>
    <w:uiPriority w:val="1"/>
    <w:qFormat/>
    <w:rsid w:val="002C7F1E"/>
    <w:pPr>
      <w:numPr>
        <w:numId w:val="26"/>
      </w:numPr>
      <w:spacing w:after="0" w:line="240" w:lineRule="auto"/>
    </w:pPr>
    <w:rPr>
      <w:rFonts w:ascii="Arial" w:hAnsi="Arial" w:cs="Arial"/>
      <w:b/>
    </w:rPr>
  </w:style>
  <w:style w:type="paragraph" w:styleId="ListParagraph">
    <w:name w:val="List Paragraph"/>
    <w:basedOn w:val="Normal"/>
    <w:uiPriority w:val="34"/>
    <w:qFormat/>
    <w:rsid w:val="004C0063"/>
    <w:pPr>
      <w:ind w:left="720"/>
      <w:contextualSpacing/>
    </w:pPr>
  </w:style>
  <w:style w:type="character" w:customStyle="1" w:styleId="Heading5Char">
    <w:name w:val="Heading 5 Char"/>
    <w:basedOn w:val="DefaultParagraphFont"/>
    <w:link w:val="Heading5"/>
    <w:uiPriority w:val="9"/>
    <w:rsid w:val="00CC535F"/>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unhideWhenUsed/>
    <w:rsid w:val="00952922"/>
    <w:rPr>
      <w:sz w:val="20"/>
      <w:szCs w:val="20"/>
    </w:rPr>
  </w:style>
  <w:style w:type="character" w:customStyle="1" w:styleId="FootnoteTextChar">
    <w:name w:val="Footnote Text Char"/>
    <w:basedOn w:val="DefaultParagraphFont"/>
    <w:link w:val="FootnoteText"/>
    <w:uiPriority w:val="99"/>
    <w:rsid w:val="00952922"/>
    <w:rPr>
      <w:rFonts w:ascii="Arial" w:hAnsi="Arial"/>
      <w:sz w:val="20"/>
      <w:szCs w:val="20"/>
    </w:rPr>
  </w:style>
  <w:style w:type="character" w:styleId="FootnoteReference">
    <w:name w:val="footnote reference"/>
    <w:basedOn w:val="DefaultParagraphFont"/>
    <w:uiPriority w:val="99"/>
    <w:semiHidden/>
    <w:unhideWhenUsed/>
    <w:rsid w:val="00952922"/>
    <w:rPr>
      <w:vertAlign w:val="superscript"/>
    </w:rPr>
  </w:style>
  <w:style w:type="paragraph" w:customStyle="1" w:styleId="ablock1">
    <w:name w:val="ablock1"/>
    <w:basedOn w:val="Normal"/>
    <w:rsid w:val="006B3FC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2A3F"/>
    <w:rPr>
      <w:rFonts w:ascii="Tahoma" w:hAnsi="Tahoma" w:cs="Tahoma"/>
      <w:sz w:val="16"/>
      <w:szCs w:val="16"/>
    </w:rPr>
  </w:style>
  <w:style w:type="character" w:customStyle="1" w:styleId="BalloonTextChar">
    <w:name w:val="Balloon Text Char"/>
    <w:basedOn w:val="DefaultParagraphFont"/>
    <w:link w:val="BalloonText"/>
    <w:uiPriority w:val="99"/>
    <w:semiHidden/>
    <w:rsid w:val="004D2A3F"/>
    <w:rPr>
      <w:rFonts w:ascii="Tahoma" w:hAnsi="Tahoma" w:cs="Tahoma"/>
      <w:sz w:val="16"/>
      <w:szCs w:val="16"/>
    </w:rPr>
  </w:style>
  <w:style w:type="character" w:styleId="Hyperlink">
    <w:name w:val="Hyperlink"/>
    <w:basedOn w:val="DefaultParagraphFont"/>
    <w:uiPriority w:val="99"/>
    <w:unhideWhenUsed/>
    <w:rsid w:val="00CE6792"/>
    <w:rPr>
      <w:color w:val="0000FF" w:themeColor="hyperlink"/>
      <w:u w:val="single"/>
    </w:rPr>
  </w:style>
  <w:style w:type="character" w:customStyle="1" w:styleId="Heading6Char">
    <w:name w:val="Heading 6 Char"/>
    <w:basedOn w:val="DefaultParagraphFont"/>
    <w:link w:val="Heading6"/>
    <w:uiPriority w:val="9"/>
    <w:rsid w:val="00494FB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A951E6"/>
    <w:pPr>
      <w:tabs>
        <w:tab w:val="center" w:pos="4680"/>
        <w:tab w:val="right" w:pos="9360"/>
      </w:tabs>
    </w:pPr>
  </w:style>
  <w:style w:type="character" w:customStyle="1" w:styleId="HeaderChar">
    <w:name w:val="Header Char"/>
    <w:basedOn w:val="DefaultParagraphFont"/>
    <w:link w:val="Header"/>
    <w:uiPriority w:val="99"/>
    <w:rsid w:val="00A951E6"/>
    <w:rPr>
      <w:rFonts w:ascii="Arial" w:hAnsi="Arial"/>
    </w:rPr>
  </w:style>
  <w:style w:type="paragraph" w:styleId="Footer">
    <w:name w:val="footer"/>
    <w:basedOn w:val="Normal"/>
    <w:link w:val="FooterChar"/>
    <w:uiPriority w:val="99"/>
    <w:unhideWhenUsed/>
    <w:rsid w:val="00A951E6"/>
    <w:pPr>
      <w:tabs>
        <w:tab w:val="center" w:pos="4680"/>
        <w:tab w:val="right" w:pos="9360"/>
      </w:tabs>
    </w:pPr>
  </w:style>
  <w:style w:type="character" w:customStyle="1" w:styleId="FooterChar">
    <w:name w:val="Footer Char"/>
    <w:basedOn w:val="DefaultParagraphFont"/>
    <w:link w:val="Footer"/>
    <w:uiPriority w:val="99"/>
    <w:rsid w:val="00A951E6"/>
    <w:rPr>
      <w:rFonts w:ascii="Arial" w:hAnsi="Arial"/>
    </w:rPr>
  </w:style>
  <w:style w:type="character" w:styleId="FollowedHyperlink">
    <w:name w:val="FollowedHyperlink"/>
    <w:basedOn w:val="DefaultParagraphFont"/>
    <w:uiPriority w:val="99"/>
    <w:semiHidden/>
    <w:unhideWhenUsed/>
    <w:rsid w:val="002A418D"/>
    <w:rPr>
      <w:color w:val="800080" w:themeColor="followedHyperlink"/>
      <w:u w:val="single"/>
    </w:rPr>
  </w:style>
  <w:style w:type="character" w:styleId="CommentReference">
    <w:name w:val="annotation reference"/>
    <w:basedOn w:val="DefaultParagraphFont"/>
    <w:uiPriority w:val="99"/>
    <w:semiHidden/>
    <w:unhideWhenUsed/>
    <w:rsid w:val="007C7756"/>
    <w:rPr>
      <w:sz w:val="16"/>
      <w:szCs w:val="16"/>
    </w:rPr>
  </w:style>
  <w:style w:type="paragraph" w:styleId="CommentText">
    <w:name w:val="annotation text"/>
    <w:basedOn w:val="Normal"/>
    <w:link w:val="CommentTextChar"/>
    <w:uiPriority w:val="99"/>
    <w:unhideWhenUsed/>
    <w:rsid w:val="007C7756"/>
    <w:rPr>
      <w:sz w:val="20"/>
      <w:szCs w:val="20"/>
    </w:rPr>
  </w:style>
  <w:style w:type="character" w:customStyle="1" w:styleId="CommentTextChar">
    <w:name w:val="Comment Text Char"/>
    <w:basedOn w:val="DefaultParagraphFont"/>
    <w:link w:val="CommentText"/>
    <w:uiPriority w:val="99"/>
    <w:rsid w:val="007C77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C7756"/>
    <w:rPr>
      <w:b/>
      <w:bCs/>
    </w:rPr>
  </w:style>
  <w:style w:type="character" w:customStyle="1" w:styleId="CommentSubjectChar">
    <w:name w:val="Comment Subject Char"/>
    <w:basedOn w:val="CommentTextChar"/>
    <w:link w:val="CommentSubject"/>
    <w:uiPriority w:val="99"/>
    <w:semiHidden/>
    <w:rsid w:val="007C7756"/>
    <w:rPr>
      <w:rFonts w:ascii="Arial" w:hAnsi="Arial"/>
      <w:b/>
      <w:bCs/>
      <w:sz w:val="20"/>
      <w:szCs w:val="20"/>
    </w:rPr>
  </w:style>
  <w:style w:type="character" w:styleId="Emphasis">
    <w:name w:val="Emphasis"/>
    <w:basedOn w:val="DefaultParagraphFont"/>
    <w:uiPriority w:val="20"/>
    <w:qFormat/>
    <w:rsid w:val="005425EB"/>
    <w:rPr>
      <w:i/>
      <w:iCs/>
    </w:rPr>
  </w:style>
  <w:style w:type="paragraph" w:styleId="Revision">
    <w:name w:val="Revision"/>
    <w:hidden/>
    <w:uiPriority w:val="99"/>
    <w:semiHidden/>
    <w:rsid w:val="00714B26"/>
    <w:pPr>
      <w:spacing w:after="0" w:line="240" w:lineRule="auto"/>
    </w:pPr>
    <w:rPr>
      <w:rFonts w:ascii="Arial" w:hAnsi="Arial"/>
    </w:rPr>
  </w:style>
  <w:style w:type="paragraph" w:styleId="TOCHeading">
    <w:name w:val="TOC Heading"/>
    <w:basedOn w:val="Heading1"/>
    <w:next w:val="Normal"/>
    <w:uiPriority w:val="39"/>
    <w:semiHidden/>
    <w:unhideWhenUsed/>
    <w:qFormat/>
    <w:rsid w:val="002C7F1E"/>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AA085B"/>
  </w:style>
  <w:style w:type="paragraph" w:styleId="TOC3">
    <w:name w:val="toc 3"/>
    <w:basedOn w:val="Normal"/>
    <w:next w:val="Normal"/>
    <w:autoRedefine/>
    <w:uiPriority w:val="39"/>
    <w:unhideWhenUsed/>
    <w:rsid w:val="00AA085B"/>
    <w:pPr>
      <w:tabs>
        <w:tab w:val="left" w:pos="880"/>
        <w:tab w:val="right" w:leader="dot" w:pos="9350"/>
      </w:tabs>
      <w:ind w:left="1440"/>
    </w:pPr>
  </w:style>
  <w:style w:type="paragraph" w:styleId="TOC2">
    <w:name w:val="toc 2"/>
    <w:basedOn w:val="Normal"/>
    <w:next w:val="Normal"/>
    <w:autoRedefine/>
    <w:uiPriority w:val="39"/>
    <w:unhideWhenUsed/>
    <w:rsid w:val="00AA085B"/>
    <w:pPr>
      <w:tabs>
        <w:tab w:val="left" w:pos="880"/>
        <w:tab w:val="right" w:leader="dot" w:pos="9350"/>
      </w:tab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6477">
      <w:bodyDiv w:val="1"/>
      <w:marLeft w:val="0"/>
      <w:marRight w:val="0"/>
      <w:marTop w:val="0"/>
      <w:marBottom w:val="0"/>
      <w:divBdr>
        <w:top w:val="none" w:sz="0" w:space="0" w:color="auto"/>
        <w:left w:val="none" w:sz="0" w:space="0" w:color="auto"/>
        <w:bottom w:val="none" w:sz="0" w:space="0" w:color="auto"/>
        <w:right w:val="none" w:sz="0" w:space="0" w:color="auto"/>
      </w:divBdr>
      <w:divsChild>
        <w:div w:id="696663565">
          <w:marLeft w:val="0"/>
          <w:marRight w:val="0"/>
          <w:marTop w:val="0"/>
          <w:marBottom w:val="0"/>
          <w:divBdr>
            <w:top w:val="none" w:sz="0" w:space="0" w:color="auto"/>
            <w:left w:val="none" w:sz="0" w:space="0" w:color="auto"/>
            <w:bottom w:val="none" w:sz="0" w:space="0" w:color="auto"/>
            <w:right w:val="none" w:sz="0" w:space="0" w:color="auto"/>
          </w:divBdr>
          <w:divsChild>
            <w:div w:id="6393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1572">
      <w:bodyDiv w:val="1"/>
      <w:marLeft w:val="0"/>
      <w:marRight w:val="0"/>
      <w:marTop w:val="0"/>
      <w:marBottom w:val="0"/>
      <w:divBdr>
        <w:top w:val="none" w:sz="0" w:space="0" w:color="auto"/>
        <w:left w:val="none" w:sz="0" w:space="0" w:color="auto"/>
        <w:bottom w:val="none" w:sz="0" w:space="0" w:color="auto"/>
        <w:right w:val="none" w:sz="0" w:space="0" w:color="auto"/>
      </w:divBdr>
      <w:divsChild>
        <w:div w:id="329984186">
          <w:marLeft w:val="0"/>
          <w:marRight w:val="0"/>
          <w:marTop w:val="0"/>
          <w:marBottom w:val="0"/>
          <w:divBdr>
            <w:top w:val="none" w:sz="0" w:space="0" w:color="auto"/>
            <w:left w:val="none" w:sz="0" w:space="0" w:color="auto"/>
            <w:bottom w:val="none" w:sz="0" w:space="0" w:color="auto"/>
            <w:right w:val="none" w:sz="0" w:space="0" w:color="auto"/>
          </w:divBdr>
          <w:divsChild>
            <w:div w:id="16904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0190">
      <w:bodyDiv w:val="1"/>
      <w:marLeft w:val="0"/>
      <w:marRight w:val="0"/>
      <w:marTop w:val="0"/>
      <w:marBottom w:val="0"/>
      <w:divBdr>
        <w:top w:val="none" w:sz="0" w:space="0" w:color="auto"/>
        <w:left w:val="none" w:sz="0" w:space="0" w:color="auto"/>
        <w:bottom w:val="none" w:sz="0" w:space="0" w:color="auto"/>
        <w:right w:val="none" w:sz="0" w:space="0" w:color="auto"/>
      </w:divBdr>
      <w:divsChild>
        <w:div w:id="1752701837">
          <w:marLeft w:val="0"/>
          <w:marRight w:val="0"/>
          <w:marTop w:val="0"/>
          <w:marBottom w:val="0"/>
          <w:divBdr>
            <w:top w:val="none" w:sz="0" w:space="0" w:color="auto"/>
            <w:left w:val="none" w:sz="0" w:space="0" w:color="auto"/>
            <w:bottom w:val="none" w:sz="0" w:space="0" w:color="auto"/>
            <w:right w:val="none" w:sz="0" w:space="0" w:color="auto"/>
          </w:divBdr>
          <w:divsChild>
            <w:div w:id="924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9716">
      <w:bodyDiv w:val="1"/>
      <w:marLeft w:val="0"/>
      <w:marRight w:val="0"/>
      <w:marTop w:val="0"/>
      <w:marBottom w:val="0"/>
      <w:divBdr>
        <w:top w:val="none" w:sz="0" w:space="0" w:color="auto"/>
        <w:left w:val="none" w:sz="0" w:space="0" w:color="auto"/>
        <w:bottom w:val="none" w:sz="0" w:space="0" w:color="auto"/>
        <w:right w:val="none" w:sz="0" w:space="0" w:color="auto"/>
      </w:divBdr>
      <w:divsChild>
        <w:div w:id="233004983">
          <w:marLeft w:val="0"/>
          <w:marRight w:val="0"/>
          <w:marTop w:val="0"/>
          <w:marBottom w:val="0"/>
          <w:divBdr>
            <w:top w:val="none" w:sz="0" w:space="0" w:color="auto"/>
            <w:left w:val="none" w:sz="0" w:space="0" w:color="auto"/>
            <w:bottom w:val="none" w:sz="0" w:space="0" w:color="auto"/>
            <w:right w:val="none" w:sz="0" w:space="0" w:color="auto"/>
          </w:divBdr>
          <w:divsChild>
            <w:div w:id="11030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8946">
      <w:bodyDiv w:val="1"/>
      <w:marLeft w:val="0"/>
      <w:marRight w:val="0"/>
      <w:marTop w:val="0"/>
      <w:marBottom w:val="0"/>
      <w:divBdr>
        <w:top w:val="none" w:sz="0" w:space="0" w:color="auto"/>
        <w:left w:val="none" w:sz="0" w:space="0" w:color="auto"/>
        <w:bottom w:val="none" w:sz="0" w:space="0" w:color="auto"/>
        <w:right w:val="none" w:sz="0" w:space="0" w:color="auto"/>
      </w:divBdr>
      <w:divsChild>
        <w:div w:id="977108741">
          <w:marLeft w:val="0"/>
          <w:marRight w:val="0"/>
          <w:marTop w:val="0"/>
          <w:marBottom w:val="0"/>
          <w:divBdr>
            <w:top w:val="none" w:sz="0" w:space="0" w:color="auto"/>
            <w:left w:val="none" w:sz="0" w:space="0" w:color="auto"/>
            <w:bottom w:val="none" w:sz="0" w:space="0" w:color="auto"/>
            <w:right w:val="none" w:sz="0" w:space="0" w:color="auto"/>
          </w:divBdr>
          <w:divsChild>
            <w:div w:id="14232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9654">
      <w:bodyDiv w:val="1"/>
      <w:marLeft w:val="0"/>
      <w:marRight w:val="0"/>
      <w:marTop w:val="0"/>
      <w:marBottom w:val="0"/>
      <w:divBdr>
        <w:top w:val="none" w:sz="0" w:space="0" w:color="auto"/>
        <w:left w:val="none" w:sz="0" w:space="0" w:color="auto"/>
        <w:bottom w:val="none" w:sz="0" w:space="0" w:color="auto"/>
        <w:right w:val="none" w:sz="0" w:space="0" w:color="auto"/>
      </w:divBdr>
      <w:divsChild>
        <w:div w:id="1311985434">
          <w:marLeft w:val="0"/>
          <w:marRight w:val="0"/>
          <w:marTop w:val="0"/>
          <w:marBottom w:val="0"/>
          <w:divBdr>
            <w:top w:val="none" w:sz="0" w:space="0" w:color="auto"/>
            <w:left w:val="none" w:sz="0" w:space="0" w:color="auto"/>
            <w:bottom w:val="none" w:sz="0" w:space="0" w:color="auto"/>
            <w:right w:val="none" w:sz="0" w:space="0" w:color="auto"/>
          </w:divBdr>
          <w:divsChild>
            <w:div w:id="7597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3409">
      <w:bodyDiv w:val="1"/>
      <w:marLeft w:val="0"/>
      <w:marRight w:val="0"/>
      <w:marTop w:val="0"/>
      <w:marBottom w:val="0"/>
      <w:divBdr>
        <w:top w:val="none" w:sz="0" w:space="0" w:color="auto"/>
        <w:left w:val="none" w:sz="0" w:space="0" w:color="auto"/>
        <w:bottom w:val="none" w:sz="0" w:space="0" w:color="auto"/>
        <w:right w:val="none" w:sz="0" w:space="0" w:color="auto"/>
      </w:divBdr>
      <w:divsChild>
        <w:div w:id="357237684">
          <w:marLeft w:val="0"/>
          <w:marRight w:val="0"/>
          <w:marTop w:val="0"/>
          <w:marBottom w:val="0"/>
          <w:divBdr>
            <w:top w:val="none" w:sz="0" w:space="0" w:color="auto"/>
            <w:left w:val="none" w:sz="0" w:space="0" w:color="auto"/>
            <w:bottom w:val="none" w:sz="0" w:space="0" w:color="auto"/>
            <w:right w:val="none" w:sz="0" w:space="0" w:color="auto"/>
          </w:divBdr>
          <w:divsChild>
            <w:div w:id="12728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4669">
      <w:bodyDiv w:val="1"/>
      <w:marLeft w:val="0"/>
      <w:marRight w:val="0"/>
      <w:marTop w:val="0"/>
      <w:marBottom w:val="0"/>
      <w:divBdr>
        <w:top w:val="none" w:sz="0" w:space="0" w:color="auto"/>
        <w:left w:val="none" w:sz="0" w:space="0" w:color="auto"/>
        <w:bottom w:val="none" w:sz="0" w:space="0" w:color="auto"/>
        <w:right w:val="none" w:sz="0" w:space="0" w:color="auto"/>
      </w:divBdr>
      <w:divsChild>
        <w:div w:id="409929716">
          <w:marLeft w:val="0"/>
          <w:marRight w:val="0"/>
          <w:marTop w:val="0"/>
          <w:marBottom w:val="0"/>
          <w:divBdr>
            <w:top w:val="none" w:sz="0" w:space="0" w:color="auto"/>
            <w:left w:val="none" w:sz="0" w:space="0" w:color="auto"/>
            <w:bottom w:val="none" w:sz="0" w:space="0" w:color="auto"/>
            <w:right w:val="none" w:sz="0" w:space="0" w:color="auto"/>
          </w:divBdr>
          <w:divsChild>
            <w:div w:id="19577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659">
      <w:bodyDiv w:val="1"/>
      <w:marLeft w:val="0"/>
      <w:marRight w:val="0"/>
      <w:marTop w:val="0"/>
      <w:marBottom w:val="0"/>
      <w:divBdr>
        <w:top w:val="none" w:sz="0" w:space="0" w:color="auto"/>
        <w:left w:val="none" w:sz="0" w:space="0" w:color="auto"/>
        <w:bottom w:val="none" w:sz="0" w:space="0" w:color="auto"/>
        <w:right w:val="none" w:sz="0" w:space="0" w:color="auto"/>
      </w:divBdr>
      <w:divsChild>
        <w:div w:id="989597795">
          <w:marLeft w:val="0"/>
          <w:marRight w:val="0"/>
          <w:marTop w:val="0"/>
          <w:marBottom w:val="0"/>
          <w:divBdr>
            <w:top w:val="none" w:sz="0" w:space="0" w:color="auto"/>
            <w:left w:val="none" w:sz="0" w:space="0" w:color="auto"/>
            <w:bottom w:val="none" w:sz="0" w:space="0" w:color="auto"/>
            <w:right w:val="none" w:sz="0" w:space="0" w:color="auto"/>
          </w:divBdr>
          <w:divsChild>
            <w:div w:id="6083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2677">
      <w:bodyDiv w:val="1"/>
      <w:marLeft w:val="0"/>
      <w:marRight w:val="0"/>
      <w:marTop w:val="0"/>
      <w:marBottom w:val="0"/>
      <w:divBdr>
        <w:top w:val="none" w:sz="0" w:space="0" w:color="auto"/>
        <w:left w:val="none" w:sz="0" w:space="0" w:color="auto"/>
        <w:bottom w:val="none" w:sz="0" w:space="0" w:color="auto"/>
        <w:right w:val="none" w:sz="0" w:space="0" w:color="auto"/>
      </w:divBdr>
      <w:divsChild>
        <w:div w:id="398600397">
          <w:marLeft w:val="0"/>
          <w:marRight w:val="0"/>
          <w:marTop w:val="0"/>
          <w:marBottom w:val="0"/>
          <w:divBdr>
            <w:top w:val="none" w:sz="0" w:space="0" w:color="auto"/>
            <w:left w:val="none" w:sz="0" w:space="0" w:color="auto"/>
            <w:bottom w:val="none" w:sz="0" w:space="0" w:color="auto"/>
            <w:right w:val="none" w:sz="0" w:space="0" w:color="auto"/>
          </w:divBdr>
          <w:divsChild>
            <w:div w:id="18391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3095">
      <w:bodyDiv w:val="1"/>
      <w:marLeft w:val="0"/>
      <w:marRight w:val="0"/>
      <w:marTop w:val="0"/>
      <w:marBottom w:val="0"/>
      <w:divBdr>
        <w:top w:val="none" w:sz="0" w:space="0" w:color="auto"/>
        <w:left w:val="none" w:sz="0" w:space="0" w:color="auto"/>
        <w:bottom w:val="none" w:sz="0" w:space="0" w:color="auto"/>
        <w:right w:val="none" w:sz="0" w:space="0" w:color="auto"/>
      </w:divBdr>
      <w:divsChild>
        <w:div w:id="147409677">
          <w:marLeft w:val="0"/>
          <w:marRight w:val="0"/>
          <w:marTop w:val="0"/>
          <w:marBottom w:val="0"/>
          <w:divBdr>
            <w:top w:val="none" w:sz="0" w:space="0" w:color="auto"/>
            <w:left w:val="none" w:sz="0" w:space="0" w:color="auto"/>
            <w:bottom w:val="none" w:sz="0" w:space="0" w:color="auto"/>
            <w:right w:val="none" w:sz="0" w:space="0" w:color="auto"/>
          </w:divBdr>
          <w:divsChild>
            <w:div w:id="6688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4610">
      <w:bodyDiv w:val="1"/>
      <w:marLeft w:val="0"/>
      <w:marRight w:val="0"/>
      <w:marTop w:val="0"/>
      <w:marBottom w:val="0"/>
      <w:divBdr>
        <w:top w:val="none" w:sz="0" w:space="0" w:color="auto"/>
        <w:left w:val="none" w:sz="0" w:space="0" w:color="auto"/>
        <w:bottom w:val="none" w:sz="0" w:space="0" w:color="auto"/>
        <w:right w:val="none" w:sz="0" w:space="0" w:color="auto"/>
      </w:divBdr>
      <w:divsChild>
        <w:div w:id="763182764">
          <w:marLeft w:val="0"/>
          <w:marRight w:val="0"/>
          <w:marTop w:val="0"/>
          <w:marBottom w:val="0"/>
          <w:divBdr>
            <w:top w:val="none" w:sz="0" w:space="0" w:color="auto"/>
            <w:left w:val="none" w:sz="0" w:space="0" w:color="auto"/>
            <w:bottom w:val="none" w:sz="0" w:space="0" w:color="auto"/>
            <w:right w:val="none" w:sz="0" w:space="0" w:color="auto"/>
          </w:divBdr>
          <w:divsChild>
            <w:div w:id="2418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76923">
      <w:bodyDiv w:val="1"/>
      <w:marLeft w:val="0"/>
      <w:marRight w:val="0"/>
      <w:marTop w:val="0"/>
      <w:marBottom w:val="0"/>
      <w:divBdr>
        <w:top w:val="none" w:sz="0" w:space="0" w:color="auto"/>
        <w:left w:val="none" w:sz="0" w:space="0" w:color="auto"/>
        <w:bottom w:val="none" w:sz="0" w:space="0" w:color="auto"/>
        <w:right w:val="none" w:sz="0" w:space="0" w:color="auto"/>
      </w:divBdr>
      <w:divsChild>
        <w:div w:id="172837979">
          <w:marLeft w:val="0"/>
          <w:marRight w:val="0"/>
          <w:marTop w:val="0"/>
          <w:marBottom w:val="0"/>
          <w:divBdr>
            <w:top w:val="none" w:sz="0" w:space="0" w:color="auto"/>
            <w:left w:val="none" w:sz="0" w:space="0" w:color="auto"/>
            <w:bottom w:val="none" w:sz="0" w:space="0" w:color="auto"/>
            <w:right w:val="none" w:sz="0" w:space="0" w:color="auto"/>
          </w:divBdr>
          <w:divsChild>
            <w:div w:id="18830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9824">
      <w:bodyDiv w:val="1"/>
      <w:marLeft w:val="0"/>
      <w:marRight w:val="0"/>
      <w:marTop w:val="0"/>
      <w:marBottom w:val="0"/>
      <w:divBdr>
        <w:top w:val="none" w:sz="0" w:space="0" w:color="auto"/>
        <w:left w:val="none" w:sz="0" w:space="0" w:color="auto"/>
        <w:bottom w:val="none" w:sz="0" w:space="0" w:color="auto"/>
        <w:right w:val="none" w:sz="0" w:space="0" w:color="auto"/>
      </w:divBdr>
    </w:div>
    <w:div w:id="1981881216">
      <w:bodyDiv w:val="1"/>
      <w:marLeft w:val="0"/>
      <w:marRight w:val="0"/>
      <w:marTop w:val="0"/>
      <w:marBottom w:val="0"/>
      <w:divBdr>
        <w:top w:val="none" w:sz="0" w:space="0" w:color="auto"/>
        <w:left w:val="none" w:sz="0" w:space="0" w:color="auto"/>
        <w:bottom w:val="none" w:sz="0" w:space="0" w:color="auto"/>
        <w:right w:val="none" w:sz="0" w:space="0" w:color="auto"/>
      </w:divBdr>
      <w:divsChild>
        <w:div w:id="1055009504">
          <w:marLeft w:val="0"/>
          <w:marRight w:val="0"/>
          <w:marTop w:val="0"/>
          <w:marBottom w:val="0"/>
          <w:divBdr>
            <w:top w:val="none" w:sz="0" w:space="0" w:color="auto"/>
            <w:left w:val="none" w:sz="0" w:space="0" w:color="auto"/>
            <w:bottom w:val="none" w:sz="0" w:space="0" w:color="auto"/>
            <w:right w:val="none" w:sz="0" w:space="0" w:color="auto"/>
          </w:divBdr>
          <w:divsChild>
            <w:div w:id="89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0966">
      <w:bodyDiv w:val="1"/>
      <w:marLeft w:val="0"/>
      <w:marRight w:val="0"/>
      <w:marTop w:val="0"/>
      <w:marBottom w:val="0"/>
      <w:divBdr>
        <w:top w:val="none" w:sz="0" w:space="0" w:color="auto"/>
        <w:left w:val="none" w:sz="0" w:space="0" w:color="auto"/>
        <w:bottom w:val="none" w:sz="0" w:space="0" w:color="auto"/>
        <w:right w:val="none" w:sz="0" w:space="0" w:color="auto"/>
      </w:divBdr>
      <w:divsChild>
        <w:div w:id="1832136724">
          <w:marLeft w:val="0"/>
          <w:marRight w:val="0"/>
          <w:marTop w:val="0"/>
          <w:marBottom w:val="0"/>
          <w:divBdr>
            <w:top w:val="none" w:sz="0" w:space="0" w:color="auto"/>
            <w:left w:val="none" w:sz="0" w:space="0" w:color="auto"/>
            <w:bottom w:val="none" w:sz="0" w:space="0" w:color="auto"/>
            <w:right w:val="none" w:sz="0" w:space="0" w:color="auto"/>
          </w:divBdr>
          <w:divsChild>
            <w:div w:id="21014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8534">
      <w:bodyDiv w:val="1"/>
      <w:marLeft w:val="0"/>
      <w:marRight w:val="0"/>
      <w:marTop w:val="0"/>
      <w:marBottom w:val="0"/>
      <w:divBdr>
        <w:top w:val="none" w:sz="0" w:space="0" w:color="auto"/>
        <w:left w:val="none" w:sz="0" w:space="0" w:color="auto"/>
        <w:bottom w:val="none" w:sz="0" w:space="0" w:color="auto"/>
        <w:right w:val="none" w:sz="0" w:space="0" w:color="auto"/>
      </w:divBdr>
      <w:divsChild>
        <w:div w:id="718287138">
          <w:marLeft w:val="0"/>
          <w:marRight w:val="0"/>
          <w:marTop w:val="0"/>
          <w:marBottom w:val="0"/>
          <w:divBdr>
            <w:top w:val="none" w:sz="0" w:space="0" w:color="auto"/>
            <w:left w:val="none" w:sz="0" w:space="0" w:color="auto"/>
            <w:bottom w:val="none" w:sz="0" w:space="0" w:color="auto"/>
            <w:right w:val="none" w:sz="0" w:space="0" w:color="auto"/>
          </w:divBdr>
          <w:divsChild>
            <w:div w:id="6372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g.unc.edu/sites/www.sog.unc.edu/files/Criminal%20Evidence%20Pleas%20Plea%20Discussions_Nov%202009%20Cite%20Checked.pdf" TargetMode="External"/><Relationship Id="rId12" Type="http://schemas.openxmlformats.org/officeDocument/2006/relationships/hyperlink" Target="http://www.sog.unc.edu/node/3531" TargetMode="External"/><Relationship Id="rId13" Type="http://schemas.openxmlformats.org/officeDocument/2006/relationships/hyperlink" Target="http://www.sog.unc.edu/node/2192" TargetMode="External"/><Relationship Id="rId14" Type="http://schemas.openxmlformats.org/officeDocument/2006/relationships/hyperlink" Target="http://www.sog.unc.edu/node/2222"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og.unc.edu/node/30301" TargetMode="External"/><Relationship Id="rId9" Type="http://schemas.openxmlformats.org/officeDocument/2006/relationships/hyperlink" Target="http://www.sog.unc.edu/node/2645" TargetMode="External"/><Relationship Id="rId10" Type="http://schemas.openxmlformats.org/officeDocument/2006/relationships/hyperlink" Target="http://www.sog.unc.edu/node/2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4AC0-DAD3-BA40-842C-562AE786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18598</Words>
  <Characters>106010</Characters>
  <Application>Microsoft Macintosh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124360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Tyner, Christopher</cp:lastModifiedBy>
  <cp:revision>2</cp:revision>
  <cp:lastPrinted>2014-01-10T22:13:00Z</cp:lastPrinted>
  <dcterms:created xsi:type="dcterms:W3CDTF">2017-09-25T20:31:00Z</dcterms:created>
  <dcterms:modified xsi:type="dcterms:W3CDTF">2017-09-25T20:31:00Z</dcterms:modified>
</cp:coreProperties>
</file>