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18E6" w14:textId="1CAA9A97" w:rsidR="002418EF" w:rsidRPr="00A95FBB" w:rsidRDefault="00354F84" w:rsidP="00354F84">
      <w:pPr>
        <w:tabs>
          <w:tab w:val="center" w:pos="4680"/>
          <w:tab w:val="left" w:pos="7213"/>
        </w:tabs>
        <w:spacing w:after="0" w:line="240" w:lineRule="auto"/>
        <w:rPr>
          <w:rFonts w:ascii="Arial" w:hAnsi="Arial" w:cs="Arial"/>
        </w:rPr>
      </w:pPr>
      <w:r w:rsidRPr="00FA6251">
        <w:rPr>
          <w:rFonts w:ascii="Arial" w:hAnsi="Arial" w:cs="Arial"/>
          <w:b/>
        </w:rPr>
        <w:tab/>
      </w:r>
      <w:r w:rsidR="00154DC9" w:rsidRPr="00A95FBB">
        <w:rPr>
          <w:rFonts w:ascii="Arial" w:hAnsi="Arial" w:cs="Arial"/>
          <w:b/>
        </w:rPr>
        <w:t>DOUBLE JEOPARDY</w:t>
      </w:r>
      <w:r w:rsidRPr="00A95FBB">
        <w:rPr>
          <w:rFonts w:ascii="Arial" w:hAnsi="Arial" w:cs="Arial"/>
          <w:b/>
        </w:rPr>
        <w:tab/>
      </w:r>
    </w:p>
    <w:p w14:paraId="59300C17" w14:textId="77777777" w:rsidR="002418EF" w:rsidRPr="00A95FBB" w:rsidRDefault="002418EF" w:rsidP="00317334">
      <w:pPr>
        <w:spacing w:after="0" w:line="240" w:lineRule="auto"/>
        <w:jc w:val="center"/>
        <w:rPr>
          <w:rFonts w:ascii="Arial" w:hAnsi="Arial" w:cs="Arial"/>
        </w:rPr>
      </w:pPr>
    </w:p>
    <w:p w14:paraId="234CB4B6" w14:textId="293DD395" w:rsidR="002418EF" w:rsidRPr="00A95FBB" w:rsidRDefault="00154DC9" w:rsidP="00493769">
      <w:pPr>
        <w:spacing w:after="0" w:line="240" w:lineRule="auto"/>
        <w:jc w:val="both"/>
        <w:rPr>
          <w:rFonts w:ascii="Arial" w:hAnsi="Arial" w:cs="Arial"/>
        </w:rPr>
      </w:pPr>
      <w:r w:rsidRPr="00A95FBB">
        <w:rPr>
          <w:rFonts w:ascii="Arial" w:hAnsi="Arial" w:cs="Arial"/>
        </w:rPr>
        <w:t xml:space="preserve">Joseph </w:t>
      </w:r>
      <w:r w:rsidR="00CF639C">
        <w:rPr>
          <w:rFonts w:ascii="Arial" w:hAnsi="Arial" w:cs="Arial"/>
        </w:rPr>
        <w:t xml:space="preserve">L. </w:t>
      </w:r>
      <w:r w:rsidRPr="00A95FBB">
        <w:rPr>
          <w:rFonts w:ascii="Arial" w:hAnsi="Arial" w:cs="Arial"/>
        </w:rPr>
        <w:t>Hyde</w:t>
      </w:r>
      <w:r w:rsidR="002418EF" w:rsidRPr="00A95FBB">
        <w:rPr>
          <w:rFonts w:ascii="Arial" w:hAnsi="Arial" w:cs="Arial"/>
        </w:rPr>
        <w:t>, UNC School of Government (</w:t>
      </w:r>
      <w:r w:rsidRPr="00A95FBB">
        <w:rPr>
          <w:rFonts w:ascii="Arial" w:hAnsi="Arial" w:cs="Arial"/>
        </w:rPr>
        <w:t>June</w:t>
      </w:r>
      <w:r w:rsidR="00B733AF" w:rsidRPr="00A95FBB">
        <w:rPr>
          <w:rFonts w:ascii="Arial" w:hAnsi="Arial" w:cs="Arial"/>
        </w:rPr>
        <w:t xml:space="preserve"> 20</w:t>
      </w:r>
      <w:r w:rsidRPr="00A95FBB">
        <w:rPr>
          <w:rFonts w:ascii="Arial" w:hAnsi="Arial" w:cs="Arial"/>
        </w:rPr>
        <w:t>25</w:t>
      </w:r>
      <w:r w:rsidR="002418EF" w:rsidRPr="00A95FBB">
        <w:rPr>
          <w:rFonts w:ascii="Arial" w:hAnsi="Arial" w:cs="Arial"/>
        </w:rPr>
        <w:t>)</w:t>
      </w:r>
    </w:p>
    <w:p w14:paraId="5A9F7635" w14:textId="77777777" w:rsidR="00E10584" w:rsidRPr="00A95FBB" w:rsidRDefault="00E10584" w:rsidP="00493769">
      <w:pPr>
        <w:spacing w:after="0" w:line="240" w:lineRule="auto"/>
        <w:jc w:val="both"/>
        <w:rPr>
          <w:rFonts w:ascii="Arial" w:hAnsi="Arial" w:cs="Arial"/>
        </w:rPr>
      </w:pPr>
    </w:p>
    <w:p w14:paraId="0C6E99E0" w14:textId="77777777" w:rsidR="00B84B1E" w:rsidRPr="00A95FBB" w:rsidRDefault="00B84B1E" w:rsidP="00493769">
      <w:pPr>
        <w:spacing w:after="0" w:line="240" w:lineRule="auto"/>
        <w:jc w:val="both"/>
        <w:rPr>
          <w:rFonts w:ascii="Arial" w:hAnsi="Arial" w:cs="Arial"/>
          <w:b/>
        </w:rPr>
      </w:pPr>
      <w:r w:rsidRPr="00A95FBB">
        <w:rPr>
          <w:rFonts w:ascii="Arial" w:hAnsi="Arial" w:cs="Arial"/>
          <w:b/>
        </w:rPr>
        <w:t>Contents</w:t>
      </w:r>
    </w:p>
    <w:p w14:paraId="722F0298" w14:textId="5B7192E6" w:rsidR="00446469" w:rsidRDefault="00F02A92">
      <w:pPr>
        <w:pStyle w:val="TOC1"/>
        <w:rPr>
          <w:rFonts w:asciiTheme="minorHAnsi" w:eastAsiaTheme="minorEastAsia" w:hAnsiTheme="minorHAnsi" w:cstheme="minorBidi"/>
          <w:noProof/>
        </w:rPr>
      </w:pPr>
      <w:r>
        <w:rPr>
          <w:rFonts w:cs="Arial"/>
        </w:rPr>
        <w:fldChar w:fldCharType="begin"/>
      </w:r>
      <w:r>
        <w:rPr>
          <w:rFonts w:cs="Arial"/>
        </w:rPr>
        <w:instrText xml:space="preserve"> TOC \o "1-2" \h \z \u </w:instrText>
      </w:r>
      <w:r>
        <w:rPr>
          <w:rFonts w:cs="Arial"/>
        </w:rPr>
        <w:fldChar w:fldCharType="separate"/>
      </w:r>
      <w:hyperlink w:anchor="_Toc203747462" w:history="1">
        <w:r w:rsidR="00446469" w:rsidRPr="008B7392">
          <w:rPr>
            <w:rStyle w:val="Hyperlink"/>
            <w:noProof/>
            <w:specVanish/>
          </w:rPr>
          <w:t>I.</w:t>
        </w:r>
        <w:r w:rsidR="00446469">
          <w:rPr>
            <w:rFonts w:asciiTheme="minorHAnsi" w:eastAsiaTheme="minorEastAsia" w:hAnsiTheme="minorHAnsi" w:cstheme="minorBidi"/>
            <w:noProof/>
          </w:rPr>
          <w:tab/>
        </w:r>
        <w:r w:rsidR="00446469" w:rsidRPr="008B7392">
          <w:rPr>
            <w:rStyle w:val="Hyperlink"/>
            <w:noProof/>
          </w:rPr>
          <w:t>Overview.</w:t>
        </w:r>
        <w:r w:rsidR="00446469">
          <w:rPr>
            <w:noProof/>
            <w:webHidden/>
          </w:rPr>
          <w:tab/>
        </w:r>
        <w:r w:rsidR="00446469">
          <w:rPr>
            <w:noProof/>
            <w:webHidden/>
          </w:rPr>
          <w:fldChar w:fldCharType="begin"/>
        </w:r>
        <w:r w:rsidR="00446469">
          <w:rPr>
            <w:noProof/>
            <w:webHidden/>
          </w:rPr>
          <w:instrText xml:space="preserve"> PAGEREF _Toc203747462 \h </w:instrText>
        </w:r>
        <w:r w:rsidR="00446469">
          <w:rPr>
            <w:noProof/>
            <w:webHidden/>
          </w:rPr>
        </w:r>
        <w:r w:rsidR="00446469">
          <w:rPr>
            <w:noProof/>
            <w:webHidden/>
          </w:rPr>
          <w:fldChar w:fldCharType="separate"/>
        </w:r>
        <w:r w:rsidR="00446469">
          <w:rPr>
            <w:noProof/>
            <w:webHidden/>
          </w:rPr>
          <w:t>2</w:t>
        </w:r>
        <w:r w:rsidR="00446469">
          <w:rPr>
            <w:noProof/>
            <w:webHidden/>
          </w:rPr>
          <w:fldChar w:fldCharType="end"/>
        </w:r>
      </w:hyperlink>
    </w:p>
    <w:p w14:paraId="1083706A" w14:textId="6459147B" w:rsidR="00446469" w:rsidRDefault="00446469">
      <w:pPr>
        <w:pStyle w:val="TOC1"/>
        <w:rPr>
          <w:rFonts w:asciiTheme="minorHAnsi" w:eastAsiaTheme="minorEastAsia" w:hAnsiTheme="minorHAnsi" w:cstheme="minorBidi"/>
          <w:noProof/>
        </w:rPr>
      </w:pPr>
      <w:hyperlink w:anchor="_Toc203747463" w:history="1">
        <w:r w:rsidRPr="008B7392">
          <w:rPr>
            <w:rStyle w:val="Hyperlink"/>
            <w:noProof/>
          </w:rPr>
          <w:t>II.</w:t>
        </w:r>
        <w:r>
          <w:rPr>
            <w:rFonts w:asciiTheme="minorHAnsi" w:eastAsiaTheme="minorEastAsia" w:hAnsiTheme="minorHAnsi" w:cstheme="minorBidi"/>
            <w:noProof/>
          </w:rPr>
          <w:tab/>
        </w:r>
        <w:r w:rsidRPr="008B7392">
          <w:rPr>
            <w:rStyle w:val="Hyperlink"/>
            <w:noProof/>
          </w:rPr>
          <w:t>Sources.</w:t>
        </w:r>
        <w:r>
          <w:rPr>
            <w:noProof/>
            <w:webHidden/>
          </w:rPr>
          <w:tab/>
        </w:r>
        <w:r>
          <w:rPr>
            <w:noProof/>
            <w:webHidden/>
          </w:rPr>
          <w:fldChar w:fldCharType="begin"/>
        </w:r>
        <w:r>
          <w:rPr>
            <w:noProof/>
            <w:webHidden/>
          </w:rPr>
          <w:instrText xml:space="preserve"> PAGEREF _Toc203747463 \h </w:instrText>
        </w:r>
        <w:r>
          <w:rPr>
            <w:noProof/>
            <w:webHidden/>
          </w:rPr>
        </w:r>
        <w:r>
          <w:rPr>
            <w:noProof/>
            <w:webHidden/>
          </w:rPr>
          <w:fldChar w:fldCharType="separate"/>
        </w:r>
        <w:r>
          <w:rPr>
            <w:noProof/>
            <w:webHidden/>
          </w:rPr>
          <w:t>2</w:t>
        </w:r>
        <w:r>
          <w:rPr>
            <w:noProof/>
            <w:webHidden/>
          </w:rPr>
          <w:fldChar w:fldCharType="end"/>
        </w:r>
      </w:hyperlink>
    </w:p>
    <w:p w14:paraId="1D7C5B44" w14:textId="442D2886" w:rsidR="00446469" w:rsidRDefault="00446469">
      <w:pPr>
        <w:pStyle w:val="TOC2"/>
        <w:rPr>
          <w:rFonts w:asciiTheme="minorHAnsi" w:eastAsiaTheme="minorEastAsia" w:hAnsiTheme="minorHAnsi" w:cstheme="minorBidi"/>
          <w:noProof/>
        </w:rPr>
      </w:pPr>
      <w:hyperlink w:anchor="_Toc203747464"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Common Law.</w:t>
        </w:r>
        <w:r>
          <w:rPr>
            <w:noProof/>
            <w:webHidden/>
          </w:rPr>
          <w:tab/>
        </w:r>
        <w:r>
          <w:rPr>
            <w:noProof/>
            <w:webHidden/>
          </w:rPr>
          <w:fldChar w:fldCharType="begin"/>
        </w:r>
        <w:r>
          <w:rPr>
            <w:noProof/>
            <w:webHidden/>
          </w:rPr>
          <w:instrText xml:space="preserve"> PAGEREF _Toc203747464 \h </w:instrText>
        </w:r>
        <w:r>
          <w:rPr>
            <w:noProof/>
            <w:webHidden/>
          </w:rPr>
        </w:r>
        <w:r>
          <w:rPr>
            <w:noProof/>
            <w:webHidden/>
          </w:rPr>
          <w:fldChar w:fldCharType="separate"/>
        </w:r>
        <w:r>
          <w:rPr>
            <w:noProof/>
            <w:webHidden/>
          </w:rPr>
          <w:t>2</w:t>
        </w:r>
        <w:r>
          <w:rPr>
            <w:noProof/>
            <w:webHidden/>
          </w:rPr>
          <w:fldChar w:fldCharType="end"/>
        </w:r>
      </w:hyperlink>
    </w:p>
    <w:p w14:paraId="46C6017D" w14:textId="3302696F" w:rsidR="00446469" w:rsidRDefault="00446469">
      <w:pPr>
        <w:pStyle w:val="TOC2"/>
        <w:rPr>
          <w:rFonts w:asciiTheme="minorHAnsi" w:eastAsiaTheme="minorEastAsia" w:hAnsiTheme="minorHAnsi" w:cstheme="minorBidi"/>
          <w:noProof/>
        </w:rPr>
      </w:pPr>
      <w:hyperlink w:anchor="_Toc203747465" w:history="1">
        <w:r w:rsidRPr="008B7392">
          <w:rPr>
            <w:rStyle w:val="Hyperlink"/>
            <w:noProof/>
            <w:specVanish/>
          </w:rPr>
          <w:t>B.</w:t>
        </w:r>
        <w:r>
          <w:rPr>
            <w:rFonts w:asciiTheme="minorHAnsi" w:eastAsiaTheme="minorEastAsia" w:hAnsiTheme="minorHAnsi" w:cstheme="minorBidi"/>
            <w:noProof/>
          </w:rPr>
          <w:tab/>
        </w:r>
        <w:r w:rsidRPr="008B7392">
          <w:rPr>
            <w:rStyle w:val="Hyperlink"/>
            <w:noProof/>
          </w:rPr>
          <w:t>Constitutions.</w:t>
        </w:r>
        <w:r>
          <w:rPr>
            <w:noProof/>
            <w:webHidden/>
          </w:rPr>
          <w:tab/>
        </w:r>
        <w:r>
          <w:rPr>
            <w:noProof/>
            <w:webHidden/>
          </w:rPr>
          <w:fldChar w:fldCharType="begin"/>
        </w:r>
        <w:r>
          <w:rPr>
            <w:noProof/>
            <w:webHidden/>
          </w:rPr>
          <w:instrText xml:space="preserve"> PAGEREF _Toc203747465 \h </w:instrText>
        </w:r>
        <w:r>
          <w:rPr>
            <w:noProof/>
            <w:webHidden/>
          </w:rPr>
        </w:r>
        <w:r>
          <w:rPr>
            <w:noProof/>
            <w:webHidden/>
          </w:rPr>
          <w:fldChar w:fldCharType="separate"/>
        </w:r>
        <w:r>
          <w:rPr>
            <w:noProof/>
            <w:webHidden/>
          </w:rPr>
          <w:t>2</w:t>
        </w:r>
        <w:r>
          <w:rPr>
            <w:noProof/>
            <w:webHidden/>
          </w:rPr>
          <w:fldChar w:fldCharType="end"/>
        </w:r>
      </w:hyperlink>
    </w:p>
    <w:p w14:paraId="353404AF" w14:textId="30699D82" w:rsidR="00446469" w:rsidRDefault="00446469">
      <w:pPr>
        <w:pStyle w:val="TOC2"/>
        <w:rPr>
          <w:rFonts w:asciiTheme="minorHAnsi" w:eastAsiaTheme="minorEastAsia" w:hAnsiTheme="minorHAnsi" w:cstheme="minorBidi"/>
          <w:noProof/>
        </w:rPr>
      </w:pPr>
      <w:hyperlink w:anchor="_Toc203747466" w:history="1">
        <w:r w:rsidRPr="008B7392">
          <w:rPr>
            <w:rStyle w:val="Hyperlink"/>
            <w:noProof/>
            <w:specVanish/>
          </w:rPr>
          <w:t>C.</w:t>
        </w:r>
        <w:r>
          <w:rPr>
            <w:rFonts w:asciiTheme="minorHAnsi" w:eastAsiaTheme="minorEastAsia" w:hAnsiTheme="minorHAnsi" w:cstheme="minorBidi"/>
            <w:noProof/>
          </w:rPr>
          <w:tab/>
        </w:r>
        <w:r w:rsidRPr="008B7392">
          <w:rPr>
            <w:rStyle w:val="Hyperlink"/>
            <w:noProof/>
          </w:rPr>
          <w:t>Statute.</w:t>
        </w:r>
        <w:r>
          <w:rPr>
            <w:noProof/>
            <w:webHidden/>
          </w:rPr>
          <w:tab/>
        </w:r>
        <w:r>
          <w:rPr>
            <w:noProof/>
            <w:webHidden/>
          </w:rPr>
          <w:fldChar w:fldCharType="begin"/>
        </w:r>
        <w:r>
          <w:rPr>
            <w:noProof/>
            <w:webHidden/>
          </w:rPr>
          <w:instrText xml:space="preserve"> PAGEREF _Toc203747466 \h </w:instrText>
        </w:r>
        <w:r>
          <w:rPr>
            <w:noProof/>
            <w:webHidden/>
          </w:rPr>
        </w:r>
        <w:r>
          <w:rPr>
            <w:noProof/>
            <w:webHidden/>
          </w:rPr>
          <w:fldChar w:fldCharType="separate"/>
        </w:r>
        <w:r>
          <w:rPr>
            <w:noProof/>
            <w:webHidden/>
          </w:rPr>
          <w:t>3</w:t>
        </w:r>
        <w:r>
          <w:rPr>
            <w:noProof/>
            <w:webHidden/>
          </w:rPr>
          <w:fldChar w:fldCharType="end"/>
        </w:r>
      </w:hyperlink>
    </w:p>
    <w:p w14:paraId="27A4731C" w14:textId="7A42ABA2" w:rsidR="00446469" w:rsidRDefault="00446469">
      <w:pPr>
        <w:pStyle w:val="TOC1"/>
        <w:rPr>
          <w:rFonts w:asciiTheme="minorHAnsi" w:eastAsiaTheme="minorEastAsia" w:hAnsiTheme="minorHAnsi" w:cstheme="minorBidi"/>
          <w:noProof/>
        </w:rPr>
      </w:pPr>
      <w:hyperlink w:anchor="_Toc203747467" w:history="1">
        <w:r w:rsidRPr="008B7392">
          <w:rPr>
            <w:rStyle w:val="Hyperlink"/>
            <w:noProof/>
            <w:specVanish/>
          </w:rPr>
          <w:t>III.</w:t>
        </w:r>
        <w:r>
          <w:rPr>
            <w:rFonts w:asciiTheme="minorHAnsi" w:eastAsiaTheme="minorEastAsia" w:hAnsiTheme="minorHAnsi" w:cstheme="minorBidi"/>
            <w:noProof/>
          </w:rPr>
          <w:tab/>
        </w:r>
        <w:r w:rsidRPr="008B7392">
          <w:rPr>
            <w:rStyle w:val="Hyperlink"/>
            <w:noProof/>
          </w:rPr>
          <w:t>Jurisdiction.</w:t>
        </w:r>
        <w:r>
          <w:rPr>
            <w:noProof/>
            <w:webHidden/>
          </w:rPr>
          <w:tab/>
        </w:r>
        <w:r>
          <w:rPr>
            <w:noProof/>
            <w:webHidden/>
          </w:rPr>
          <w:fldChar w:fldCharType="begin"/>
        </w:r>
        <w:r>
          <w:rPr>
            <w:noProof/>
            <w:webHidden/>
          </w:rPr>
          <w:instrText xml:space="preserve"> PAGEREF _Toc203747467 \h </w:instrText>
        </w:r>
        <w:r>
          <w:rPr>
            <w:noProof/>
            <w:webHidden/>
          </w:rPr>
        </w:r>
        <w:r>
          <w:rPr>
            <w:noProof/>
            <w:webHidden/>
          </w:rPr>
          <w:fldChar w:fldCharType="separate"/>
        </w:r>
        <w:r>
          <w:rPr>
            <w:noProof/>
            <w:webHidden/>
          </w:rPr>
          <w:t>3</w:t>
        </w:r>
        <w:r>
          <w:rPr>
            <w:noProof/>
            <w:webHidden/>
          </w:rPr>
          <w:fldChar w:fldCharType="end"/>
        </w:r>
      </w:hyperlink>
    </w:p>
    <w:p w14:paraId="6AE0C23A" w14:textId="5F65582A" w:rsidR="00446469" w:rsidRDefault="00446469">
      <w:pPr>
        <w:pStyle w:val="TOC1"/>
        <w:rPr>
          <w:rFonts w:asciiTheme="minorHAnsi" w:eastAsiaTheme="minorEastAsia" w:hAnsiTheme="minorHAnsi" w:cstheme="minorBidi"/>
          <w:noProof/>
        </w:rPr>
      </w:pPr>
      <w:hyperlink w:anchor="_Toc203747468" w:history="1">
        <w:r w:rsidRPr="008B7392">
          <w:rPr>
            <w:rStyle w:val="Hyperlink"/>
            <w:noProof/>
          </w:rPr>
          <w:t>IV.</w:t>
        </w:r>
        <w:r>
          <w:rPr>
            <w:rFonts w:asciiTheme="minorHAnsi" w:eastAsiaTheme="minorEastAsia" w:hAnsiTheme="minorHAnsi" w:cstheme="minorBidi"/>
            <w:noProof/>
          </w:rPr>
          <w:tab/>
        </w:r>
        <w:r w:rsidRPr="008B7392">
          <w:rPr>
            <w:rStyle w:val="Hyperlink"/>
            <w:noProof/>
          </w:rPr>
          <w:t>Proceedings that Trigger Double Jeopardy Protection.</w:t>
        </w:r>
        <w:r>
          <w:rPr>
            <w:noProof/>
            <w:webHidden/>
          </w:rPr>
          <w:tab/>
        </w:r>
        <w:r>
          <w:rPr>
            <w:noProof/>
            <w:webHidden/>
          </w:rPr>
          <w:fldChar w:fldCharType="begin"/>
        </w:r>
        <w:r>
          <w:rPr>
            <w:noProof/>
            <w:webHidden/>
          </w:rPr>
          <w:instrText xml:space="preserve"> PAGEREF _Toc203747468 \h </w:instrText>
        </w:r>
        <w:r>
          <w:rPr>
            <w:noProof/>
            <w:webHidden/>
          </w:rPr>
        </w:r>
        <w:r>
          <w:rPr>
            <w:noProof/>
            <w:webHidden/>
          </w:rPr>
          <w:fldChar w:fldCharType="separate"/>
        </w:r>
        <w:r>
          <w:rPr>
            <w:noProof/>
            <w:webHidden/>
          </w:rPr>
          <w:t>3</w:t>
        </w:r>
        <w:r>
          <w:rPr>
            <w:noProof/>
            <w:webHidden/>
          </w:rPr>
          <w:fldChar w:fldCharType="end"/>
        </w:r>
      </w:hyperlink>
    </w:p>
    <w:p w14:paraId="4B8808BB" w14:textId="29C89BA9" w:rsidR="00446469" w:rsidRDefault="00446469">
      <w:pPr>
        <w:pStyle w:val="TOC2"/>
        <w:rPr>
          <w:rFonts w:asciiTheme="minorHAnsi" w:eastAsiaTheme="minorEastAsia" w:hAnsiTheme="minorHAnsi" w:cstheme="minorBidi"/>
          <w:noProof/>
        </w:rPr>
      </w:pPr>
      <w:hyperlink w:anchor="_Toc203747469"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Criminal Proceedings.</w:t>
        </w:r>
        <w:r>
          <w:rPr>
            <w:noProof/>
            <w:webHidden/>
          </w:rPr>
          <w:tab/>
        </w:r>
        <w:r>
          <w:rPr>
            <w:noProof/>
            <w:webHidden/>
          </w:rPr>
          <w:fldChar w:fldCharType="begin"/>
        </w:r>
        <w:r>
          <w:rPr>
            <w:noProof/>
            <w:webHidden/>
          </w:rPr>
          <w:instrText xml:space="preserve"> PAGEREF _Toc203747469 \h </w:instrText>
        </w:r>
        <w:r>
          <w:rPr>
            <w:noProof/>
            <w:webHidden/>
          </w:rPr>
        </w:r>
        <w:r>
          <w:rPr>
            <w:noProof/>
            <w:webHidden/>
          </w:rPr>
          <w:fldChar w:fldCharType="separate"/>
        </w:r>
        <w:r>
          <w:rPr>
            <w:noProof/>
            <w:webHidden/>
          </w:rPr>
          <w:t>3</w:t>
        </w:r>
        <w:r>
          <w:rPr>
            <w:noProof/>
            <w:webHidden/>
          </w:rPr>
          <w:fldChar w:fldCharType="end"/>
        </w:r>
      </w:hyperlink>
    </w:p>
    <w:p w14:paraId="3CC3C9DF" w14:textId="481A0CB7" w:rsidR="00446469" w:rsidRDefault="00446469">
      <w:pPr>
        <w:pStyle w:val="TOC2"/>
        <w:rPr>
          <w:rFonts w:asciiTheme="minorHAnsi" w:eastAsiaTheme="minorEastAsia" w:hAnsiTheme="minorHAnsi" w:cstheme="minorBidi"/>
          <w:noProof/>
        </w:rPr>
      </w:pPr>
      <w:hyperlink w:anchor="_Toc203747470" w:history="1">
        <w:r w:rsidRPr="008B7392">
          <w:rPr>
            <w:rStyle w:val="Hyperlink"/>
            <w:noProof/>
            <w:specVanish/>
          </w:rPr>
          <w:t>B.</w:t>
        </w:r>
        <w:r>
          <w:rPr>
            <w:rFonts w:asciiTheme="minorHAnsi" w:eastAsiaTheme="minorEastAsia" w:hAnsiTheme="minorHAnsi" w:cstheme="minorBidi"/>
            <w:noProof/>
          </w:rPr>
          <w:tab/>
        </w:r>
        <w:r w:rsidRPr="008B7392">
          <w:rPr>
            <w:rStyle w:val="Hyperlink"/>
            <w:noProof/>
          </w:rPr>
          <w:t>Civil Proceedings.</w:t>
        </w:r>
        <w:r>
          <w:rPr>
            <w:noProof/>
            <w:webHidden/>
          </w:rPr>
          <w:tab/>
        </w:r>
        <w:r>
          <w:rPr>
            <w:noProof/>
            <w:webHidden/>
          </w:rPr>
          <w:fldChar w:fldCharType="begin"/>
        </w:r>
        <w:r>
          <w:rPr>
            <w:noProof/>
            <w:webHidden/>
          </w:rPr>
          <w:instrText xml:space="preserve"> PAGEREF _Toc203747470 \h </w:instrText>
        </w:r>
        <w:r>
          <w:rPr>
            <w:noProof/>
            <w:webHidden/>
          </w:rPr>
        </w:r>
        <w:r>
          <w:rPr>
            <w:noProof/>
            <w:webHidden/>
          </w:rPr>
          <w:fldChar w:fldCharType="separate"/>
        </w:r>
        <w:r>
          <w:rPr>
            <w:noProof/>
            <w:webHidden/>
          </w:rPr>
          <w:t>4</w:t>
        </w:r>
        <w:r>
          <w:rPr>
            <w:noProof/>
            <w:webHidden/>
          </w:rPr>
          <w:fldChar w:fldCharType="end"/>
        </w:r>
      </w:hyperlink>
    </w:p>
    <w:p w14:paraId="3E2444FB" w14:textId="0B3E7FE5" w:rsidR="00446469" w:rsidRDefault="00446469">
      <w:pPr>
        <w:pStyle w:val="TOC2"/>
        <w:rPr>
          <w:rFonts w:asciiTheme="minorHAnsi" w:eastAsiaTheme="minorEastAsia" w:hAnsiTheme="minorHAnsi" w:cstheme="minorBidi"/>
          <w:noProof/>
        </w:rPr>
      </w:pPr>
      <w:hyperlink w:anchor="_Toc203747471" w:history="1">
        <w:r w:rsidRPr="008B7392">
          <w:rPr>
            <w:rStyle w:val="Hyperlink"/>
            <w:bCs/>
            <w:noProof/>
            <w:specVanish/>
          </w:rPr>
          <w:t>C.</w:t>
        </w:r>
        <w:r>
          <w:rPr>
            <w:rFonts w:asciiTheme="minorHAnsi" w:eastAsiaTheme="minorEastAsia" w:hAnsiTheme="minorHAnsi" w:cstheme="minorBidi"/>
            <w:noProof/>
          </w:rPr>
          <w:tab/>
        </w:r>
        <w:r w:rsidRPr="008B7392">
          <w:rPr>
            <w:rStyle w:val="Hyperlink"/>
            <w:noProof/>
          </w:rPr>
          <w:t>Revocation Proceedings.</w:t>
        </w:r>
        <w:r>
          <w:rPr>
            <w:noProof/>
            <w:webHidden/>
          </w:rPr>
          <w:tab/>
        </w:r>
        <w:r>
          <w:rPr>
            <w:noProof/>
            <w:webHidden/>
          </w:rPr>
          <w:fldChar w:fldCharType="begin"/>
        </w:r>
        <w:r>
          <w:rPr>
            <w:noProof/>
            <w:webHidden/>
          </w:rPr>
          <w:instrText xml:space="preserve"> PAGEREF _Toc203747471 \h </w:instrText>
        </w:r>
        <w:r>
          <w:rPr>
            <w:noProof/>
            <w:webHidden/>
          </w:rPr>
        </w:r>
        <w:r>
          <w:rPr>
            <w:noProof/>
            <w:webHidden/>
          </w:rPr>
          <w:fldChar w:fldCharType="separate"/>
        </w:r>
        <w:r>
          <w:rPr>
            <w:noProof/>
            <w:webHidden/>
          </w:rPr>
          <w:t>4</w:t>
        </w:r>
        <w:r>
          <w:rPr>
            <w:noProof/>
            <w:webHidden/>
          </w:rPr>
          <w:fldChar w:fldCharType="end"/>
        </w:r>
      </w:hyperlink>
    </w:p>
    <w:p w14:paraId="10772A47" w14:textId="3FFD154A" w:rsidR="00446469" w:rsidRDefault="00446469">
      <w:pPr>
        <w:pStyle w:val="TOC1"/>
        <w:rPr>
          <w:rFonts w:asciiTheme="minorHAnsi" w:eastAsiaTheme="minorEastAsia" w:hAnsiTheme="minorHAnsi" w:cstheme="minorBidi"/>
          <w:noProof/>
        </w:rPr>
      </w:pPr>
      <w:hyperlink w:anchor="_Toc203747472" w:history="1">
        <w:r w:rsidRPr="008B7392">
          <w:rPr>
            <w:rStyle w:val="Hyperlink"/>
            <w:noProof/>
            <w:specVanish/>
          </w:rPr>
          <w:t>V.</w:t>
        </w:r>
        <w:r>
          <w:rPr>
            <w:rFonts w:asciiTheme="minorHAnsi" w:eastAsiaTheme="minorEastAsia" w:hAnsiTheme="minorHAnsi" w:cstheme="minorBidi"/>
            <w:noProof/>
          </w:rPr>
          <w:tab/>
        </w:r>
        <w:r w:rsidRPr="008B7392">
          <w:rPr>
            <w:rStyle w:val="Hyperlink"/>
            <w:noProof/>
          </w:rPr>
          <w:t>Attachment of Jeopardy.</w:t>
        </w:r>
        <w:r>
          <w:rPr>
            <w:noProof/>
            <w:webHidden/>
          </w:rPr>
          <w:tab/>
        </w:r>
        <w:r>
          <w:rPr>
            <w:noProof/>
            <w:webHidden/>
          </w:rPr>
          <w:fldChar w:fldCharType="begin"/>
        </w:r>
        <w:r>
          <w:rPr>
            <w:noProof/>
            <w:webHidden/>
          </w:rPr>
          <w:instrText xml:space="preserve"> PAGEREF _Toc203747472 \h </w:instrText>
        </w:r>
        <w:r>
          <w:rPr>
            <w:noProof/>
            <w:webHidden/>
          </w:rPr>
        </w:r>
        <w:r>
          <w:rPr>
            <w:noProof/>
            <w:webHidden/>
          </w:rPr>
          <w:fldChar w:fldCharType="separate"/>
        </w:r>
        <w:r>
          <w:rPr>
            <w:noProof/>
            <w:webHidden/>
          </w:rPr>
          <w:t>4</w:t>
        </w:r>
        <w:r>
          <w:rPr>
            <w:noProof/>
            <w:webHidden/>
          </w:rPr>
          <w:fldChar w:fldCharType="end"/>
        </w:r>
      </w:hyperlink>
    </w:p>
    <w:p w14:paraId="469D9825" w14:textId="258A9B5F" w:rsidR="00446469" w:rsidRDefault="00446469">
      <w:pPr>
        <w:pStyle w:val="TOC2"/>
        <w:rPr>
          <w:rFonts w:asciiTheme="minorHAnsi" w:eastAsiaTheme="minorEastAsia" w:hAnsiTheme="minorHAnsi" w:cstheme="minorBidi"/>
          <w:noProof/>
        </w:rPr>
      </w:pPr>
      <w:hyperlink w:anchor="_Toc203747473"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Jury Trial.</w:t>
        </w:r>
        <w:r>
          <w:rPr>
            <w:noProof/>
            <w:webHidden/>
          </w:rPr>
          <w:tab/>
        </w:r>
        <w:r>
          <w:rPr>
            <w:noProof/>
            <w:webHidden/>
          </w:rPr>
          <w:fldChar w:fldCharType="begin"/>
        </w:r>
        <w:r>
          <w:rPr>
            <w:noProof/>
            <w:webHidden/>
          </w:rPr>
          <w:instrText xml:space="preserve"> PAGEREF _Toc203747473 \h </w:instrText>
        </w:r>
        <w:r>
          <w:rPr>
            <w:noProof/>
            <w:webHidden/>
          </w:rPr>
        </w:r>
        <w:r>
          <w:rPr>
            <w:noProof/>
            <w:webHidden/>
          </w:rPr>
          <w:fldChar w:fldCharType="separate"/>
        </w:r>
        <w:r>
          <w:rPr>
            <w:noProof/>
            <w:webHidden/>
          </w:rPr>
          <w:t>4</w:t>
        </w:r>
        <w:r>
          <w:rPr>
            <w:noProof/>
            <w:webHidden/>
          </w:rPr>
          <w:fldChar w:fldCharType="end"/>
        </w:r>
      </w:hyperlink>
    </w:p>
    <w:p w14:paraId="26E29FAE" w14:textId="0468012B" w:rsidR="00446469" w:rsidRDefault="00446469">
      <w:pPr>
        <w:pStyle w:val="TOC2"/>
        <w:rPr>
          <w:rFonts w:asciiTheme="minorHAnsi" w:eastAsiaTheme="minorEastAsia" w:hAnsiTheme="minorHAnsi" w:cstheme="minorBidi"/>
          <w:noProof/>
        </w:rPr>
      </w:pPr>
      <w:hyperlink w:anchor="_Toc203747474" w:history="1">
        <w:r w:rsidRPr="008B7392">
          <w:rPr>
            <w:rStyle w:val="Hyperlink"/>
            <w:noProof/>
            <w:specVanish/>
          </w:rPr>
          <w:t>B.</w:t>
        </w:r>
        <w:r>
          <w:rPr>
            <w:rFonts w:asciiTheme="minorHAnsi" w:eastAsiaTheme="minorEastAsia" w:hAnsiTheme="minorHAnsi" w:cstheme="minorBidi"/>
            <w:noProof/>
          </w:rPr>
          <w:tab/>
        </w:r>
        <w:r w:rsidRPr="008B7392">
          <w:rPr>
            <w:rStyle w:val="Hyperlink"/>
            <w:noProof/>
          </w:rPr>
          <w:t>Bench Trial.</w:t>
        </w:r>
        <w:r>
          <w:rPr>
            <w:noProof/>
            <w:webHidden/>
          </w:rPr>
          <w:tab/>
        </w:r>
        <w:r>
          <w:rPr>
            <w:noProof/>
            <w:webHidden/>
          </w:rPr>
          <w:fldChar w:fldCharType="begin"/>
        </w:r>
        <w:r>
          <w:rPr>
            <w:noProof/>
            <w:webHidden/>
          </w:rPr>
          <w:instrText xml:space="preserve"> PAGEREF _Toc203747474 \h </w:instrText>
        </w:r>
        <w:r>
          <w:rPr>
            <w:noProof/>
            <w:webHidden/>
          </w:rPr>
        </w:r>
        <w:r>
          <w:rPr>
            <w:noProof/>
            <w:webHidden/>
          </w:rPr>
          <w:fldChar w:fldCharType="separate"/>
        </w:r>
        <w:r>
          <w:rPr>
            <w:noProof/>
            <w:webHidden/>
          </w:rPr>
          <w:t>5</w:t>
        </w:r>
        <w:r>
          <w:rPr>
            <w:noProof/>
            <w:webHidden/>
          </w:rPr>
          <w:fldChar w:fldCharType="end"/>
        </w:r>
      </w:hyperlink>
    </w:p>
    <w:p w14:paraId="5F14A0B0" w14:textId="76AD53AA" w:rsidR="00446469" w:rsidRDefault="00446469">
      <w:pPr>
        <w:pStyle w:val="TOC2"/>
        <w:rPr>
          <w:rFonts w:asciiTheme="minorHAnsi" w:eastAsiaTheme="minorEastAsia" w:hAnsiTheme="minorHAnsi" w:cstheme="minorBidi"/>
          <w:noProof/>
        </w:rPr>
      </w:pPr>
      <w:hyperlink w:anchor="_Toc203747475" w:history="1">
        <w:r w:rsidRPr="008B7392">
          <w:rPr>
            <w:rStyle w:val="Hyperlink"/>
            <w:noProof/>
            <w:specVanish/>
          </w:rPr>
          <w:t>C.</w:t>
        </w:r>
        <w:r>
          <w:rPr>
            <w:rFonts w:asciiTheme="minorHAnsi" w:eastAsiaTheme="minorEastAsia" w:hAnsiTheme="minorHAnsi" w:cstheme="minorBidi"/>
            <w:noProof/>
          </w:rPr>
          <w:tab/>
        </w:r>
        <w:r w:rsidRPr="008B7392">
          <w:rPr>
            <w:rStyle w:val="Hyperlink"/>
            <w:noProof/>
          </w:rPr>
          <w:t>Guilty Plea.</w:t>
        </w:r>
        <w:r>
          <w:rPr>
            <w:noProof/>
            <w:webHidden/>
          </w:rPr>
          <w:tab/>
        </w:r>
        <w:r>
          <w:rPr>
            <w:noProof/>
            <w:webHidden/>
          </w:rPr>
          <w:fldChar w:fldCharType="begin"/>
        </w:r>
        <w:r>
          <w:rPr>
            <w:noProof/>
            <w:webHidden/>
          </w:rPr>
          <w:instrText xml:space="preserve"> PAGEREF _Toc203747475 \h </w:instrText>
        </w:r>
        <w:r>
          <w:rPr>
            <w:noProof/>
            <w:webHidden/>
          </w:rPr>
        </w:r>
        <w:r>
          <w:rPr>
            <w:noProof/>
            <w:webHidden/>
          </w:rPr>
          <w:fldChar w:fldCharType="separate"/>
        </w:r>
        <w:r>
          <w:rPr>
            <w:noProof/>
            <w:webHidden/>
          </w:rPr>
          <w:t>5</w:t>
        </w:r>
        <w:r>
          <w:rPr>
            <w:noProof/>
            <w:webHidden/>
          </w:rPr>
          <w:fldChar w:fldCharType="end"/>
        </w:r>
      </w:hyperlink>
    </w:p>
    <w:p w14:paraId="35656EE8" w14:textId="28647B92" w:rsidR="00446469" w:rsidRDefault="00446469">
      <w:pPr>
        <w:pStyle w:val="TOC2"/>
        <w:rPr>
          <w:rFonts w:asciiTheme="minorHAnsi" w:eastAsiaTheme="minorEastAsia" w:hAnsiTheme="minorHAnsi" w:cstheme="minorBidi"/>
          <w:noProof/>
        </w:rPr>
      </w:pPr>
      <w:hyperlink w:anchor="_Toc203747476" w:history="1">
        <w:r w:rsidRPr="008B7392">
          <w:rPr>
            <w:rStyle w:val="Hyperlink"/>
            <w:noProof/>
            <w:specVanish/>
          </w:rPr>
          <w:t>D.</w:t>
        </w:r>
        <w:r>
          <w:rPr>
            <w:rFonts w:asciiTheme="minorHAnsi" w:eastAsiaTheme="minorEastAsia" w:hAnsiTheme="minorHAnsi" w:cstheme="minorBidi"/>
            <w:noProof/>
          </w:rPr>
          <w:tab/>
        </w:r>
        <w:r w:rsidRPr="008B7392">
          <w:rPr>
            <w:rStyle w:val="Hyperlink"/>
            <w:noProof/>
          </w:rPr>
          <w:t>Prior Dismissal.</w:t>
        </w:r>
        <w:r>
          <w:rPr>
            <w:noProof/>
            <w:webHidden/>
          </w:rPr>
          <w:tab/>
        </w:r>
        <w:r>
          <w:rPr>
            <w:noProof/>
            <w:webHidden/>
          </w:rPr>
          <w:fldChar w:fldCharType="begin"/>
        </w:r>
        <w:r>
          <w:rPr>
            <w:noProof/>
            <w:webHidden/>
          </w:rPr>
          <w:instrText xml:space="preserve"> PAGEREF _Toc203747476 \h </w:instrText>
        </w:r>
        <w:r>
          <w:rPr>
            <w:noProof/>
            <w:webHidden/>
          </w:rPr>
        </w:r>
        <w:r>
          <w:rPr>
            <w:noProof/>
            <w:webHidden/>
          </w:rPr>
          <w:fldChar w:fldCharType="separate"/>
        </w:r>
        <w:r>
          <w:rPr>
            <w:noProof/>
            <w:webHidden/>
          </w:rPr>
          <w:t>5</w:t>
        </w:r>
        <w:r>
          <w:rPr>
            <w:noProof/>
            <w:webHidden/>
          </w:rPr>
          <w:fldChar w:fldCharType="end"/>
        </w:r>
      </w:hyperlink>
    </w:p>
    <w:p w14:paraId="0F5C9480" w14:textId="0B1D5D05" w:rsidR="00446469" w:rsidRDefault="00446469">
      <w:pPr>
        <w:pStyle w:val="TOC2"/>
        <w:rPr>
          <w:rFonts w:asciiTheme="minorHAnsi" w:eastAsiaTheme="minorEastAsia" w:hAnsiTheme="minorHAnsi" w:cstheme="minorBidi"/>
          <w:noProof/>
        </w:rPr>
      </w:pPr>
      <w:hyperlink w:anchor="_Toc203747477" w:history="1">
        <w:r w:rsidRPr="008B7392">
          <w:rPr>
            <w:rStyle w:val="Hyperlink"/>
            <w:bCs/>
            <w:noProof/>
            <w:specVanish/>
          </w:rPr>
          <w:t>E.</w:t>
        </w:r>
        <w:r>
          <w:rPr>
            <w:rFonts w:asciiTheme="minorHAnsi" w:eastAsiaTheme="minorEastAsia" w:hAnsiTheme="minorHAnsi" w:cstheme="minorBidi"/>
            <w:noProof/>
          </w:rPr>
          <w:tab/>
        </w:r>
        <w:r w:rsidRPr="008B7392">
          <w:rPr>
            <w:rStyle w:val="Hyperlink"/>
            <w:noProof/>
          </w:rPr>
          <w:t>Fraudulent Acquittal.</w:t>
        </w:r>
        <w:r>
          <w:rPr>
            <w:noProof/>
            <w:webHidden/>
          </w:rPr>
          <w:tab/>
        </w:r>
        <w:r>
          <w:rPr>
            <w:noProof/>
            <w:webHidden/>
          </w:rPr>
          <w:fldChar w:fldCharType="begin"/>
        </w:r>
        <w:r>
          <w:rPr>
            <w:noProof/>
            <w:webHidden/>
          </w:rPr>
          <w:instrText xml:space="preserve"> PAGEREF _Toc203747477 \h </w:instrText>
        </w:r>
        <w:r>
          <w:rPr>
            <w:noProof/>
            <w:webHidden/>
          </w:rPr>
        </w:r>
        <w:r>
          <w:rPr>
            <w:noProof/>
            <w:webHidden/>
          </w:rPr>
          <w:fldChar w:fldCharType="separate"/>
        </w:r>
        <w:r>
          <w:rPr>
            <w:noProof/>
            <w:webHidden/>
          </w:rPr>
          <w:t>5</w:t>
        </w:r>
        <w:r>
          <w:rPr>
            <w:noProof/>
            <w:webHidden/>
          </w:rPr>
          <w:fldChar w:fldCharType="end"/>
        </w:r>
      </w:hyperlink>
    </w:p>
    <w:p w14:paraId="6DB99A49" w14:textId="6E7CC521" w:rsidR="00446469" w:rsidRDefault="00446469">
      <w:pPr>
        <w:pStyle w:val="TOC1"/>
        <w:rPr>
          <w:rFonts w:asciiTheme="minorHAnsi" w:eastAsiaTheme="minorEastAsia" w:hAnsiTheme="minorHAnsi" w:cstheme="minorBidi"/>
          <w:noProof/>
        </w:rPr>
      </w:pPr>
      <w:hyperlink w:anchor="_Toc203747478" w:history="1">
        <w:r w:rsidRPr="008B7392">
          <w:rPr>
            <w:rStyle w:val="Hyperlink"/>
            <w:noProof/>
            <w:specVanish/>
          </w:rPr>
          <w:t>VI.</w:t>
        </w:r>
        <w:r>
          <w:rPr>
            <w:rFonts w:asciiTheme="minorHAnsi" w:eastAsiaTheme="minorEastAsia" w:hAnsiTheme="minorHAnsi" w:cstheme="minorBidi"/>
            <w:noProof/>
          </w:rPr>
          <w:tab/>
        </w:r>
        <w:r w:rsidRPr="008B7392">
          <w:rPr>
            <w:rStyle w:val="Hyperlink"/>
            <w:noProof/>
          </w:rPr>
          <w:t>Termination of Jeopardy.</w:t>
        </w:r>
        <w:r>
          <w:rPr>
            <w:noProof/>
            <w:webHidden/>
          </w:rPr>
          <w:tab/>
        </w:r>
        <w:r>
          <w:rPr>
            <w:noProof/>
            <w:webHidden/>
          </w:rPr>
          <w:fldChar w:fldCharType="begin"/>
        </w:r>
        <w:r>
          <w:rPr>
            <w:noProof/>
            <w:webHidden/>
          </w:rPr>
          <w:instrText xml:space="preserve"> PAGEREF _Toc203747478 \h </w:instrText>
        </w:r>
        <w:r>
          <w:rPr>
            <w:noProof/>
            <w:webHidden/>
          </w:rPr>
        </w:r>
        <w:r>
          <w:rPr>
            <w:noProof/>
            <w:webHidden/>
          </w:rPr>
          <w:fldChar w:fldCharType="separate"/>
        </w:r>
        <w:r>
          <w:rPr>
            <w:noProof/>
            <w:webHidden/>
          </w:rPr>
          <w:t>5</w:t>
        </w:r>
        <w:r>
          <w:rPr>
            <w:noProof/>
            <w:webHidden/>
          </w:rPr>
          <w:fldChar w:fldCharType="end"/>
        </w:r>
      </w:hyperlink>
    </w:p>
    <w:p w14:paraId="0460CDAC" w14:textId="58DF1B4C" w:rsidR="00446469" w:rsidRDefault="00446469">
      <w:pPr>
        <w:pStyle w:val="TOC2"/>
        <w:rPr>
          <w:rFonts w:asciiTheme="minorHAnsi" w:eastAsiaTheme="minorEastAsia" w:hAnsiTheme="minorHAnsi" w:cstheme="minorBidi"/>
          <w:noProof/>
        </w:rPr>
      </w:pPr>
      <w:hyperlink w:anchor="_Toc203747479"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Continuing Jeopardy.</w:t>
        </w:r>
        <w:r>
          <w:rPr>
            <w:noProof/>
            <w:webHidden/>
          </w:rPr>
          <w:tab/>
        </w:r>
        <w:r>
          <w:rPr>
            <w:noProof/>
            <w:webHidden/>
          </w:rPr>
          <w:fldChar w:fldCharType="begin"/>
        </w:r>
        <w:r>
          <w:rPr>
            <w:noProof/>
            <w:webHidden/>
          </w:rPr>
          <w:instrText xml:space="preserve"> PAGEREF _Toc203747479 \h </w:instrText>
        </w:r>
        <w:r>
          <w:rPr>
            <w:noProof/>
            <w:webHidden/>
          </w:rPr>
        </w:r>
        <w:r>
          <w:rPr>
            <w:noProof/>
            <w:webHidden/>
          </w:rPr>
          <w:fldChar w:fldCharType="separate"/>
        </w:r>
        <w:r>
          <w:rPr>
            <w:noProof/>
            <w:webHidden/>
          </w:rPr>
          <w:t>5</w:t>
        </w:r>
        <w:r>
          <w:rPr>
            <w:noProof/>
            <w:webHidden/>
          </w:rPr>
          <w:fldChar w:fldCharType="end"/>
        </w:r>
      </w:hyperlink>
    </w:p>
    <w:p w14:paraId="10BEE95F" w14:textId="5F30FD9D" w:rsidR="00446469" w:rsidRDefault="00446469">
      <w:pPr>
        <w:pStyle w:val="TOC2"/>
        <w:rPr>
          <w:rFonts w:asciiTheme="minorHAnsi" w:eastAsiaTheme="minorEastAsia" w:hAnsiTheme="minorHAnsi" w:cstheme="minorBidi"/>
          <w:noProof/>
        </w:rPr>
      </w:pPr>
      <w:hyperlink w:anchor="_Toc203747480" w:history="1">
        <w:r w:rsidRPr="008B7392">
          <w:rPr>
            <w:rStyle w:val="Hyperlink"/>
            <w:bCs/>
            <w:noProof/>
            <w:specVanish/>
          </w:rPr>
          <w:t>B.</w:t>
        </w:r>
        <w:r>
          <w:rPr>
            <w:rFonts w:asciiTheme="minorHAnsi" w:eastAsiaTheme="minorEastAsia" w:hAnsiTheme="minorHAnsi" w:cstheme="minorBidi"/>
            <w:noProof/>
          </w:rPr>
          <w:tab/>
        </w:r>
        <w:r w:rsidRPr="008B7392">
          <w:rPr>
            <w:rStyle w:val="Hyperlink"/>
            <w:noProof/>
          </w:rPr>
          <w:t>Mistrial.</w:t>
        </w:r>
        <w:r>
          <w:rPr>
            <w:noProof/>
            <w:webHidden/>
          </w:rPr>
          <w:tab/>
        </w:r>
        <w:r>
          <w:rPr>
            <w:noProof/>
            <w:webHidden/>
          </w:rPr>
          <w:fldChar w:fldCharType="begin"/>
        </w:r>
        <w:r>
          <w:rPr>
            <w:noProof/>
            <w:webHidden/>
          </w:rPr>
          <w:instrText xml:space="preserve"> PAGEREF _Toc203747480 \h </w:instrText>
        </w:r>
        <w:r>
          <w:rPr>
            <w:noProof/>
            <w:webHidden/>
          </w:rPr>
        </w:r>
        <w:r>
          <w:rPr>
            <w:noProof/>
            <w:webHidden/>
          </w:rPr>
          <w:fldChar w:fldCharType="separate"/>
        </w:r>
        <w:r>
          <w:rPr>
            <w:noProof/>
            <w:webHidden/>
          </w:rPr>
          <w:t>5</w:t>
        </w:r>
        <w:r>
          <w:rPr>
            <w:noProof/>
            <w:webHidden/>
          </w:rPr>
          <w:fldChar w:fldCharType="end"/>
        </w:r>
      </w:hyperlink>
    </w:p>
    <w:p w14:paraId="070BA999" w14:textId="1B5B0E77" w:rsidR="00446469" w:rsidRDefault="00446469">
      <w:pPr>
        <w:pStyle w:val="TOC2"/>
        <w:rPr>
          <w:rFonts w:asciiTheme="minorHAnsi" w:eastAsiaTheme="minorEastAsia" w:hAnsiTheme="minorHAnsi" w:cstheme="minorBidi"/>
          <w:noProof/>
        </w:rPr>
      </w:pPr>
      <w:hyperlink w:anchor="_Toc203747481" w:history="1">
        <w:r w:rsidRPr="008B7392">
          <w:rPr>
            <w:rStyle w:val="Hyperlink"/>
            <w:bCs/>
            <w:noProof/>
            <w:specVanish/>
          </w:rPr>
          <w:t>C.</w:t>
        </w:r>
        <w:r>
          <w:rPr>
            <w:rFonts w:asciiTheme="minorHAnsi" w:eastAsiaTheme="minorEastAsia" w:hAnsiTheme="minorHAnsi" w:cstheme="minorBidi"/>
            <w:noProof/>
          </w:rPr>
          <w:tab/>
        </w:r>
        <w:r w:rsidRPr="008B7392">
          <w:rPr>
            <w:rStyle w:val="Hyperlink"/>
            <w:noProof/>
          </w:rPr>
          <w:t>Defendant’s Request.</w:t>
        </w:r>
        <w:r>
          <w:rPr>
            <w:noProof/>
            <w:webHidden/>
          </w:rPr>
          <w:tab/>
        </w:r>
        <w:r>
          <w:rPr>
            <w:noProof/>
            <w:webHidden/>
          </w:rPr>
          <w:fldChar w:fldCharType="begin"/>
        </w:r>
        <w:r>
          <w:rPr>
            <w:noProof/>
            <w:webHidden/>
          </w:rPr>
          <w:instrText xml:space="preserve"> PAGEREF _Toc203747481 \h </w:instrText>
        </w:r>
        <w:r>
          <w:rPr>
            <w:noProof/>
            <w:webHidden/>
          </w:rPr>
        </w:r>
        <w:r>
          <w:rPr>
            <w:noProof/>
            <w:webHidden/>
          </w:rPr>
          <w:fldChar w:fldCharType="separate"/>
        </w:r>
        <w:r>
          <w:rPr>
            <w:noProof/>
            <w:webHidden/>
          </w:rPr>
          <w:t>5</w:t>
        </w:r>
        <w:r>
          <w:rPr>
            <w:noProof/>
            <w:webHidden/>
          </w:rPr>
          <w:fldChar w:fldCharType="end"/>
        </w:r>
      </w:hyperlink>
    </w:p>
    <w:p w14:paraId="6575FC04" w14:textId="39893F6D" w:rsidR="00446469" w:rsidRDefault="00446469">
      <w:pPr>
        <w:pStyle w:val="TOC2"/>
        <w:rPr>
          <w:rFonts w:asciiTheme="minorHAnsi" w:eastAsiaTheme="minorEastAsia" w:hAnsiTheme="minorHAnsi" w:cstheme="minorBidi"/>
          <w:noProof/>
        </w:rPr>
      </w:pPr>
      <w:hyperlink w:anchor="_Toc203747482" w:history="1">
        <w:r w:rsidRPr="008B7392">
          <w:rPr>
            <w:rStyle w:val="Hyperlink"/>
            <w:bCs/>
            <w:noProof/>
            <w:specVanish/>
          </w:rPr>
          <w:t>D.</w:t>
        </w:r>
        <w:r>
          <w:rPr>
            <w:rFonts w:asciiTheme="minorHAnsi" w:eastAsiaTheme="minorEastAsia" w:hAnsiTheme="minorHAnsi" w:cstheme="minorBidi"/>
            <w:noProof/>
          </w:rPr>
          <w:tab/>
        </w:r>
        <w:r w:rsidRPr="008B7392">
          <w:rPr>
            <w:rStyle w:val="Hyperlink"/>
            <w:noProof/>
          </w:rPr>
          <w:t>Voluntary Dismissal After Mistrial.</w:t>
        </w:r>
        <w:r>
          <w:rPr>
            <w:noProof/>
            <w:webHidden/>
          </w:rPr>
          <w:tab/>
        </w:r>
        <w:r>
          <w:rPr>
            <w:noProof/>
            <w:webHidden/>
          </w:rPr>
          <w:fldChar w:fldCharType="begin"/>
        </w:r>
        <w:r>
          <w:rPr>
            <w:noProof/>
            <w:webHidden/>
          </w:rPr>
          <w:instrText xml:space="preserve"> PAGEREF _Toc203747482 \h </w:instrText>
        </w:r>
        <w:r>
          <w:rPr>
            <w:noProof/>
            <w:webHidden/>
          </w:rPr>
        </w:r>
        <w:r>
          <w:rPr>
            <w:noProof/>
            <w:webHidden/>
          </w:rPr>
          <w:fldChar w:fldCharType="separate"/>
        </w:r>
        <w:r>
          <w:rPr>
            <w:noProof/>
            <w:webHidden/>
          </w:rPr>
          <w:t>6</w:t>
        </w:r>
        <w:r>
          <w:rPr>
            <w:noProof/>
            <w:webHidden/>
          </w:rPr>
          <w:fldChar w:fldCharType="end"/>
        </w:r>
      </w:hyperlink>
    </w:p>
    <w:p w14:paraId="7A521073" w14:textId="1E82C4DD" w:rsidR="00446469" w:rsidRDefault="00446469">
      <w:pPr>
        <w:pStyle w:val="TOC1"/>
        <w:rPr>
          <w:rFonts w:asciiTheme="minorHAnsi" w:eastAsiaTheme="minorEastAsia" w:hAnsiTheme="minorHAnsi" w:cstheme="minorBidi"/>
          <w:noProof/>
        </w:rPr>
      </w:pPr>
      <w:hyperlink w:anchor="_Toc203747483" w:history="1">
        <w:r w:rsidRPr="008B7392">
          <w:rPr>
            <w:rStyle w:val="Hyperlink"/>
            <w:noProof/>
            <w:specVanish/>
          </w:rPr>
          <w:t>VII.</w:t>
        </w:r>
        <w:r>
          <w:rPr>
            <w:rFonts w:asciiTheme="minorHAnsi" w:eastAsiaTheme="minorEastAsia" w:hAnsiTheme="minorHAnsi" w:cstheme="minorBidi"/>
            <w:noProof/>
          </w:rPr>
          <w:tab/>
        </w:r>
        <w:r w:rsidRPr="008B7392">
          <w:rPr>
            <w:rStyle w:val="Hyperlink"/>
            <w:noProof/>
          </w:rPr>
          <w:t>The Same Offense.</w:t>
        </w:r>
        <w:r>
          <w:rPr>
            <w:noProof/>
            <w:webHidden/>
          </w:rPr>
          <w:tab/>
        </w:r>
        <w:r>
          <w:rPr>
            <w:noProof/>
            <w:webHidden/>
          </w:rPr>
          <w:fldChar w:fldCharType="begin"/>
        </w:r>
        <w:r>
          <w:rPr>
            <w:noProof/>
            <w:webHidden/>
          </w:rPr>
          <w:instrText xml:space="preserve"> PAGEREF _Toc203747483 \h </w:instrText>
        </w:r>
        <w:r>
          <w:rPr>
            <w:noProof/>
            <w:webHidden/>
          </w:rPr>
        </w:r>
        <w:r>
          <w:rPr>
            <w:noProof/>
            <w:webHidden/>
          </w:rPr>
          <w:fldChar w:fldCharType="separate"/>
        </w:r>
        <w:r>
          <w:rPr>
            <w:noProof/>
            <w:webHidden/>
          </w:rPr>
          <w:t>6</w:t>
        </w:r>
        <w:r>
          <w:rPr>
            <w:noProof/>
            <w:webHidden/>
          </w:rPr>
          <w:fldChar w:fldCharType="end"/>
        </w:r>
      </w:hyperlink>
    </w:p>
    <w:p w14:paraId="394DF44E" w14:textId="05EB5341" w:rsidR="00446469" w:rsidRDefault="00446469">
      <w:pPr>
        <w:pStyle w:val="TOC2"/>
        <w:rPr>
          <w:rFonts w:asciiTheme="minorHAnsi" w:eastAsiaTheme="minorEastAsia" w:hAnsiTheme="minorHAnsi" w:cstheme="minorBidi"/>
          <w:noProof/>
        </w:rPr>
      </w:pPr>
      <w:hyperlink w:anchor="_Toc203747484" w:history="1">
        <w:r w:rsidRPr="008B7392">
          <w:rPr>
            <w:rStyle w:val="Hyperlink"/>
            <w:noProof/>
          </w:rPr>
          <w:t>A.</w:t>
        </w:r>
        <w:r>
          <w:rPr>
            <w:rFonts w:asciiTheme="minorHAnsi" w:eastAsiaTheme="minorEastAsia" w:hAnsiTheme="minorHAnsi" w:cstheme="minorBidi"/>
            <w:noProof/>
          </w:rPr>
          <w:tab/>
        </w:r>
        <w:r w:rsidRPr="008B7392">
          <w:rPr>
            <w:rStyle w:val="Hyperlink"/>
            <w:noProof/>
          </w:rPr>
          <w:t>The Same Offense in Law.</w:t>
        </w:r>
        <w:r>
          <w:rPr>
            <w:noProof/>
            <w:webHidden/>
          </w:rPr>
          <w:tab/>
        </w:r>
        <w:r>
          <w:rPr>
            <w:noProof/>
            <w:webHidden/>
          </w:rPr>
          <w:fldChar w:fldCharType="begin"/>
        </w:r>
        <w:r>
          <w:rPr>
            <w:noProof/>
            <w:webHidden/>
          </w:rPr>
          <w:instrText xml:space="preserve"> PAGEREF _Toc203747484 \h </w:instrText>
        </w:r>
        <w:r>
          <w:rPr>
            <w:noProof/>
            <w:webHidden/>
          </w:rPr>
        </w:r>
        <w:r>
          <w:rPr>
            <w:noProof/>
            <w:webHidden/>
          </w:rPr>
          <w:fldChar w:fldCharType="separate"/>
        </w:r>
        <w:r>
          <w:rPr>
            <w:noProof/>
            <w:webHidden/>
          </w:rPr>
          <w:t>6</w:t>
        </w:r>
        <w:r>
          <w:rPr>
            <w:noProof/>
            <w:webHidden/>
          </w:rPr>
          <w:fldChar w:fldCharType="end"/>
        </w:r>
      </w:hyperlink>
    </w:p>
    <w:p w14:paraId="7EA216CB" w14:textId="157F7B38" w:rsidR="00446469" w:rsidRDefault="00446469">
      <w:pPr>
        <w:pStyle w:val="TOC2"/>
        <w:rPr>
          <w:rFonts w:asciiTheme="minorHAnsi" w:eastAsiaTheme="minorEastAsia" w:hAnsiTheme="minorHAnsi" w:cstheme="minorBidi"/>
          <w:noProof/>
        </w:rPr>
      </w:pPr>
      <w:hyperlink w:anchor="_Toc203747485" w:history="1">
        <w:r w:rsidRPr="008B7392">
          <w:rPr>
            <w:rStyle w:val="Hyperlink"/>
            <w:noProof/>
          </w:rPr>
          <w:t>B.</w:t>
        </w:r>
        <w:r>
          <w:rPr>
            <w:rFonts w:asciiTheme="minorHAnsi" w:eastAsiaTheme="minorEastAsia" w:hAnsiTheme="minorHAnsi" w:cstheme="minorBidi"/>
            <w:noProof/>
          </w:rPr>
          <w:tab/>
        </w:r>
        <w:r w:rsidRPr="008B7392">
          <w:rPr>
            <w:rStyle w:val="Hyperlink"/>
            <w:noProof/>
          </w:rPr>
          <w:t>The Same Offense in Fact.</w:t>
        </w:r>
        <w:r>
          <w:rPr>
            <w:noProof/>
            <w:webHidden/>
          </w:rPr>
          <w:tab/>
        </w:r>
        <w:r>
          <w:rPr>
            <w:noProof/>
            <w:webHidden/>
          </w:rPr>
          <w:fldChar w:fldCharType="begin"/>
        </w:r>
        <w:r>
          <w:rPr>
            <w:noProof/>
            <w:webHidden/>
          </w:rPr>
          <w:instrText xml:space="preserve"> PAGEREF _Toc203747485 \h </w:instrText>
        </w:r>
        <w:r>
          <w:rPr>
            <w:noProof/>
            <w:webHidden/>
          </w:rPr>
        </w:r>
        <w:r>
          <w:rPr>
            <w:noProof/>
            <w:webHidden/>
          </w:rPr>
          <w:fldChar w:fldCharType="separate"/>
        </w:r>
        <w:r>
          <w:rPr>
            <w:noProof/>
            <w:webHidden/>
          </w:rPr>
          <w:t>7</w:t>
        </w:r>
        <w:r>
          <w:rPr>
            <w:noProof/>
            <w:webHidden/>
          </w:rPr>
          <w:fldChar w:fldCharType="end"/>
        </w:r>
      </w:hyperlink>
    </w:p>
    <w:p w14:paraId="2B516E5F" w14:textId="3E624321" w:rsidR="00446469" w:rsidRDefault="00446469">
      <w:pPr>
        <w:pStyle w:val="TOC1"/>
        <w:rPr>
          <w:rFonts w:asciiTheme="minorHAnsi" w:eastAsiaTheme="minorEastAsia" w:hAnsiTheme="minorHAnsi" w:cstheme="minorBidi"/>
          <w:noProof/>
        </w:rPr>
      </w:pPr>
      <w:hyperlink w:anchor="_Toc203747486" w:history="1">
        <w:r w:rsidRPr="008B7392">
          <w:rPr>
            <w:rStyle w:val="Hyperlink"/>
            <w:noProof/>
          </w:rPr>
          <w:t>VIII.</w:t>
        </w:r>
        <w:r>
          <w:rPr>
            <w:rFonts w:asciiTheme="minorHAnsi" w:eastAsiaTheme="minorEastAsia" w:hAnsiTheme="minorHAnsi" w:cstheme="minorBidi"/>
            <w:noProof/>
          </w:rPr>
          <w:tab/>
        </w:r>
        <w:r w:rsidRPr="008B7392">
          <w:rPr>
            <w:rStyle w:val="Hyperlink"/>
            <w:noProof/>
          </w:rPr>
          <w:t>A Prior Acquittal.</w:t>
        </w:r>
        <w:r>
          <w:rPr>
            <w:noProof/>
            <w:webHidden/>
          </w:rPr>
          <w:tab/>
        </w:r>
        <w:r>
          <w:rPr>
            <w:noProof/>
            <w:webHidden/>
          </w:rPr>
          <w:fldChar w:fldCharType="begin"/>
        </w:r>
        <w:r>
          <w:rPr>
            <w:noProof/>
            <w:webHidden/>
          </w:rPr>
          <w:instrText xml:space="preserve"> PAGEREF _Toc203747486 \h </w:instrText>
        </w:r>
        <w:r>
          <w:rPr>
            <w:noProof/>
            <w:webHidden/>
          </w:rPr>
        </w:r>
        <w:r>
          <w:rPr>
            <w:noProof/>
            <w:webHidden/>
          </w:rPr>
          <w:fldChar w:fldCharType="separate"/>
        </w:r>
        <w:r>
          <w:rPr>
            <w:noProof/>
            <w:webHidden/>
          </w:rPr>
          <w:t>9</w:t>
        </w:r>
        <w:r>
          <w:rPr>
            <w:noProof/>
            <w:webHidden/>
          </w:rPr>
          <w:fldChar w:fldCharType="end"/>
        </w:r>
      </w:hyperlink>
    </w:p>
    <w:p w14:paraId="6E03F977" w14:textId="4251CB14" w:rsidR="00446469" w:rsidRDefault="00446469">
      <w:pPr>
        <w:pStyle w:val="TOC2"/>
        <w:rPr>
          <w:rFonts w:asciiTheme="minorHAnsi" w:eastAsiaTheme="minorEastAsia" w:hAnsiTheme="minorHAnsi" w:cstheme="minorBidi"/>
          <w:noProof/>
        </w:rPr>
      </w:pPr>
      <w:hyperlink w:anchor="_Toc203747487"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Jury Acquittal.</w:t>
        </w:r>
        <w:r>
          <w:rPr>
            <w:noProof/>
            <w:webHidden/>
          </w:rPr>
          <w:tab/>
        </w:r>
        <w:r>
          <w:rPr>
            <w:noProof/>
            <w:webHidden/>
          </w:rPr>
          <w:fldChar w:fldCharType="begin"/>
        </w:r>
        <w:r>
          <w:rPr>
            <w:noProof/>
            <w:webHidden/>
          </w:rPr>
          <w:instrText xml:space="preserve"> PAGEREF _Toc203747487 \h </w:instrText>
        </w:r>
        <w:r>
          <w:rPr>
            <w:noProof/>
            <w:webHidden/>
          </w:rPr>
        </w:r>
        <w:r>
          <w:rPr>
            <w:noProof/>
            <w:webHidden/>
          </w:rPr>
          <w:fldChar w:fldCharType="separate"/>
        </w:r>
        <w:r>
          <w:rPr>
            <w:noProof/>
            <w:webHidden/>
          </w:rPr>
          <w:t>9</w:t>
        </w:r>
        <w:r>
          <w:rPr>
            <w:noProof/>
            <w:webHidden/>
          </w:rPr>
          <w:fldChar w:fldCharType="end"/>
        </w:r>
      </w:hyperlink>
    </w:p>
    <w:p w14:paraId="29864AF5" w14:textId="1341B4C5" w:rsidR="00446469" w:rsidRDefault="00446469">
      <w:pPr>
        <w:pStyle w:val="TOC2"/>
        <w:rPr>
          <w:rFonts w:asciiTheme="minorHAnsi" w:eastAsiaTheme="minorEastAsia" w:hAnsiTheme="minorHAnsi" w:cstheme="minorBidi"/>
          <w:noProof/>
        </w:rPr>
      </w:pPr>
      <w:hyperlink w:anchor="_Toc203747488" w:history="1">
        <w:r w:rsidRPr="008B7392">
          <w:rPr>
            <w:rStyle w:val="Hyperlink"/>
            <w:noProof/>
            <w:specVanish/>
          </w:rPr>
          <w:t>B.</w:t>
        </w:r>
        <w:r>
          <w:rPr>
            <w:rFonts w:asciiTheme="minorHAnsi" w:eastAsiaTheme="minorEastAsia" w:hAnsiTheme="minorHAnsi" w:cstheme="minorBidi"/>
            <w:noProof/>
          </w:rPr>
          <w:tab/>
        </w:r>
        <w:r w:rsidRPr="008B7392">
          <w:rPr>
            <w:rStyle w:val="Hyperlink"/>
            <w:noProof/>
          </w:rPr>
          <w:t>Judicial Acquittal.</w:t>
        </w:r>
        <w:r>
          <w:rPr>
            <w:noProof/>
            <w:webHidden/>
          </w:rPr>
          <w:tab/>
        </w:r>
        <w:r>
          <w:rPr>
            <w:noProof/>
            <w:webHidden/>
          </w:rPr>
          <w:fldChar w:fldCharType="begin"/>
        </w:r>
        <w:r>
          <w:rPr>
            <w:noProof/>
            <w:webHidden/>
          </w:rPr>
          <w:instrText xml:space="preserve"> PAGEREF _Toc203747488 \h </w:instrText>
        </w:r>
        <w:r>
          <w:rPr>
            <w:noProof/>
            <w:webHidden/>
          </w:rPr>
        </w:r>
        <w:r>
          <w:rPr>
            <w:noProof/>
            <w:webHidden/>
          </w:rPr>
          <w:fldChar w:fldCharType="separate"/>
        </w:r>
        <w:r>
          <w:rPr>
            <w:noProof/>
            <w:webHidden/>
          </w:rPr>
          <w:t>10</w:t>
        </w:r>
        <w:r>
          <w:rPr>
            <w:noProof/>
            <w:webHidden/>
          </w:rPr>
          <w:fldChar w:fldCharType="end"/>
        </w:r>
      </w:hyperlink>
    </w:p>
    <w:p w14:paraId="1FF6753E" w14:textId="69DF2EFC" w:rsidR="00446469" w:rsidRDefault="00446469">
      <w:pPr>
        <w:pStyle w:val="TOC2"/>
        <w:rPr>
          <w:rFonts w:asciiTheme="minorHAnsi" w:eastAsiaTheme="minorEastAsia" w:hAnsiTheme="minorHAnsi" w:cstheme="minorBidi"/>
          <w:noProof/>
        </w:rPr>
      </w:pPr>
      <w:hyperlink w:anchor="_Toc203747489" w:history="1">
        <w:r w:rsidRPr="008B7392">
          <w:rPr>
            <w:rStyle w:val="Hyperlink"/>
            <w:noProof/>
          </w:rPr>
          <w:t>C.</w:t>
        </w:r>
        <w:r>
          <w:rPr>
            <w:rFonts w:asciiTheme="minorHAnsi" w:eastAsiaTheme="minorEastAsia" w:hAnsiTheme="minorHAnsi" w:cstheme="minorBidi"/>
            <w:noProof/>
          </w:rPr>
          <w:tab/>
        </w:r>
        <w:r w:rsidRPr="008B7392">
          <w:rPr>
            <w:rStyle w:val="Hyperlink"/>
            <w:noProof/>
          </w:rPr>
          <w:t>Implied Acquittal.</w:t>
        </w:r>
        <w:r>
          <w:rPr>
            <w:noProof/>
            <w:webHidden/>
          </w:rPr>
          <w:tab/>
        </w:r>
        <w:r>
          <w:rPr>
            <w:noProof/>
            <w:webHidden/>
          </w:rPr>
          <w:fldChar w:fldCharType="begin"/>
        </w:r>
        <w:r>
          <w:rPr>
            <w:noProof/>
            <w:webHidden/>
          </w:rPr>
          <w:instrText xml:space="preserve"> PAGEREF _Toc203747489 \h </w:instrText>
        </w:r>
        <w:r>
          <w:rPr>
            <w:noProof/>
            <w:webHidden/>
          </w:rPr>
        </w:r>
        <w:r>
          <w:rPr>
            <w:noProof/>
            <w:webHidden/>
          </w:rPr>
          <w:fldChar w:fldCharType="separate"/>
        </w:r>
        <w:r>
          <w:rPr>
            <w:noProof/>
            <w:webHidden/>
          </w:rPr>
          <w:t>10</w:t>
        </w:r>
        <w:r>
          <w:rPr>
            <w:noProof/>
            <w:webHidden/>
          </w:rPr>
          <w:fldChar w:fldCharType="end"/>
        </w:r>
      </w:hyperlink>
    </w:p>
    <w:p w14:paraId="4CFC9600" w14:textId="1FC542EB" w:rsidR="00446469" w:rsidRDefault="00446469">
      <w:pPr>
        <w:pStyle w:val="TOC1"/>
        <w:rPr>
          <w:rFonts w:asciiTheme="minorHAnsi" w:eastAsiaTheme="minorEastAsia" w:hAnsiTheme="minorHAnsi" w:cstheme="minorBidi"/>
          <w:noProof/>
        </w:rPr>
      </w:pPr>
      <w:hyperlink w:anchor="_Toc203747490" w:history="1">
        <w:r w:rsidRPr="008B7392">
          <w:rPr>
            <w:rStyle w:val="Hyperlink"/>
            <w:noProof/>
            <w:specVanish/>
          </w:rPr>
          <w:t>IX.</w:t>
        </w:r>
        <w:r>
          <w:rPr>
            <w:rFonts w:asciiTheme="minorHAnsi" w:eastAsiaTheme="minorEastAsia" w:hAnsiTheme="minorHAnsi" w:cstheme="minorBidi"/>
            <w:noProof/>
          </w:rPr>
          <w:tab/>
        </w:r>
        <w:r w:rsidRPr="008B7392">
          <w:rPr>
            <w:rStyle w:val="Hyperlink"/>
            <w:noProof/>
          </w:rPr>
          <w:t>A Prior Conviction.</w:t>
        </w:r>
        <w:r>
          <w:rPr>
            <w:noProof/>
            <w:webHidden/>
          </w:rPr>
          <w:tab/>
        </w:r>
        <w:r>
          <w:rPr>
            <w:noProof/>
            <w:webHidden/>
          </w:rPr>
          <w:fldChar w:fldCharType="begin"/>
        </w:r>
        <w:r>
          <w:rPr>
            <w:noProof/>
            <w:webHidden/>
          </w:rPr>
          <w:instrText xml:space="preserve"> PAGEREF _Toc203747490 \h </w:instrText>
        </w:r>
        <w:r>
          <w:rPr>
            <w:noProof/>
            <w:webHidden/>
          </w:rPr>
        </w:r>
        <w:r>
          <w:rPr>
            <w:noProof/>
            <w:webHidden/>
          </w:rPr>
          <w:fldChar w:fldCharType="separate"/>
        </w:r>
        <w:r>
          <w:rPr>
            <w:noProof/>
            <w:webHidden/>
          </w:rPr>
          <w:t>11</w:t>
        </w:r>
        <w:r>
          <w:rPr>
            <w:noProof/>
            <w:webHidden/>
          </w:rPr>
          <w:fldChar w:fldCharType="end"/>
        </w:r>
      </w:hyperlink>
    </w:p>
    <w:p w14:paraId="11136CF9" w14:textId="0E42BAD9" w:rsidR="00446469" w:rsidRDefault="00446469">
      <w:pPr>
        <w:pStyle w:val="TOC2"/>
        <w:rPr>
          <w:rFonts w:asciiTheme="minorHAnsi" w:eastAsiaTheme="minorEastAsia" w:hAnsiTheme="minorHAnsi" w:cstheme="minorBidi"/>
          <w:noProof/>
        </w:rPr>
      </w:pPr>
      <w:hyperlink w:anchor="_Toc203747491"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Lesser Included Offenses.</w:t>
        </w:r>
        <w:r>
          <w:rPr>
            <w:noProof/>
            <w:webHidden/>
          </w:rPr>
          <w:tab/>
        </w:r>
        <w:r>
          <w:rPr>
            <w:noProof/>
            <w:webHidden/>
          </w:rPr>
          <w:fldChar w:fldCharType="begin"/>
        </w:r>
        <w:r>
          <w:rPr>
            <w:noProof/>
            <w:webHidden/>
          </w:rPr>
          <w:instrText xml:space="preserve"> PAGEREF _Toc203747491 \h </w:instrText>
        </w:r>
        <w:r>
          <w:rPr>
            <w:noProof/>
            <w:webHidden/>
          </w:rPr>
        </w:r>
        <w:r>
          <w:rPr>
            <w:noProof/>
            <w:webHidden/>
          </w:rPr>
          <w:fldChar w:fldCharType="separate"/>
        </w:r>
        <w:r>
          <w:rPr>
            <w:noProof/>
            <w:webHidden/>
          </w:rPr>
          <w:t>11</w:t>
        </w:r>
        <w:r>
          <w:rPr>
            <w:noProof/>
            <w:webHidden/>
          </w:rPr>
          <w:fldChar w:fldCharType="end"/>
        </w:r>
      </w:hyperlink>
    </w:p>
    <w:p w14:paraId="3148404F" w14:textId="21F8A099" w:rsidR="00446469" w:rsidRDefault="00446469">
      <w:pPr>
        <w:pStyle w:val="TOC2"/>
        <w:rPr>
          <w:rFonts w:asciiTheme="minorHAnsi" w:eastAsiaTheme="minorEastAsia" w:hAnsiTheme="minorHAnsi" w:cstheme="minorBidi"/>
          <w:noProof/>
        </w:rPr>
      </w:pPr>
      <w:hyperlink w:anchor="_Toc203747492" w:history="1">
        <w:r w:rsidRPr="008B7392">
          <w:rPr>
            <w:rStyle w:val="Hyperlink"/>
            <w:noProof/>
            <w:specVanish/>
          </w:rPr>
          <w:t>B.</w:t>
        </w:r>
        <w:r>
          <w:rPr>
            <w:rFonts w:asciiTheme="minorHAnsi" w:eastAsiaTheme="minorEastAsia" w:hAnsiTheme="minorHAnsi" w:cstheme="minorBidi"/>
            <w:noProof/>
          </w:rPr>
          <w:tab/>
        </w:r>
        <w:r w:rsidRPr="008B7392">
          <w:rPr>
            <w:rStyle w:val="Hyperlink"/>
            <w:noProof/>
          </w:rPr>
          <w:t>Subsequent Developments.</w:t>
        </w:r>
        <w:r>
          <w:rPr>
            <w:noProof/>
            <w:webHidden/>
          </w:rPr>
          <w:tab/>
        </w:r>
        <w:r>
          <w:rPr>
            <w:noProof/>
            <w:webHidden/>
          </w:rPr>
          <w:fldChar w:fldCharType="begin"/>
        </w:r>
        <w:r>
          <w:rPr>
            <w:noProof/>
            <w:webHidden/>
          </w:rPr>
          <w:instrText xml:space="preserve"> PAGEREF _Toc203747492 \h </w:instrText>
        </w:r>
        <w:r>
          <w:rPr>
            <w:noProof/>
            <w:webHidden/>
          </w:rPr>
        </w:r>
        <w:r>
          <w:rPr>
            <w:noProof/>
            <w:webHidden/>
          </w:rPr>
          <w:fldChar w:fldCharType="separate"/>
        </w:r>
        <w:r>
          <w:rPr>
            <w:noProof/>
            <w:webHidden/>
          </w:rPr>
          <w:t>11</w:t>
        </w:r>
        <w:r>
          <w:rPr>
            <w:noProof/>
            <w:webHidden/>
          </w:rPr>
          <w:fldChar w:fldCharType="end"/>
        </w:r>
      </w:hyperlink>
    </w:p>
    <w:p w14:paraId="3BD7E4DA" w14:textId="541C44EF" w:rsidR="00446469" w:rsidRDefault="00446469">
      <w:pPr>
        <w:pStyle w:val="TOC2"/>
        <w:rPr>
          <w:rFonts w:asciiTheme="minorHAnsi" w:eastAsiaTheme="minorEastAsia" w:hAnsiTheme="minorHAnsi" w:cstheme="minorBidi"/>
          <w:noProof/>
        </w:rPr>
      </w:pPr>
      <w:hyperlink w:anchor="_Toc203747493" w:history="1">
        <w:r w:rsidRPr="008B7392">
          <w:rPr>
            <w:rStyle w:val="Hyperlink"/>
            <w:noProof/>
            <w:specVanish/>
          </w:rPr>
          <w:t>C.</w:t>
        </w:r>
        <w:r>
          <w:rPr>
            <w:rFonts w:asciiTheme="minorHAnsi" w:eastAsiaTheme="minorEastAsia" w:hAnsiTheme="minorHAnsi" w:cstheme="minorBidi"/>
            <w:noProof/>
          </w:rPr>
          <w:tab/>
        </w:r>
        <w:r w:rsidRPr="008B7392">
          <w:rPr>
            <w:rStyle w:val="Hyperlink"/>
            <w:noProof/>
          </w:rPr>
          <w:t>Severance.</w:t>
        </w:r>
        <w:r>
          <w:rPr>
            <w:noProof/>
            <w:webHidden/>
          </w:rPr>
          <w:tab/>
        </w:r>
        <w:r>
          <w:rPr>
            <w:noProof/>
            <w:webHidden/>
          </w:rPr>
          <w:fldChar w:fldCharType="begin"/>
        </w:r>
        <w:r>
          <w:rPr>
            <w:noProof/>
            <w:webHidden/>
          </w:rPr>
          <w:instrText xml:space="preserve"> PAGEREF _Toc203747493 \h </w:instrText>
        </w:r>
        <w:r>
          <w:rPr>
            <w:noProof/>
            <w:webHidden/>
          </w:rPr>
        </w:r>
        <w:r>
          <w:rPr>
            <w:noProof/>
            <w:webHidden/>
          </w:rPr>
          <w:fldChar w:fldCharType="separate"/>
        </w:r>
        <w:r>
          <w:rPr>
            <w:noProof/>
            <w:webHidden/>
          </w:rPr>
          <w:t>11</w:t>
        </w:r>
        <w:r>
          <w:rPr>
            <w:noProof/>
            <w:webHidden/>
          </w:rPr>
          <w:fldChar w:fldCharType="end"/>
        </w:r>
      </w:hyperlink>
    </w:p>
    <w:p w14:paraId="647343FA" w14:textId="7FAD96B5" w:rsidR="00446469" w:rsidRDefault="00446469">
      <w:pPr>
        <w:pStyle w:val="TOC2"/>
        <w:rPr>
          <w:rFonts w:asciiTheme="minorHAnsi" w:eastAsiaTheme="minorEastAsia" w:hAnsiTheme="minorHAnsi" w:cstheme="minorBidi"/>
          <w:noProof/>
        </w:rPr>
      </w:pPr>
      <w:hyperlink w:anchor="_Toc203747494" w:history="1">
        <w:r w:rsidRPr="008B7392">
          <w:rPr>
            <w:rStyle w:val="Hyperlink"/>
            <w:noProof/>
            <w:specVanish/>
          </w:rPr>
          <w:t>D.</w:t>
        </w:r>
        <w:r>
          <w:rPr>
            <w:rFonts w:asciiTheme="minorHAnsi" w:eastAsiaTheme="minorEastAsia" w:hAnsiTheme="minorHAnsi" w:cstheme="minorBidi"/>
            <w:noProof/>
          </w:rPr>
          <w:tab/>
        </w:r>
        <w:r w:rsidRPr="008B7392">
          <w:rPr>
            <w:rStyle w:val="Hyperlink"/>
            <w:noProof/>
          </w:rPr>
          <w:t>Guilty Plea.</w:t>
        </w:r>
        <w:r>
          <w:rPr>
            <w:noProof/>
            <w:webHidden/>
          </w:rPr>
          <w:tab/>
        </w:r>
        <w:r>
          <w:rPr>
            <w:noProof/>
            <w:webHidden/>
          </w:rPr>
          <w:fldChar w:fldCharType="begin"/>
        </w:r>
        <w:r>
          <w:rPr>
            <w:noProof/>
            <w:webHidden/>
          </w:rPr>
          <w:instrText xml:space="preserve"> PAGEREF _Toc203747494 \h </w:instrText>
        </w:r>
        <w:r>
          <w:rPr>
            <w:noProof/>
            <w:webHidden/>
          </w:rPr>
        </w:r>
        <w:r>
          <w:rPr>
            <w:noProof/>
            <w:webHidden/>
          </w:rPr>
          <w:fldChar w:fldCharType="separate"/>
        </w:r>
        <w:r>
          <w:rPr>
            <w:noProof/>
            <w:webHidden/>
          </w:rPr>
          <w:t>11</w:t>
        </w:r>
        <w:r>
          <w:rPr>
            <w:noProof/>
            <w:webHidden/>
          </w:rPr>
          <w:fldChar w:fldCharType="end"/>
        </w:r>
      </w:hyperlink>
    </w:p>
    <w:p w14:paraId="3503C448" w14:textId="304E3BDB" w:rsidR="00446469" w:rsidRDefault="00446469">
      <w:pPr>
        <w:pStyle w:val="TOC2"/>
        <w:rPr>
          <w:rFonts w:asciiTheme="minorHAnsi" w:eastAsiaTheme="minorEastAsia" w:hAnsiTheme="minorHAnsi" w:cstheme="minorBidi"/>
          <w:noProof/>
        </w:rPr>
      </w:pPr>
      <w:hyperlink w:anchor="_Toc203747495" w:history="1">
        <w:r w:rsidRPr="008B7392">
          <w:rPr>
            <w:rStyle w:val="Hyperlink"/>
            <w:noProof/>
            <w:specVanish/>
          </w:rPr>
          <w:t>E.</w:t>
        </w:r>
        <w:r>
          <w:rPr>
            <w:rFonts w:asciiTheme="minorHAnsi" w:eastAsiaTheme="minorEastAsia" w:hAnsiTheme="minorHAnsi" w:cstheme="minorBidi"/>
            <w:noProof/>
          </w:rPr>
          <w:tab/>
        </w:r>
        <w:r w:rsidRPr="008B7392">
          <w:rPr>
            <w:rStyle w:val="Hyperlink"/>
            <w:noProof/>
          </w:rPr>
          <w:t>Breach of Plea Agreement.</w:t>
        </w:r>
        <w:r>
          <w:rPr>
            <w:noProof/>
            <w:webHidden/>
          </w:rPr>
          <w:tab/>
        </w:r>
        <w:r>
          <w:rPr>
            <w:noProof/>
            <w:webHidden/>
          </w:rPr>
          <w:fldChar w:fldCharType="begin"/>
        </w:r>
        <w:r>
          <w:rPr>
            <w:noProof/>
            <w:webHidden/>
          </w:rPr>
          <w:instrText xml:space="preserve"> PAGEREF _Toc203747495 \h </w:instrText>
        </w:r>
        <w:r>
          <w:rPr>
            <w:noProof/>
            <w:webHidden/>
          </w:rPr>
        </w:r>
        <w:r>
          <w:rPr>
            <w:noProof/>
            <w:webHidden/>
          </w:rPr>
          <w:fldChar w:fldCharType="separate"/>
        </w:r>
        <w:r>
          <w:rPr>
            <w:noProof/>
            <w:webHidden/>
          </w:rPr>
          <w:t>11</w:t>
        </w:r>
        <w:r>
          <w:rPr>
            <w:noProof/>
            <w:webHidden/>
          </w:rPr>
          <w:fldChar w:fldCharType="end"/>
        </w:r>
      </w:hyperlink>
    </w:p>
    <w:p w14:paraId="6C8DDEA9" w14:textId="3CFF0BAD" w:rsidR="00446469" w:rsidRDefault="00446469">
      <w:pPr>
        <w:pStyle w:val="TOC2"/>
        <w:rPr>
          <w:rFonts w:asciiTheme="minorHAnsi" w:eastAsiaTheme="minorEastAsia" w:hAnsiTheme="minorHAnsi" w:cstheme="minorBidi"/>
          <w:noProof/>
        </w:rPr>
      </w:pPr>
      <w:hyperlink w:anchor="_Toc203747496" w:history="1">
        <w:r w:rsidRPr="008B7392">
          <w:rPr>
            <w:rStyle w:val="Hyperlink"/>
            <w:noProof/>
            <w:specVanish/>
          </w:rPr>
          <w:t>F.</w:t>
        </w:r>
        <w:r>
          <w:rPr>
            <w:rFonts w:asciiTheme="minorHAnsi" w:eastAsiaTheme="minorEastAsia" w:hAnsiTheme="minorHAnsi" w:cstheme="minorBidi"/>
            <w:noProof/>
          </w:rPr>
          <w:tab/>
        </w:r>
        <w:r w:rsidRPr="008B7392">
          <w:rPr>
            <w:rStyle w:val="Hyperlink"/>
            <w:noProof/>
          </w:rPr>
          <w:t>Overturned Conviction.</w:t>
        </w:r>
        <w:r>
          <w:rPr>
            <w:noProof/>
            <w:webHidden/>
          </w:rPr>
          <w:tab/>
        </w:r>
        <w:r>
          <w:rPr>
            <w:noProof/>
            <w:webHidden/>
          </w:rPr>
          <w:fldChar w:fldCharType="begin"/>
        </w:r>
        <w:r>
          <w:rPr>
            <w:noProof/>
            <w:webHidden/>
          </w:rPr>
          <w:instrText xml:space="preserve"> PAGEREF _Toc203747496 \h </w:instrText>
        </w:r>
        <w:r>
          <w:rPr>
            <w:noProof/>
            <w:webHidden/>
          </w:rPr>
        </w:r>
        <w:r>
          <w:rPr>
            <w:noProof/>
            <w:webHidden/>
          </w:rPr>
          <w:fldChar w:fldCharType="separate"/>
        </w:r>
        <w:r>
          <w:rPr>
            <w:noProof/>
            <w:webHidden/>
          </w:rPr>
          <w:t>12</w:t>
        </w:r>
        <w:r>
          <w:rPr>
            <w:noProof/>
            <w:webHidden/>
          </w:rPr>
          <w:fldChar w:fldCharType="end"/>
        </w:r>
      </w:hyperlink>
    </w:p>
    <w:p w14:paraId="19A3F7CD" w14:textId="1B8B1A7F" w:rsidR="00446469" w:rsidRDefault="00446469">
      <w:pPr>
        <w:pStyle w:val="TOC1"/>
        <w:rPr>
          <w:rFonts w:asciiTheme="minorHAnsi" w:eastAsiaTheme="minorEastAsia" w:hAnsiTheme="minorHAnsi" w:cstheme="minorBidi"/>
          <w:noProof/>
        </w:rPr>
      </w:pPr>
      <w:hyperlink w:anchor="_Toc203747497" w:history="1">
        <w:r w:rsidRPr="008B7392">
          <w:rPr>
            <w:rStyle w:val="Hyperlink"/>
            <w:noProof/>
            <w:specVanish/>
          </w:rPr>
          <w:t>X.</w:t>
        </w:r>
        <w:r>
          <w:rPr>
            <w:rFonts w:asciiTheme="minorHAnsi" w:eastAsiaTheme="minorEastAsia" w:hAnsiTheme="minorHAnsi" w:cstheme="minorBidi"/>
            <w:noProof/>
          </w:rPr>
          <w:tab/>
        </w:r>
        <w:r w:rsidRPr="008B7392">
          <w:rPr>
            <w:rStyle w:val="Hyperlink"/>
            <w:noProof/>
          </w:rPr>
          <w:t>A Prior Mistrial.</w:t>
        </w:r>
        <w:r>
          <w:rPr>
            <w:noProof/>
            <w:webHidden/>
          </w:rPr>
          <w:tab/>
        </w:r>
        <w:r>
          <w:rPr>
            <w:noProof/>
            <w:webHidden/>
          </w:rPr>
          <w:fldChar w:fldCharType="begin"/>
        </w:r>
        <w:r>
          <w:rPr>
            <w:noProof/>
            <w:webHidden/>
          </w:rPr>
          <w:instrText xml:space="preserve"> PAGEREF _Toc203747497 \h </w:instrText>
        </w:r>
        <w:r>
          <w:rPr>
            <w:noProof/>
            <w:webHidden/>
          </w:rPr>
        </w:r>
        <w:r>
          <w:rPr>
            <w:noProof/>
            <w:webHidden/>
          </w:rPr>
          <w:fldChar w:fldCharType="separate"/>
        </w:r>
        <w:r>
          <w:rPr>
            <w:noProof/>
            <w:webHidden/>
          </w:rPr>
          <w:t>12</w:t>
        </w:r>
        <w:r>
          <w:rPr>
            <w:noProof/>
            <w:webHidden/>
          </w:rPr>
          <w:fldChar w:fldCharType="end"/>
        </w:r>
      </w:hyperlink>
    </w:p>
    <w:p w14:paraId="4266376F" w14:textId="45E8B94B" w:rsidR="00446469" w:rsidRDefault="00446469">
      <w:pPr>
        <w:pStyle w:val="TOC2"/>
        <w:rPr>
          <w:rFonts w:asciiTheme="minorHAnsi" w:eastAsiaTheme="minorEastAsia" w:hAnsiTheme="minorHAnsi" w:cstheme="minorBidi"/>
          <w:noProof/>
        </w:rPr>
      </w:pPr>
      <w:hyperlink w:anchor="_Toc203747498"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Mistrial Upon Defendant’s Request.</w:t>
        </w:r>
        <w:r>
          <w:rPr>
            <w:noProof/>
            <w:webHidden/>
          </w:rPr>
          <w:tab/>
        </w:r>
        <w:r>
          <w:rPr>
            <w:noProof/>
            <w:webHidden/>
          </w:rPr>
          <w:fldChar w:fldCharType="begin"/>
        </w:r>
        <w:r>
          <w:rPr>
            <w:noProof/>
            <w:webHidden/>
          </w:rPr>
          <w:instrText xml:space="preserve"> PAGEREF _Toc203747498 \h </w:instrText>
        </w:r>
        <w:r>
          <w:rPr>
            <w:noProof/>
            <w:webHidden/>
          </w:rPr>
        </w:r>
        <w:r>
          <w:rPr>
            <w:noProof/>
            <w:webHidden/>
          </w:rPr>
          <w:fldChar w:fldCharType="separate"/>
        </w:r>
        <w:r>
          <w:rPr>
            <w:noProof/>
            <w:webHidden/>
          </w:rPr>
          <w:t>12</w:t>
        </w:r>
        <w:r>
          <w:rPr>
            <w:noProof/>
            <w:webHidden/>
          </w:rPr>
          <w:fldChar w:fldCharType="end"/>
        </w:r>
      </w:hyperlink>
    </w:p>
    <w:p w14:paraId="66696D7F" w14:textId="7C6C1ACC" w:rsidR="00446469" w:rsidRDefault="00446469">
      <w:pPr>
        <w:pStyle w:val="TOC2"/>
        <w:rPr>
          <w:rFonts w:asciiTheme="minorHAnsi" w:eastAsiaTheme="minorEastAsia" w:hAnsiTheme="minorHAnsi" w:cstheme="minorBidi"/>
          <w:noProof/>
        </w:rPr>
      </w:pPr>
      <w:hyperlink w:anchor="_Toc203747499" w:history="1">
        <w:r w:rsidRPr="008B7392">
          <w:rPr>
            <w:rStyle w:val="Hyperlink"/>
            <w:bCs/>
            <w:noProof/>
            <w:specVanish/>
          </w:rPr>
          <w:t>B.</w:t>
        </w:r>
        <w:r>
          <w:rPr>
            <w:rFonts w:asciiTheme="minorHAnsi" w:eastAsiaTheme="minorEastAsia" w:hAnsiTheme="minorHAnsi" w:cstheme="minorBidi"/>
            <w:noProof/>
          </w:rPr>
          <w:tab/>
        </w:r>
        <w:r w:rsidRPr="008B7392">
          <w:rPr>
            <w:rStyle w:val="Hyperlink"/>
            <w:noProof/>
          </w:rPr>
          <w:t>Mistrial Upon Manifest Necessity.</w:t>
        </w:r>
        <w:r>
          <w:rPr>
            <w:noProof/>
            <w:webHidden/>
          </w:rPr>
          <w:tab/>
        </w:r>
        <w:r>
          <w:rPr>
            <w:noProof/>
            <w:webHidden/>
          </w:rPr>
          <w:fldChar w:fldCharType="begin"/>
        </w:r>
        <w:r>
          <w:rPr>
            <w:noProof/>
            <w:webHidden/>
          </w:rPr>
          <w:instrText xml:space="preserve"> PAGEREF _Toc203747499 \h </w:instrText>
        </w:r>
        <w:r>
          <w:rPr>
            <w:noProof/>
            <w:webHidden/>
          </w:rPr>
        </w:r>
        <w:r>
          <w:rPr>
            <w:noProof/>
            <w:webHidden/>
          </w:rPr>
          <w:fldChar w:fldCharType="separate"/>
        </w:r>
        <w:r>
          <w:rPr>
            <w:noProof/>
            <w:webHidden/>
          </w:rPr>
          <w:t>13</w:t>
        </w:r>
        <w:r>
          <w:rPr>
            <w:noProof/>
            <w:webHidden/>
          </w:rPr>
          <w:fldChar w:fldCharType="end"/>
        </w:r>
      </w:hyperlink>
    </w:p>
    <w:p w14:paraId="759A889C" w14:textId="0C1A47A7" w:rsidR="00446469" w:rsidRDefault="00446469">
      <w:pPr>
        <w:pStyle w:val="TOC2"/>
        <w:rPr>
          <w:rFonts w:asciiTheme="minorHAnsi" w:eastAsiaTheme="minorEastAsia" w:hAnsiTheme="minorHAnsi" w:cstheme="minorBidi"/>
          <w:noProof/>
        </w:rPr>
      </w:pPr>
      <w:hyperlink w:anchor="_Toc203747500" w:history="1">
        <w:r w:rsidRPr="008B7392">
          <w:rPr>
            <w:rStyle w:val="Hyperlink"/>
            <w:bCs/>
            <w:noProof/>
            <w:specVanish/>
          </w:rPr>
          <w:t>C.</w:t>
        </w:r>
        <w:r>
          <w:rPr>
            <w:rFonts w:asciiTheme="minorHAnsi" w:eastAsiaTheme="minorEastAsia" w:hAnsiTheme="minorHAnsi" w:cstheme="minorBidi"/>
            <w:noProof/>
          </w:rPr>
          <w:tab/>
        </w:r>
        <w:r w:rsidRPr="008B7392">
          <w:rPr>
            <w:rStyle w:val="Hyperlink"/>
            <w:noProof/>
          </w:rPr>
          <w:t>Mistrial Absent Manifest Necessity.</w:t>
        </w:r>
        <w:r>
          <w:rPr>
            <w:noProof/>
            <w:webHidden/>
          </w:rPr>
          <w:tab/>
        </w:r>
        <w:r>
          <w:rPr>
            <w:noProof/>
            <w:webHidden/>
          </w:rPr>
          <w:fldChar w:fldCharType="begin"/>
        </w:r>
        <w:r>
          <w:rPr>
            <w:noProof/>
            <w:webHidden/>
          </w:rPr>
          <w:instrText xml:space="preserve"> PAGEREF _Toc203747500 \h </w:instrText>
        </w:r>
        <w:r>
          <w:rPr>
            <w:noProof/>
            <w:webHidden/>
          </w:rPr>
        </w:r>
        <w:r>
          <w:rPr>
            <w:noProof/>
            <w:webHidden/>
          </w:rPr>
          <w:fldChar w:fldCharType="separate"/>
        </w:r>
        <w:r>
          <w:rPr>
            <w:noProof/>
            <w:webHidden/>
          </w:rPr>
          <w:t>14</w:t>
        </w:r>
        <w:r>
          <w:rPr>
            <w:noProof/>
            <w:webHidden/>
          </w:rPr>
          <w:fldChar w:fldCharType="end"/>
        </w:r>
      </w:hyperlink>
    </w:p>
    <w:p w14:paraId="4477C2F4" w14:textId="4C6D9417" w:rsidR="00446469" w:rsidRDefault="00446469">
      <w:pPr>
        <w:pStyle w:val="TOC2"/>
        <w:rPr>
          <w:rFonts w:asciiTheme="minorHAnsi" w:eastAsiaTheme="minorEastAsia" w:hAnsiTheme="minorHAnsi" w:cstheme="minorBidi"/>
          <w:noProof/>
        </w:rPr>
      </w:pPr>
      <w:hyperlink w:anchor="_Toc203747501" w:history="1">
        <w:r w:rsidRPr="008B7392">
          <w:rPr>
            <w:rStyle w:val="Hyperlink"/>
            <w:bCs/>
            <w:noProof/>
            <w:specVanish/>
          </w:rPr>
          <w:t>D.</w:t>
        </w:r>
        <w:r>
          <w:rPr>
            <w:rFonts w:asciiTheme="minorHAnsi" w:eastAsiaTheme="minorEastAsia" w:hAnsiTheme="minorHAnsi" w:cstheme="minorBidi"/>
            <w:noProof/>
          </w:rPr>
          <w:tab/>
        </w:r>
        <w:r w:rsidRPr="008B7392">
          <w:rPr>
            <w:rStyle w:val="Hyperlink"/>
            <w:noProof/>
          </w:rPr>
          <w:t>Findings of Fact.</w:t>
        </w:r>
        <w:r>
          <w:rPr>
            <w:noProof/>
            <w:webHidden/>
          </w:rPr>
          <w:tab/>
        </w:r>
        <w:r>
          <w:rPr>
            <w:noProof/>
            <w:webHidden/>
          </w:rPr>
          <w:fldChar w:fldCharType="begin"/>
        </w:r>
        <w:r>
          <w:rPr>
            <w:noProof/>
            <w:webHidden/>
          </w:rPr>
          <w:instrText xml:space="preserve"> PAGEREF _Toc203747501 \h </w:instrText>
        </w:r>
        <w:r>
          <w:rPr>
            <w:noProof/>
            <w:webHidden/>
          </w:rPr>
        </w:r>
        <w:r>
          <w:rPr>
            <w:noProof/>
            <w:webHidden/>
          </w:rPr>
          <w:fldChar w:fldCharType="separate"/>
        </w:r>
        <w:r>
          <w:rPr>
            <w:noProof/>
            <w:webHidden/>
          </w:rPr>
          <w:t>15</w:t>
        </w:r>
        <w:r>
          <w:rPr>
            <w:noProof/>
            <w:webHidden/>
          </w:rPr>
          <w:fldChar w:fldCharType="end"/>
        </w:r>
      </w:hyperlink>
    </w:p>
    <w:p w14:paraId="417EF544" w14:textId="1EBEC7C1" w:rsidR="00446469" w:rsidRDefault="00446469">
      <w:pPr>
        <w:pStyle w:val="TOC1"/>
        <w:rPr>
          <w:rFonts w:asciiTheme="minorHAnsi" w:eastAsiaTheme="minorEastAsia" w:hAnsiTheme="minorHAnsi" w:cstheme="minorBidi"/>
          <w:noProof/>
        </w:rPr>
      </w:pPr>
      <w:hyperlink w:anchor="_Toc203747502" w:history="1">
        <w:r w:rsidRPr="008B7392">
          <w:rPr>
            <w:rStyle w:val="Hyperlink"/>
            <w:noProof/>
            <w:specVanish/>
          </w:rPr>
          <w:t>XI.</w:t>
        </w:r>
        <w:r>
          <w:rPr>
            <w:rFonts w:asciiTheme="minorHAnsi" w:eastAsiaTheme="minorEastAsia" w:hAnsiTheme="minorHAnsi" w:cstheme="minorBidi"/>
            <w:noProof/>
          </w:rPr>
          <w:tab/>
        </w:r>
        <w:r w:rsidRPr="008B7392">
          <w:rPr>
            <w:rStyle w:val="Hyperlink"/>
            <w:noProof/>
          </w:rPr>
          <w:t>Multiple Punishment.</w:t>
        </w:r>
        <w:r>
          <w:rPr>
            <w:noProof/>
            <w:webHidden/>
          </w:rPr>
          <w:tab/>
        </w:r>
        <w:r>
          <w:rPr>
            <w:noProof/>
            <w:webHidden/>
          </w:rPr>
          <w:fldChar w:fldCharType="begin"/>
        </w:r>
        <w:r>
          <w:rPr>
            <w:noProof/>
            <w:webHidden/>
          </w:rPr>
          <w:instrText xml:space="preserve"> PAGEREF _Toc203747502 \h </w:instrText>
        </w:r>
        <w:r>
          <w:rPr>
            <w:noProof/>
            <w:webHidden/>
          </w:rPr>
        </w:r>
        <w:r>
          <w:rPr>
            <w:noProof/>
            <w:webHidden/>
          </w:rPr>
          <w:fldChar w:fldCharType="separate"/>
        </w:r>
        <w:r>
          <w:rPr>
            <w:noProof/>
            <w:webHidden/>
          </w:rPr>
          <w:t>15</w:t>
        </w:r>
        <w:r>
          <w:rPr>
            <w:noProof/>
            <w:webHidden/>
          </w:rPr>
          <w:fldChar w:fldCharType="end"/>
        </w:r>
      </w:hyperlink>
    </w:p>
    <w:p w14:paraId="3E93F763" w14:textId="5F2FAB86" w:rsidR="00446469" w:rsidRDefault="00446469">
      <w:pPr>
        <w:pStyle w:val="TOC2"/>
        <w:rPr>
          <w:rFonts w:asciiTheme="minorHAnsi" w:eastAsiaTheme="minorEastAsia" w:hAnsiTheme="minorHAnsi" w:cstheme="minorBidi"/>
          <w:noProof/>
        </w:rPr>
      </w:pPr>
      <w:hyperlink w:anchor="_Toc203747503" w:history="1">
        <w:r w:rsidRPr="008B7392">
          <w:rPr>
            <w:rStyle w:val="Hyperlink"/>
            <w:noProof/>
          </w:rPr>
          <w:t>A.</w:t>
        </w:r>
        <w:r>
          <w:rPr>
            <w:rFonts w:asciiTheme="minorHAnsi" w:eastAsiaTheme="minorEastAsia" w:hAnsiTheme="minorHAnsi" w:cstheme="minorBidi"/>
            <w:noProof/>
          </w:rPr>
          <w:tab/>
        </w:r>
        <w:r w:rsidRPr="008B7392">
          <w:rPr>
            <w:rStyle w:val="Hyperlink"/>
            <w:noProof/>
          </w:rPr>
          <w:t>Single Proceeding.</w:t>
        </w:r>
        <w:r>
          <w:rPr>
            <w:noProof/>
            <w:webHidden/>
          </w:rPr>
          <w:tab/>
        </w:r>
        <w:r>
          <w:rPr>
            <w:noProof/>
            <w:webHidden/>
          </w:rPr>
          <w:fldChar w:fldCharType="begin"/>
        </w:r>
        <w:r>
          <w:rPr>
            <w:noProof/>
            <w:webHidden/>
          </w:rPr>
          <w:instrText xml:space="preserve"> PAGEREF _Toc203747503 \h </w:instrText>
        </w:r>
        <w:r>
          <w:rPr>
            <w:noProof/>
            <w:webHidden/>
          </w:rPr>
        </w:r>
        <w:r>
          <w:rPr>
            <w:noProof/>
            <w:webHidden/>
          </w:rPr>
          <w:fldChar w:fldCharType="separate"/>
        </w:r>
        <w:r>
          <w:rPr>
            <w:noProof/>
            <w:webHidden/>
          </w:rPr>
          <w:t>15</w:t>
        </w:r>
        <w:r>
          <w:rPr>
            <w:noProof/>
            <w:webHidden/>
          </w:rPr>
          <w:fldChar w:fldCharType="end"/>
        </w:r>
      </w:hyperlink>
    </w:p>
    <w:p w14:paraId="4D8667F5" w14:textId="1C6925AA" w:rsidR="00446469" w:rsidRDefault="00446469">
      <w:pPr>
        <w:pStyle w:val="TOC2"/>
        <w:rPr>
          <w:rFonts w:asciiTheme="minorHAnsi" w:eastAsiaTheme="minorEastAsia" w:hAnsiTheme="minorHAnsi" w:cstheme="minorBidi"/>
          <w:noProof/>
        </w:rPr>
      </w:pPr>
      <w:hyperlink w:anchor="_Toc203747504" w:history="1">
        <w:r w:rsidRPr="008B7392">
          <w:rPr>
            <w:rStyle w:val="Hyperlink"/>
            <w:noProof/>
          </w:rPr>
          <w:t>B.</w:t>
        </w:r>
        <w:r>
          <w:rPr>
            <w:rFonts w:asciiTheme="minorHAnsi" w:eastAsiaTheme="minorEastAsia" w:hAnsiTheme="minorHAnsi" w:cstheme="minorBidi"/>
            <w:noProof/>
          </w:rPr>
          <w:tab/>
        </w:r>
        <w:r w:rsidRPr="008B7392">
          <w:rPr>
            <w:rStyle w:val="Hyperlink"/>
            <w:noProof/>
          </w:rPr>
          <w:t>Successive Proceedings.</w:t>
        </w:r>
        <w:r>
          <w:rPr>
            <w:noProof/>
            <w:webHidden/>
          </w:rPr>
          <w:tab/>
        </w:r>
        <w:r>
          <w:rPr>
            <w:noProof/>
            <w:webHidden/>
          </w:rPr>
          <w:fldChar w:fldCharType="begin"/>
        </w:r>
        <w:r>
          <w:rPr>
            <w:noProof/>
            <w:webHidden/>
          </w:rPr>
          <w:instrText xml:space="preserve"> PAGEREF _Toc203747504 \h </w:instrText>
        </w:r>
        <w:r>
          <w:rPr>
            <w:noProof/>
            <w:webHidden/>
          </w:rPr>
        </w:r>
        <w:r>
          <w:rPr>
            <w:noProof/>
            <w:webHidden/>
          </w:rPr>
          <w:fldChar w:fldCharType="separate"/>
        </w:r>
        <w:r>
          <w:rPr>
            <w:noProof/>
            <w:webHidden/>
          </w:rPr>
          <w:t>16</w:t>
        </w:r>
        <w:r>
          <w:rPr>
            <w:noProof/>
            <w:webHidden/>
          </w:rPr>
          <w:fldChar w:fldCharType="end"/>
        </w:r>
      </w:hyperlink>
    </w:p>
    <w:p w14:paraId="384EF76C" w14:textId="505ACCA8" w:rsidR="00446469" w:rsidRDefault="00446469">
      <w:pPr>
        <w:pStyle w:val="TOC1"/>
        <w:rPr>
          <w:rFonts w:asciiTheme="minorHAnsi" w:eastAsiaTheme="minorEastAsia" w:hAnsiTheme="minorHAnsi" w:cstheme="minorBidi"/>
          <w:noProof/>
        </w:rPr>
      </w:pPr>
      <w:hyperlink w:anchor="_Toc203747505" w:history="1">
        <w:r w:rsidRPr="008B7392">
          <w:rPr>
            <w:rStyle w:val="Hyperlink"/>
            <w:noProof/>
            <w:specVanish/>
          </w:rPr>
          <w:t>XII.</w:t>
        </w:r>
        <w:r>
          <w:rPr>
            <w:rFonts w:asciiTheme="minorHAnsi" w:eastAsiaTheme="minorEastAsia" w:hAnsiTheme="minorHAnsi" w:cstheme="minorBidi"/>
            <w:noProof/>
          </w:rPr>
          <w:tab/>
        </w:r>
        <w:r w:rsidRPr="008B7392">
          <w:rPr>
            <w:rStyle w:val="Hyperlink"/>
            <w:noProof/>
          </w:rPr>
          <w:t>Collateral Estoppel.</w:t>
        </w:r>
        <w:r>
          <w:rPr>
            <w:noProof/>
            <w:webHidden/>
          </w:rPr>
          <w:tab/>
        </w:r>
        <w:r>
          <w:rPr>
            <w:noProof/>
            <w:webHidden/>
          </w:rPr>
          <w:fldChar w:fldCharType="begin"/>
        </w:r>
        <w:r>
          <w:rPr>
            <w:noProof/>
            <w:webHidden/>
          </w:rPr>
          <w:instrText xml:space="preserve"> PAGEREF _Toc203747505 \h </w:instrText>
        </w:r>
        <w:r>
          <w:rPr>
            <w:noProof/>
            <w:webHidden/>
          </w:rPr>
        </w:r>
        <w:r>
          <w:rPr>
            <w:noProof/>
            <w:webHidden/>
          </w:rPr>
          <w:fldChar w:fldCharType="separate"/>
        </w:r>
        <w:r>
          <w:rPr>
            <w:noProof/>
            <w:webHidden/>
          </w:rPr>
          <w:t>17</w:t>
        </w:r>
        <w:r>
          <w:rPr>
            <w:noProof/>
            <w:webHidden/>
          </w:rPr>
          <w:fldChar w:fldCharType="end"/>
        </w:r>
      </w:hyperlink>
    </w:p>
    <w:p w14:paraId="4876C6C5" w14:textId="63CC0548" w:rsidR="00446469" w:rsidRDefault="00446469">
      <w:pPr>
        <w:pStyle w:val="TOC2"/>
        <w:rPr>
          <w:rFonts w:asciiTheme="minorHAnsi" w:eastAsiaTheme="minorEastAsia" w:hAnsiTheme="minorHAnsi" w:cstheme="minorBidi"/>
          <w:noProof/>
        </w:rPr>
      </w:pPr>
      <w:hyperlink w:anchor="_Toc203747506"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As Bar to Prosecution.</w:t>
        </w:r>
        <w:r>
          <w:rPr>
            <w:noProof/>
            <w:webHidden/>
          </w:rPr>
          <w:tab/>
        </w:r>
        <w:r>
          <w:rPr>
            <w:noProof/>
            <w:webHidden/>
          </w:rPr>
          <w:fldChar w:fldCharType="begin"/>
        </w:r>
        <w:r>
          <w:rPr>
            <w:noProof/>
            <w:webHidden/>
          </w:rPr>
          <w:instrText xml:space="preserve"> PAGEREF _Toc203747506 \h </w:instrText>
        </w:r>
        <w:r>
          <w:rPr>
            <w:noProof/>
            <w:webHidden/>
          </w:rPr>
        </w:r>
        <w:r>
          <w:rPr>
            <w:noProof/>
            <w:webHidden/>
          </w:rPr>
          <w:fldChar w:fldCharType="separate"/>
        </w:r>
        <w:r>
          <w:rPr>
            <w:noProof/>
            <w:webHidden/>
          </w:rPr>
          <w:t>17</w:t>
        </w:r>
        <w:r>
          <w:rPr>
            <w:noProof/>
            <w:webHidden/>
          </w:rPr>
          <w:fldChar w:fldCharType="end"/>
        </w:r>
      </w:hyperlink>
    </w:p>
    <w:p w14:paraId="0FB459EC" w14:textId="27F97681" w:rsidR="00446469" w:rsidRDefault="00446469">
      <w:pPr>
        <w:pStyle w:val="TOC2"/>
        <w:rPr>
          <w:rFonts w:asciiTheme="minorHAnsi" w:eastAsiaTheme="minorEastAsia" w:hAnsiTheme="minorHAnsi" w:cstheme="minorBidi"/>
          <w:noProof/>
        </w:rPr>
      </w:pPr>
      <w:hyperlink w:anchor="_Toc203747507" w:history="1">
        <w:r w:rsidRPr="008B7392">
          <w:rPr>
            <w:rStyle w:val="Hyperlink"/>
            <w:noProof/>
            <w:specVanish/>
          </w:rPr>
          <w:t>B.</w:t>
        </w:r>
        <w:r>
          <w:rPr>
            <w:rFonts w:asciiTheme="minorHAnsi" w:eastAsiaTheme="minorEastAsia" w:hAnsiTheme="minorHAnsi" w:cstheme="minorBidi"/>
            <w:noProof/>
          </w:rPr>
          <w:tab/>
        </w:r>
        <w:r w:rsidRPr="008B7392">
          <w:rPr>
            <w:rStyle w:val="Hyperlink"/>
            <w:noProof/>
          </w:rPr>
          <w:t>As Exclusionary Rule.</w:t>
        </w:r>
        <w:r>
          <w:rPr>
            <w:noProof/>
            <w:webHidden/>
          </w:rPr>
          <w:tab/>
        </w:r>
        <w:r>
          <w:rPr>
            <w:noProof/>
            <w:webHidden/>
          </w:rPr>
          <w:fldChar w:fldCharType="begin"/>
        </w:r>
        <w:r>
          <w:rPr>
            <w:noProof/>
            <w:webHidden/>
          </w:rPr>
          <w:instrText xml:space="preserve"> PAGEREF _Toc203747507 \h </w:instrText>
        </w:r>
        <w:r>
          <w:rPr>
            <w:noProof/>
            <w:webHidden/>
          </w:rPr>
        </w:r>
        <w:r>
          <w:rPr>
            <w:noProof/>
            <w:webHidden/>
          </w:rPr>
          <w:fldChar w:fldCharType="separate"/>
        </w:r>
        <w:r>
          <w:rPr>
            <w:noProof/>
            <w:webHidden/>
          </w:rPr>
          <w:t>19</w:t>
        </w:r>
        <w:r>
          <w:rPr>
            <w:noProof/>
            <w:webHidden/>
          </w:rPr>
          <w:fldChar w:fldCharType="end"/>
        </w:r>
      </w:hyperlink>
    </w:p>
    <w:p w14:paraId="14EA6ADC" w14:textId="4E75B12F" w:rsidR="00446469" w:rsidRDefault="00446469">
      <w:pPr>
        <w:pStyle w:val="TOC2"/>
        <w:rPr>
          <w:rFonts w:asciiTheme="minorHAnsi" w:eastAsiaTheme="minorEastAsia" w:hAnsiTheme="minorHAnsi" w:cstheme="minorBidi"/>
          <w:noProof/>
        </w:rPr>
      </w:pPr>
      <w:hyperlink w:anchor="_Toc203747508" w:history="1">
        <w:r w:rsidRPr="008B7392">
          <w:rPr>
            <w:rStyle w:val="Hyperlink"/>
            <w:noProof/>
            <w:specVanish/>
          </w:rPr>
          <w:t>C.</w:t>
        </w:r>
        <w:r>
          <w:rPr>
            <w:rFonts w:asciiTheme="minorHAnsi" w:eastAsiaTheme="minorEastAsia" w:hAnsiTheme="minorHAnsi" w:cstheme="minorBidi"/>
            <w:noProof/>
          </w:rPr>
          <w:tab/>
        </w:r>
        <w:r w:rsidRPr="008B7392">
          <w:rPr>
            <w:rStyle w:val="Hyperlink"/>
            <w:noProof/>
          </w:rPr>
          <w:t>Offensive Collateral Estoppel.</w:t>
        </w:r>
        <w:r>
          <w:rPr>
            <w:noProof/>
            <w:webHidden/>
          </w:rPr>
          <w:tab/>
        </w:r>
        <w:r>
          <w:rPr>
            <w:noProof/>
            <w:webHidden/>
          </w:rPr>
          <w:fldChar w:fldCharType="begin"/>
        </w:r>
        <w:r>
          <w:rPr>
            <w:noProof/>
            <w:webHidden/>
          </w:rPr>
          <w:instrText xml:space="preserve"> PAGEREF _Toc203747508 \h </w:instrText>
        </w:r>
        <w:r>
          <w:rPr>
            <w:noProof/>
            <w:webHidden/>
          </w:rPr>
        </w:r>
        <w:r>
          <w:rPr>
            <w:noProof/>
            <w:webHidden/>
          </w:rPr>
          <w:fldChar w:fldCharType="separate"/>
        </w:r>
        <w:r>
          <w:rPr>
            <w:noProof/>
            <w:webHidden/>
          </w:rPr>
          <w:t>19</w:t>
        </w:r>
        <w:r>
          <w:rPr>
            <w:noProof/>
            <w:webHidden/>
          </w:rPr>
          <w:fldChar w:fldCharType="end"/>
        </w:r>
      </w:hyperlink>
    </w:p>
    <w:p w14:paraId="00122F46" w14:textId="686F8D7C" w:rsidR="00446469" w:rsidRDefault="00446469">
      <w:pPr>
        <w:pStyle w:val="TOC1"/>
        <w:rPr>
          <w:rFonts w:asciiTheme="minorHAnsi" w:eastAsiaTheme="minorEastAsia" w:hAnsiTheme="minorHAnsi" w:cstheme="minorBidi"/>
          <w:noProof/>
        </w:rPr>
      </w:pPr>
      <w:hyperlink w:anchor="_Toc203747509" w:history="1">
        <w:r w:rsidRPr="008B7392">
          <w:rPr>
            <w:rStyle w:val="Hyperlink"/>
            <w:noProof/>
            <w:specVanish/>
          </w:rPr>
          <w:t>XIII.</w:t>
        </w:r>
        <w:r>
          <w:rPr>
            <w:rFonts w:asciiTheme="minorHAnsi" w:eastAsiaTheme="minorEastAsia" w:hAnsiTheme="minorHAnsi" w:cstheme="minorBidi"/>
            <w:noProof/>
          </w:rPr>
          <w:tab/>
        </w:r>
        <w:r w:rsidRPr="008B7392">
          <w:rPr>
            <w:rStyle w:val="Hyperlink"/>
            <w:bCs/>
            <w:noProof/>
          </w:rPr>
          <w:t>Separate Sovereigns.</w:t>
        </w:r>
        <w:r>
          <w:rPr>
            <w:noProof/>
            <w:webHidden/>
          </w:rPr>
          <w:tab/>
        </w:r>
        <w:r>
          <w:rPr>
            <w:noProof/>
            <w:webHidden/>
          </w:rPr>
          <w:fldChar w:fldCharType="begin"/>
        </w:r>
        <w:r>
          <w:rPr>
            <w:noProof/>
            <w:webHidden/>
          </w:rPr>
          <w:instrText xml:space="preserve"> PAGEREF _Toc203747509 \h </w:instrText>
        </w:r>
        <w:r>
          <w:rPr>
            <w:noProof/>
            <w:webHidden/>
          </w:rPr>
        </w:r>
        <w:r>
          <w:rPr>
            <w:noProof/>
            <w:webHidden/>
          </w:rPr>
          <w:fldChar w:fldCharType="separate"/>
        </w:r>
        <w:r>
          <w:rPr>
            <w:noProof/>
            <w:webHidden/>
          </w:rPr>
          <w:t>19</w:t>
        </w:r>
        <w:r>
          <w:rPr>
            <w:noProof/>
            <w:webHidden/>
          </w:rPr>
          <w:fldChar w:fldCharType="end"/>
        </w:r>
      </w:hyperlink>
    </w:p>
    <w:p w14:paraId="54AC507E" w14:textId="7524F756" w:rsidR="00446469" w:rsidRDefault="00446469">
      <w:pPr>
        <w:pStyle w:val="TOC1"/>
        <w:rPr>
          <w:rFonts w:asciiTheme="minorHAnsi" w:eastAsiaTheme="minorEastAsia" w:hAnsiTheme="minorHAnsi" w:cstheme="minorBidi"/>
          <w:noProof/>
        </w:rPr>
      </w:pPr>
      <w:hyperlink w:anchor="_Toc203747510" w:history="1">
        <w:r w:rsidRPr="008B7392">
          <w:rPr>
            <w:rStyle w:val="Hyperlink"/>
            <w:noProof/>
          </w:rPr>
          <w:t>XIV.</w:t>
        </w:r>
        <w:r>
          <w:rPr>
            <w:rFonts w:asciiTheme="minorHAnsi" w:eastAsiaTheme="minorEastAsia" w:hAnsiTheme="minorHAnsi" w:cstheme="minorBidi"/>
            <w:noProof/>
          </w:rPr>
          <w:tab/>
        </w:r>
        <w:r w:rsidRPr="008B7392">
          <w:rPr>
            <w:rStyle w:val="Hyperlink"/>
            <w:noProof/>
          </w:rPr>
          <w:t>Joinder.</w:t>
        </w:r>
        <w:r>
          <w:rPr>
            <w:noProof/>
            <w:webHidden/>
          </w:rPr>
          <w:tab/>
        </w:r>
        <w:r>
          <w:rPr>
            <w:noProof/>
            <w:webHidden/>
          </w:rPr>
          <w:fldChar w:fldCharType="begin"/>
        </w:r>
        <w:r>
          <w:rPr>
            <w:noProof/>
            <w:webHidden/>
          </w:rPr>
          <w:instrText xml:space="preserve"> PAGEREF _Toc203747510 \h </w:instrText>
        </w:r>
        <w:r>
          <w:rPr>
            <w:noProof/>
            <w:webHidden/>
          </w:rPr>
        </w:r>
        <w:r>
          <w:rPr>
            <w:noProof/>
            <w:webHidden/>
          </w:rPr>
          <w:fldChar w:fldCharType="separate"/>
        </w:r>
        <w:r>
          <w:rPr>
            <w:noProof/>
            <w:webHidden/>
          </w:rPr>
          <w:t>20</w:t>
        </w:r>
        <w:r>
          <w:rPr>
            <w:noProof/>
            <w:webHidden/>
          </w:rPr>
          <w:fldChar w:fldCharType="end"/>
        </w:r>
      </w:hyperlink>
    </w:p>
    <w:p w14:paraId="7198D73A" w14:textId="2F40AC29" w:rsidR="00446469" w:rsidRDefault="00446469">
      <w:pPr>
        <w:pStyle w:val="TOC2"/>
        <w:rPr>
          <w:rFonts w:asciiTheme="minorHAnsi" w:eastAsiaTheme="minorEastAsia" w:hAnsiTheme="minorHAnsi" w:cstheme="minorBidi"/>
          <w:noProof/>
        </w:rPr>
      </w:pPr>
      <w:hyperlink w:anchor="_Toc203747511" w:history="1">
        <w:r w:rsidRPr="008B7392">
          <w:rPr>
            <w:rStyle w:val="Hyperlink"/>
            <w:noProof/>
            <w:specVanish/>
          </w:rPr>
          <w:t>A.</w:t>
        </w:r>
        <w:r>
          <w:rPr>
            <w:rFonts w:asciiTheme="minorHAnsi" w:eastAsiaTheme="minorEastAsia" w:hAnsiTheme="minorHAnsi" w:cstheme="minorBidi"/>
            <w:noProof/>
          </w:rPr>
          <w:tab/>
        </w:r>
        <w:r w:rsidRPr="008B7392">
          <w:rPr>
            <w:rStyle w:val="Hyperlink"/>
            <w:noProof/>
          </w:rPr>
          <w:t>Application.</w:t>
        </w:r>
        <w:r>
          <w:rPr>
            <w:noProof/>
            <w:webHidden/>
          </w:rPr>
          <w:tab/>
        </w:r>
        <w:r>
          <w:rPr>
            <w:noProof/>
            <w:webHidden/>
          </w:rPr>
          <w:fldChar w:fldCharType="begin"/>
        </w:r>
        <w:r>
          <w:rPr>
            <w:noProof/>
            <w:webHidden/>
          </w:rPr>
          <w:instrText xml:space="preserve"> PAGEREF _Toc203747511 \h </w:instrText>
        </w:r>
        <w:r>
          <w:rPr>
            <w:noProof/>
            <w:webHidden/>
          </w:rPr>
        </w:r>
        <w:r>
          <w:rPr>
            <w:noProof/>
            <w:webHidden/>
          </w:rPr>
          <w:fldChar w:fldCharType="separate"/>
        </w:r>
        <w:r>
          <w:rPr>
            <w:noProof/>
            <w:webHidden/>
          </w:rPr>
          <w:t>20</w:t>
        </w:r>
        <w:r>
          <w:rPr>
            <w:noProof/>
            <w:webHidden/>
          </w:rPr>
          <w:fldChar w:fldCharType="end"/>
        </w:r>
      </w:hyperlink>
    </w:p>
    <w:p w14:paraId="0F85B14D" w14:textId="7D5A77B1" w:rsidR="00446469" w:rsidRDefault="00446469">
      <w:pPr>
        <w:pStyle w:val="TOC2"/>
        <w:rPr>
          <w:rFonts w:asciiTheme="minorHAnsi" w:eastAsiaTheme="minorEastAsia" w:hAnsiTheme="minorHAnsi" w:cstheme="minorBidi"/>
          <w:noProof/>
        </w:rPr>
      </w:pPr>
      <w:hyperlink w:anchor="_Toc203747512" w:history="1">
        <w:r w:rsidRPr="008B7392">
          <w:rPr>
            <w:rStyle w:val="Hyperlink"/>
            <w:bCs/>
            <w:noProof/>
            <w:specVanish/>
          </w:rPr>
          <w:t>B.</w:t>
        </w:r>
        <w:r>
          <w:rPr>
            <w:rFonts w:asciiTheme="minorHAnsi" w:eastAsiaTheme="minorEastAsia" w:hAnsiTheme="minorHAnsi" w:cstheme="minorBidi"/>
            <w:noProof/>
          </w:rPr>
          <w:tab/>
        </w:r>
        <w:r w:rsidRPr="008B7392">
          <w:rPr>
            <w:rStyle w:val="Hyperlink"/>
            <w:noProof/>
          </w:rPr>
          <w:t>Limitations.</w:t>
        </w:r>
        <w:r>
          <w:rPr>
            <w:noProof/>
            <w:webHidden/>
          </w:rPr>
          <w:tab/>
        </w:r>
        <w:r>
          <w:rPr>
            <w:noProof/>
            <w:webHidden/>
          </w:rPr>
          <w:fldChar w:fldCharType="begin"/>
        </w:r>
        <w:r>
          <w:rPr>
            <w:noProof/>
            <w:webHidden/>
          </w:rPr>
          <w:instrText xml:space="preserve"> PAGEREF _Toc203747512 \h </w:instrText>
        </w:r>
        <w:r>
          <w:rPr>
            <w:noProof/>
            <w:webHidden/>
          </w:rPr>
        </w:r>
        <w:r>
          <w:rPr>
            <w:noProof/>
            <w:webHidden/>
          </w:rPr>
          <w:fldChar w:fldCharType="separate"/>
        </w:r>
        <w:r>
          <w:rPr>
            <w:noProof/>
            <w:webHidden/>
          </w:rPr>
          <w:t>20</w:t>
        </w:r>
        <w:r>
          <w:rPr>
            <w:noProof/>
            <w:webHidden/>
          </w:rPr>
          <w:fldChar w:fldCharType="end"/>
        </w:r>
      </w:hyperlink>
    </w:p>
    <w:p w14:paraId="562FEBD7" w14:textId="16EF99BD" w:rsidR="00154DC9" w:rsidRPr="00A95FBB" w:rsidRDefault="00F02A92" w:rsidP="00F63110">
      <w:pPr>
        <w:spacing w:after="0" w:line="240" w:lineRule="auto"/>
        <w:jc w:val="both"/>
        <w:rPr>
          <w:rFonts w:ascii="Arial" w:hAnsi="Arial" w:cs="Arial"/>
        </w:rPr>
      </w:pPr>
      <w:r>
        <w:rPr>
          <w:rFonts w:ascii="Arial" w:hAnsi="Arial" w:cs="Arial"/>
        </w:rPr>
        <w:fldChar w:fldCharType="end"/>
      </w:r>
    </w:p>
    <w:p w14:paraId="515B63DE" w14:textId="7262218C" w:rsidR="002418EF" w:rsidRPr="00A95FBB" w:rsidRDefault="003F0326" w:rsidP="00FA7A8A">
      <w:pPr>
        <w:pStyle w:val="Heading1"/>
        <w:rPr>
          <w:vanish/>
          <w:specVanish/>
        </w:rPr>
      </w:pPr>
      <w:bookmarkStart w:id="0" w:name="_Toc200724634"/>
      <w:bookmarkStart w:id="1" w:name="_Toc203747462"/>
      <w:r w:rsidRPr="00A95FBB">
        <w:t>Overview</w:t>
      </w:r>
      <w:r w:rsidR="00443E08" w:rsidRPr="00A95FBB">
        <w:t>.</w:t>
      </w:r>
      <w:bookmarkEnd w:id="0"/>
      <w:bookmarkEnd w:id="1"/>
    </w:p>
    <w:p w14:paraId="405EE745" w14:textId="265CB410" w:rsidR="003F0326" w:rsidRPr="00A95FBB" w:rsidRDefault="00443E08" w:rsidP="007A0AFB">
      <w:pPr>
        <w:pStyle w:val="BodyH1"/>
      </w:pPr>
      <w:r w:rsidRPr="00A95FBB">
        <w:t xml:space="preserve"> </w:t>
      </w:r>
      <w:r w:rsidR="003F0326" w:rsidRPr="00A95FBB">
        <w:t>The protection afforded by the guarantee against double jeopardy includes four scenarios: (1) retrial for the same offense after acquittal</w:t>
      </w:r>
      <w:r w:rsidR="00092C7E" w:rsidRPr="00A95FBB">
        <w:t>;</w:t>
      </w:r>
      <w:r w:rsidR="003F0326" w:rsidRPr="00A95FBB">
        <w:t xml:space="preserve"> (2) retrial for the same offense after conviction; (3) retrial for the same offense after a prior trial ended without a verdict, as by mistrial</w:t>
      </w:r>
      <w:r w:rsidR="00201E00" w:rsidRPr="00A95FBB">
        <w:t>;</w:t>
      </w:r>
      <w:r w:rsidR="003F0326" w:rsidRPr="00A95FBB">
        <w:t xml:space="preserve"> and (4) multiple punishments for the same offense.</w:t>
      </w:r>
      <w:r w:rsidR="003F0326" w:rsidRPr="00A95FBB">
        <w:rPr>
          <w:smallCaps/>
        </w:rPr>
        <w:t xml:space="preserve"> </w:t>
      </w:r>
      <w:r w:rsidR="003F0326" w:rsidRPr="00A95FBB">
        <w:t xml:space="preserve">David S. Rudstein, </w:t>
      </w:r>
      <w:r w:rsidR="003F0326" w:rsidRPr="00A95FBB">
        <w:rPr>
          <w:i/>
          <w:iCs/>
        </w:rPr>
        <w:t>Double Jeopardy, A Reference Guide to the United States Constitution</w:t>
      </w:r>
      <w:r w:rsidR="003F0326" w:rsidRPr="00A95FBB">
        <w:t xml:space="preserve"> 38 (2004). “The underlying idea, one that is deeply ingrained in at least the Anglo-American system of jurisprudence, is that the State with all its resources and power should not be allowed to make repeated attempts to convict an individual for an alleged offense</w:t>
      </w:r>
      <w:r w:rsidR="00210DAA" w:rsidRPr="00A95FBB">
        <w:t xml:space="preserve"> </w:t>
      </w:r>
      <w:proofErr w:type="gramStart"/>
      <w:r w:rsidR="00210DAA" w:rsidRPr="00A95FBB">
        <w:t>. . . .</w:t>
      </w:r>
      <w:proofErr w:type="gramEnd"/>
      <w:r w:rsidR="003F0326" w:rsidRPr="00A95FBB">
        <w:t>” Green v. United States, 355 U.S. 184, 187 (1957).</w:t>
      </w:r>
    </w:p>
    <w:p w14:paraId="3B3DC1C4" w14:textId="7ED43E89" w:rsidR="009D3B8D" w:rsidRPr="00A95FBB" w:rsidRDefault="009D3B8D" w:rsidP="00364F84">
      <w:pPr>
        <w:pStyle w:val="Heading1"/>
        <w:keepNext/>
      </w:pPr>
      <w:bookmarkStart w:id="2" w:name="_Toc200724635"/>
      <w:bookmarkStart w:id="3" w:name="_Toc203747463"/>
      <w:r w:rsidRPr="00A95FBB">
        <w:t>Sources.</w:t>
      </w:r>
      <w:bookmarkEnd w:id="2"/>
      <w:bookmarkEnd w:id="3"/>
    </w:p>
    <w:p w14:paraId="1BB6153A" w14:textId="5CBC7703" w:rsidR="001302F3" w:rsidRPr="00F93FE5" w:rsidRDefault="00244F3F" w:rsidP="007A1C56">
      <w:pPr>
        <w:pStyle w:val="Heading2"/>
        <w:spacing w:before="0"/>
        <w:rPr>
          <w:vanish/>
          <w:specVanish/>
        </w:rPr>
      </w:pPr>
      <w:bookmarkStart w:id="4" w:name="_Toc200724636"/>
      <w:bookmarkStart w:id="5" w:name="_Toc203747464"/>
      <w:r w:rsidRPr="00F93FE5">
        <w:t>Common Law</w:t>
      </w:r>
      <w:r w:rsidR="007B712D" w:rsidRPr="00F93FE5">
        <w:t>.</w:t>
      </w:r>
      <w:bookmarkEnd w:id="4"/>
      <w:bookmarkEnd w:id="5"/>
    </w:p>
    <w:p w14:paraId="396A0268" w14:textId="7044D541" w:rsidR="00BD6A2E" w:rsidRPr="00A95FBB" w:rsidRDefault="00C35651" w:rsidP="007A1C56">
      <w:pPr>
        <w:pStyle w:val="BodyH2"/>
      </w:pPr>
      <w:r w:rsidRPr="00A95FBB">
        <w:t xml:space="preserve"> </w:t>
      </w:r>
      <w:r w:rsidR="006953D7" w:rsidRPr="00A95FBB">
        <w:t xml:space="preserve">The protection against double jeopardy was “established in the common law of England long before this Nation’s independence.” Benton v. Maryland, 395 U.S. 784, 795 (1969). By the eighteenth century, “the guarantee against double jeopardy became firmly entrenched in the common law in the form of the pleas of </w:t>
      </w:r>
      <w:proofErr w:type="spellStart"/>
      <w:r w:rsidR="006953D7" w:rsidRPr="00A95FBB">
        <w:t>autrefoits</w:t>
      </w:r>
      <w:proofErr w:type="spellEnd"/>
      <w:r w:rsidR="006953D7" w:rsidRPr="00A95FBB">
        <w:t xml:space="preserve"> acquit (a former acquittal), </w:t>
      </w:r>
      <w:proofErr w:type="spellStart"/>
      <w:r w:rsidR="006953D7" w:rsidRPr="00A95FBB">
        <w:t>autrefoits</w:t>
      </w:r>
      <w:proofErr w:type="spellEnd"/>
      <w:r w:rsidR="006953D7" w:rsidRPr="00A95FBB">
        <w:t xml:space="preserve"> convict (a former conviction), and pardon.” Rudstein, Double Jeopardy, at 4. As William Blackstone explained in his monumental treatise, the plea of </w:t>
      </w:r>
      <w:proofErr w:type="spellStart"/>
      <w:r w:rsidR="006953D7" w:rsidRPr="00A95FBB">
        <w:t>autrefoits</w:t>
      </w:r>
      <w:proofErr w:type="spellEnd"/>
      <w:r w:rsidR="006953D7" w:rsidRPr="00A95FBB">
        <w:t xml:space="preserve"> acquit “is grounded on this universal maxim of the common law, that no man is to be brought into jeopardy of his life, more than once, for the same offence.” 4 William Blackstone, Commentaries on the Laws of England *335.</w:t>
      </w:r>
      <w:bookmarkStart w:id="6" w:name="_Toc200724637"/>
    </w:p>
    <w:p w14:paraId="6AFA2197" w14:textId="3732F121" w:rsidR="001302F3" w:rsidRPr="007A1C56" w:rsidRDefault="00244F3F" w:rsidP="00A21464">
      <w:pPr>
        <w:pStyle w:val="Heading2"/>
        <w:rPr>
          <w:vanish/>
          <w:specVanish/>
        </w:rPr>
      </w:pPr>
      <w:bookmarkStart w:id="7" w:name="_Toc203747465"/>
      <w:r w:rsidRPr="00F93FE5">
        <w:t>Constitution</w:t>
      </w:r>
      <w:r w:rsidR="00047D00" w:rsidRPr="00F93FE5">
        <w:t>s</w:t>
      </w:r>
      <w:r w:rsidR="00175023" w:rsidRPr="00F93FE5">
        <w:t>.</w:t>
      </w:r>
      <w:bookmarkEnd w:id="7"/>
    </w:p>
    <w:p w14:paraId="1DEFA8FA" w14:textId="6F13F064" w:rsidR="00047D00" w:rsidRPr="00A95FBB" w:rsidRDefault="00464E37" w:rsidP="00A21464">
      <w:pPr>
        <w:pStyle w:val="BodyH2"/>
      </w:pPr>
      <w:r w:rsidRPr="00A95FBB">
        <w:rPr>
          <w:rStyle w:val="Heading2Char"/>
          <w:b w:val="0"/>
        </w:rPr>
        <w:t xml:space="preserve"> </w:t>
      </w:r>
      <w:r w:rsidR="00A72A33" w:rsidRPr="00A95FBB">
        <w:t>“The common law principle that no person can be twice put in jeopardy of life or limb for the same offense is now guaranteed by both the federal and the state constitutions.” State v. Allen, 16 N.C. App. 159, 161 (1972).</w:t>
      </w:r>
      <w:bookmarkEnd w:id="6"/>
    </w:p>
    <w:p w14:paraId="6728DE4D" w14:textId="77777777" w:rsidR="005C10B0" w:rsidRPr="007A1C56" w:rsidRDefault="00A72A33" w:rsidP="007933EF">
      <w:pPr>
        <w:pStyle w:val="Heading3"/>
        <w:numPr>
          <w:ilvl w:val="0"/>
          <w:numId w:val="12"/>
        </w:numPr>
        <w:rPr>
          <w:vanish/>
          <w:specVanish/>
        </w:rPr>
      </w:pPr>
      <w:bookmarkStart w:id="8" w:name="_Toc200724638"/>
      <w:r w:rsidRPr="00F93FE5">
        <w:t>Federal</w:t>
      </w:r>
      <w:r w:rsidRPr="00A95FBB">
        <w:t>.</w:t>
      </w:r>
    </w:p>
    <w:p w14:paraId="2FB7F87D" w14:textId="77777777" w:rsidR="00D70151" w:rsidRPr="00D70151" w:rsidRDefault="00A72A33" w:rsidP="00C02F67">
      <w:pPr>
        <w:pStyle w:val="BodyH3"/>
      </w:pPr>
      <w:r w:rsidRPr="00A95FBB">
        <w:t xml:space="preserve"> The Double Jeopardy Clause of the Fifth Amendment provides that “[n]o person shall</w:t>
      </w:r>
      <w:r w:rsidR="005C10B0">
        <w:t> </w:t>
      </w:r>
      <w:r w:rsidRPr="00A95FBB">
        <w:t>. . . be subject for the same offence to be twice put in jeopardy of life or limb.” U.S. Const. Amend. V. The provision is applicable to the States through the Due Process Clause of the Fourteenth Amendment. Benton v. Maryland, 395 U.S. 784, 794 (1969). The “persons” protected by the clause include corporations. United States v. Martin Linen Supply Co., 430 U.S. 564 (1977); Fong Foo v. United States, 369 U.S. 141 (1962). Further, despite its reference to “life or limb,” the constitutional guarantee extends to all criminal offenses, including misdemeanors. Breed v. Jones, 421 U.S. 519, 528 (1975); Ex parte Lange, 85 U.S. 163, 173 (1873).</w:t>
      </w:r>
      <w:bookmarkStart w:id="9" w:name="_Toc200724639"/>
      <w:bookmarkEnd w:id="8"/>
    </w:p>
    <w:p w14:paraId="5059A6AF" w14:textId="3FC49DF7" w:rsidR="00090E03" w:rsidRPr="007A1C56" w:rsidRDefault="00A72A33" w:rsidP="007933EF">
      <w:pPr>
        <w:pStyle w:val="Heading3"/>
        <w:numPr>
          <w:ilvl w:val="0"/>
          <w:numId w:val="12"/>
        </w:numPr>
        <w:rPr>
          <w:vanish/>
          <w:specVanish/>
        </w:rPr>
      </w:pPr>
      <w:r w:rsidRPr="00A95FBB">
        <w:t>State.</w:t>
      </w:r>
    </w:p>
    <w:p w14:paraId="04CD2641" w14:textId="77777777" w:rsidR="008A74D0" w:rsidRDefault="00A72A33" w:rsidP="00C02F67">
      <w:pPr>
        <w:pStyle w:val="BodyH3"/>
      </w:pPr>
      <w:r w:rsidRPr="00A95FBB">
        <w:t xml:space="preserve"> The North Carolina constitution has no double jeopardy clause. State v. Rambert, 341 N.C. 173, 175 n.1 (1995). The North Carolina Supreme Court has, however, “interpreted the language of the law of the land clause of our state Constitution as guaranteeing the common law doctrine of former jeopardy.” State v. Brunson, 327 N.C. 244, 247 (1990); N.C. Const. Art. I, § 19. The principle is now regarded as “an integral part of the Law of the Land clause.” State v. Robinson, 375 N.C. 173, 183 (2020). The state constitutional protection against double jeopardy is no broader than that afforded by the federal constitution. State </w:t>
      </w:r>
      <w:r w:rsidRPr="00A95FBB">
        <w:lastRenderedPageBreak/>
        <w:t>v. Brunson, 327 N.C. 244, 249 (1990); State v. Gilbert, 139 N.C. App. 657, 666 (2000).</w:t>
      </w:r>
      <w:bookmarkStart w:id="10" w:name="_Toc200724640"/>
      <w:bookmarkEnd w:id="9"/>
    </w:p>
    <w:p w14:paraId="5F6ED145" w14:textId="1DFCC2E2" w:rsidR="00090E03" w:rsidRPr="008A74D0" w:rsidRDefault="00584F85" w:rsidP="007A1C56">
      <w:pPr>
        <w:pStyle w:val="Heading2"/>
        <w:rPr>
          <w:vanish/>
          <w:specVanish/>
        </w:rPr>
      </w:pPr>
      <w:bookmarkStart w:id="11" w:name="_Toc203747466"/>
      <w:r w:rsidRPr="00A95FBB">
        <w:t>Statut</w:t>
      </w:r>
      <w:r w:rsidR="001061A1" w:rsidRPr="00A95FBB">
        <w:t>e</w:t>
      </w:r>
      <w:r w:rsidRPr="00A95FBB">
        <w:t>.</w:t>
      </w:r>
      <w:bookmarkEnd w:id="11"/>
    </w:p>
    <w:p w14:paraId="674EB48F" w14:textId="4113CA6B" w:rsidR="00D70151" w:rsidRPr="00D70151" w:rsidRDefault="00584F85" w:rsidP="007A1C56">
      <w:pPr>
        <w:pStyle w:val="BodyH2"/>
        <w:rPr>
          <w:bCs/>
        </w:rPr>
      </w:pPr>
      <w:r w:rsidRPr="00A95FBB">
        <w:t xml:space="preserve"> </w:t>
      </w:r>
      <w:r w:rsidR="00AA2E94" w:rsidRPr="00A95FBB">
        <w:t>Several state statutes codify double jeopardy protections. These include the following.</w:t>
      </w:r>
      <w:bookmarkEnd w:id="10"/>
    </w:p>
    <w:p w14:paraId="7F7F85BD" w14:textId="5171C08B" w:rsidR="00AA2E94" w:rsidRPr="00A95FBB" w:rsidRDefault="00AA2E94" w:rsidP="001670F8">
      <w:pPr>
        <w:pStyle w:val="ListParagraph1"/>
      </w:pPr>
      <w:r w:rsidRPr="00A95FBB">
        <w:t>A defendant who has previously been placed in jeopardy for the same offense is entitled to dismissal of charges. G.S. 15A-954(a)(5); State v. Lambert, 53 N.C. App. 799, 801 (1981).</w:t>
      </w:r>
    </w:p>
    <w:p w14:paraId="5A3AA43C" w14:textId="75935219" w:rsidR="00AA2E94" w:rsidRPr="00A95FBB" w:rsidRDefault="00AA2E94" w:rsidP="001670F8">
      <w:pPr>
        <w:pStyle w:val="ListParagraph1"/>
      </w:pPr>
      <w:r w:rsidRPr="00A95FBB">
        <w:t>A defendant is entitled to dismissal of charges if an issue essential to a successful prosecution has previously been adjudicated in the defendant’s favor. G.S. 15A-954(a)(7); State v. Spargo, 187 N.C. App. 115, 119 (2007)</w:t>
      </w:r>
      <w:r w:rsidR="005B6E0C" w:rsidRPr="00A95FBB">
        <w:t>.</w:t>
      </w:r>
      <w:r w:rsidR="00744FB4" w:rsidRPr="00A95FBB">
        <w:t xml:space="preserve"> </w:t>
      </w:r>
      <w:r w:rsidR="005B6E0C" w:rsidRPr="00A95FBB">
        <w:rPr>
          <w:i/>
        </w:rPr>
        <w:t>See</w:t>
      </w:r>
      <w:r w:rsidR="005B6E0C" w:rsidRPr="00A95FBB">
        <w:t xml:space="preserve"> Section XII</w:t>
      </w:r>
      <w:r w:rsidR="00744FB4" w:rsidRPr="00A95FBB">
        <w:t>,</w:t>
      </w:r>
      <w:r w:rsidR="005B6E0C" w:rsidRPr="00A95FBB">
        <w:t xml:space="preserve"> below.</w:t>
      </w:r>
    </w:p>
    <w:p w14:paraId="16BB8650" w14:textId="0260B250" w:rsidR="00AA2E94" w:rsidRPr="00A95FBB" w:rsidRDefault="00AA2E94" w:rsidP="001670F8">
      <w:pPr>
        <w:pStyle w:val="ListParagraph1"/>
      </w:pPr>
      <w:r w:rsidRPr="00A95FBB">
        <w:t>A defendant tried for one offense may be entitled to dismissal of charges for a joinable offense. G.S. 15A-926(c)(2); State v. Schalow, 379 N.C. 639, 654 (2021).</w:t>
      </w:r>
      <w:r w:rsidR="00976D4C" w:rsidRPr="00A95FBB">
        <w:t xml:space="preserve"> </w:t>
      </w:r>
      <w:r w:rsidR="00976D4C" w:rsidRPr="00A95FBB">
        <w:rPr>
          <w:i/>
        </w:rPr>
        <w:t>See</w:t>
      </w:r>
      <w:r w:rsidR="00976D4C" w:rsidRPr="00A95FBB">
        <w:t xml:space="preserve"> Section XIV, below.</w:t>
      </w:r>
    </w:p>
    <w:p w14:paraId="331C6FD9" w14:textId="77777777" w:rsidR="00AA2E94" w:rsidRPr="00A95FBB" w:rsidRDefault="00AA2E94" w:rsidP="001670F8">
      <w:pPr>
        <w:pStyle w:val="ListParagraph1"/>
      </w:pPr>
      <w:r w:rsidRPr="00A95FBB">
        <w:t>If an offense occurred in part outside North Carolina, a person may be tried for that offense in this State if he has not been placed in jeopardy for the same offense in another state. G.S. 15A-134; State v. Christian, 288 N.C. App. 50, 52 (2023).</w:t>
      </w:r>
    </w:p>
    <w:p w14:paraId="64FBA7EE" w14:textId="156ED5CB" w:rsidR="00AA2E94" w:rsidRPr="00A95FBB" w:rsidRDefault="00AA2E94" w:rsidP="001670F8">
      <w:pPr>
        <w:pStyle w:val="ListParagraph1"/>
      </w:pPr>
      <w:r w:rsidRPr="00A95FBB">
        <w:t>If a violation of the North Carolina Controlled Substances Act (Chapter 90, Art. 5) is also a violation of federal law or another state’s law, a conviction or acquittal under federal law or the law of another state for the same act is a bar to prosecution in this State. G.S. 90-97; State v. Brunson, 165 N.C. App. 667, 671 (2004).</w:t>
      </w:r>
      <w:r w:rsidR="00976D4C" w:rsidRPr="00A95FBB">
        <w:t xml:space="preserve"> </w:t>
      </w:r>
      <w:r w:rsidR="00FB3E6D" w:rsidRPr="00A95FBB">
        <w:rPr>
          <w:i/>
        </w:rPr>
        <w:t>See</w:t>
      </w:r>
      <w:r w:rsidR="00FB3E6D" w:rsidRPr="00A95FBB">
        <w:t xml:space="preserve"> Section XIII, below.</w:t>
      </w:r>
    </w:p>
    <w:p w14:paraId="3CF39AEB" w14:textId="101573A2" w:rsidR="007423C0" w:rsidRPr="00A95FBB" w:rsidRDefault="00AA2E94" w:rsidP="001670F8">
      <w:pPr>
        <w:pStyle w:val="ListParagraph1"/>
        <w:ind w:right="-90"/>
      </w:pPr>
      <w:r w:rsidRPr="00A95FBB">
        <w:t xml:space="preserve">As for multiple punishments, many statutes include such language as “unless the conduct is covered under some other provision of law providing greater punishment.” </w:t>
      </w:r>
      <w:r w:rsidRPr="00A95FBB">
        <w:rPr>
          <w:i/>
        </w:rPr>
        <w:t>E.g.</w:t>
      </w:r>
      <w:r w:rsidRPr="00A95FBB">
        <w:t xml:space="preserve">, G.S. 14-32.4 (assault inflicting serious bodily injury); 14-33(b) (misdemeanor assault). Such language generally precludes cumulative punishment for both a greater and lesser offense. </w:t>
      </w:r>
      <w:r w:rsidRPr="00A95FBB">
        <w:rPr>
          <w:i/>
        </w:rPr>
        <w:t>See</w:t>
      </w:r>
      <w:r w:rsidRPr="00A95FBB">
        <w:t xml:space="preserve"> State v. Fields, 374 N.C. 629, 634 (2020); State v. Davis, 364 N.C. 297, 304 (2010).</w:t>
      </w:r>
      <w:r w:rsidR="007423C0" w:rsidRPr="00A95FBB">
        <w:t xml:space="preserve"> </w:t>
      </w:r>
      <w:r w:rsidR="007423C0" w:rsidRPr="00A95FBB">
        <w:rPr>
          <w:i/>
        </w:rPr>
        <w:t>See</w:t>
      </w:r>
      <w:r w:rsidR="007423C0" w:rsidRPr="00A95FBB">
        <w:t xml:space="preserve"> Section XI, below.</w:t>
      </w:r>
    </w:p>
    <w:p w14:paraId="5C656778" w14:textId="6231DDF0" w:rsidR="008A74D0" w:rsidRPr="008A74D0" w:rsidRDefault="007423C0" w:rsidP="001670F8">
      <w:pPr>
        <w:pStyle w:val="Heading1"/>
        <w:spacing w:after="240"/>
        <w:rPr>
          <w:b w:val="0"/>
          <w:vanish/>
          <w:specVanish/>
        </w:rPr>
      </w:pPr>
      <w:bookmarkStart w:id="12" w:name="_Toc203747467"/>
      <w:r w:rsidRPr="00A95FBB">
        <w:t>Jurisdiction</w:t>
      </w:r>
      <w:r w:rsidR="00664D3E" w:rsidRPr="00A95FBB">
        <w:t>.</w:t>
      </w:r>
      <w:bookmarkStart w:id="13" w:name="_Toc200724641"/>
      <w:bookmarkEnd w:id="12"/>
    </w:p>
    <w:p w14:paraId="5CDE8B32" w14:textId="77777777" w:rsidR="000D5598" w:rsidRDefault="00664D3E" w:rsidP="007A0AFB">
      <w:pPr>
        <w:pStyle w:val="BodyH1"/>
      </w:pPr>
      <w:r w:rsidRPr="00A95FBB">
        <w:t xml:space="preserve"> </w:t>
      </w:r>
      <w:r w:rsidR="00A0329F" w:rsidRPr="00A95FBB">
        <w:t xml:space="preserve">If jurisdiction depends on a valid criminal pleading, jeopardy also requires a valid pleading. State v. Cooke, 248 N.C. 485, 488 (1958); State v. Cofield, 247 N.C. 185, 188 (1957). Stated differently, a defective pleading creates no prior jeopardy, so a defendant may be retried for the same offense upon a proper pleading. State v. Coleman, 253 N.C. 799, 801 (1961); State v. Bond, 21 N.C. App. 434, 435 (1974). This is true for both a trial terminated before verdict and for a prior conviction. Illinois v. Somerville, 410 U.S. 458, 469 (1973); State v. Pakulski, 326 N.C. 434, 439 (1990). </w:t>
      </w:r>
      <w:r w:rsidR="00A41030" w:rsidRPr="00A95FBB">
        <w:t>As a matter of due process, however, a</w:t>
      </w:r>
      <w:r w:rsidR="00A0329F" w:rsidRPr="00A95FBB">
        <w:t xml:space="preserve"> defendant acquitted upon an invalid pleading may not be retried. Ball v. United States, 163 U.S. 662 (1896); Jeff Welty, </w:t>
      </w:r>
      <w:hyperlink r:id="rId11" w:history="1">
        <w:r w:rsidR="00A0329F" w:rsidRPr="00E973D1">
          <w:rPr>
            <w:rStyle w:val="Hyperlink"/>
            <w:rFonts w:cs="Arial"/>
          </w:rPr>
          <w:t>Pleading Defects and Double Jeopardy</w:t>
        </w:r>
      </w:hyperlink>
      <w:r w:rsidR="00A0329F" w:rsidRPr="00A95FBB">
        <w:t xml:space="preserve">, </w:t>
      </w:r>
      <w:r w:rsidR="00E973D1" w:rsidRPr="00E973D1">
        <w:t xml:space="preserve">N. C. CRIM. L., UNC SCH. OF GOV’T BLOG </w:t>
      </w:r>
      <w:r w:rsidR="00A0329F" w:rsidRPr="00A95FBB">
        <w:t>(Sept 10, 2015)</w:t>
      </w:r>
      <w:r w:rsidR="005A3008" w:rsidRPr="00A95FBB">
        <w:t>.</w:t>
      </w:r>
      <w:bookmarkEnd w:id="13"/>
    </w:p>
    <w:p w14:paraId="537CC95D" w14:textId="718C0FFC" w:rsidR="000D5598" w:rsidRPr="008A74D0" w:rsidRDefault="000D5598" w:rsidP="007A0AFB">
      <w:pPr>
        <w:pStyle w:val="BodyH1"/>
      </w:pPr>
      <w:r>
        <w:t>In State v. Singleton, 386 N.C. 183 (2024), the North Carolina Supreme Court abandoned the common law rule that jurisdiction is derived from a facially valid indictment. The consequences of this departure are still being explored by the courts.</w:t>
      </w:r>
      <w:r w:rsidR="0017118B">
        <w:t xml:space="preserve"> </w:t>
      </w:r>
      <w:r w:rsidR="0017118B" w:rsidRPr="00540DA1">
        <w:rPr>
          <w:i/>
          <w:iCs/>
        </w:rPr>
        <w:t>Singleton</w:t>
      </w:r>
      <w:r w:rsidR="0017118B">
        <w:t xml:space="preserve"> may require reconsideration of the rationale under which retrial was permissible when a previous defective indictment failed to confer jurisdiction.</w:t>
      </w:r>
    </w:p>
    <w:p w14:paraId="2E32A689" w14:textId="0726EE56" w:rsidR="008A74D0" w:rsidRPr="00A90C2D" w:rsidRDefault="00B31B0E" w:rsidP="00364F84">
      <w:pPr>
        <w:pStyle w:val="Heading1"/>
        <w:keepNext/>
      </w:pPr>
      <w:bookmarkStart w:id="14" w:name="_Toc200724642"/>
      <w:bookmarkStart w:id="15" w:name="_Toc203747468"/>
      <w:r w:rsidRPr="00A90C2D">
        <w:t>Proceedings that Trigger Double Jeopardy Protection</w:t>
      </w:r>
      <w:r w:rsidR="00A93E52" w:rsidRPr="00A90C2D">
        <w:t>.</w:t>
      </w:r>
      <w:bookmarkStart w:id="16" w:name="_Toc200724643"/>
      <w:bookmarkEnd w:id="14"/>
      <w:bookmarkEnd w:id="15"/>
    </w:p>
    <w:p w14:paraId="2C08A7C7" w14:textId="77777777" w:rsidR="00A90C2D" w:rsidRPr="00462A89" w:rsidRDefault="00A90C2D" w:rsidP="007933EF">
      <w:pPr>
        <w:pStyle w:val="Heading2"/>
        <w:numPr>
          <w:ilvl w:val="0"/>
          <w:numId w:val="15"/>
        </w:numPr>
        <w:spacing w:before="0"/>
        <w:rPr>
          <w:vanish/>
          <w:specVanish/>
        </w:rPr>
      </w:pPr>
      <w:bookmarkStart w:id="17" w:name="_Toc203747469"/>
      <w:r w:rsidRPr="00A90C2D">
        <w:t>Criminal Proceedings.</w:t>
      </w:r>
      <w:bookmarkEnd w:id="17"/>
    </w:p>
    <w:p w14:paraId="33F7FC3D" w14:textId="77777777" w:rsidR="00A90C2D" w:rsidRDefault="00624494" w:rsidP="007A1C56">
      <w:pPr>
        <w:pStyle w:val="BodyH2"/>
      </w:pPr>
      <w:r w:rsidRPr="00A95FBB">
        <w:t xml:space="preserve"> “[J]</w:t>
      </w:r>
      <w:proofErr w:type="spellStart"/>
      <w:r w:rsidRPr="00A95FBB">
        <w:t>eopardy</w:t>
      </w:r>
      <w:proofErr w:type="spellEnd"/>
      <w:r w:rsidRPr="00A95FBB">
        <w:t xml:space="preserve"> describes the risk that is traditionally associated with a criminal prosecution.” Breed v. Jones, 421 U.S. 519, 528 (1975). Despite the </w:t>
      </w:r>
      <w:r w:rsidRPr="00A95FBB">
        <w:lastRenderedPageBreak/>
        <w:t xml:space="preserve">language of the Fifth Amendment (i.e., “life or limb”), the protection extends to offenses punishable by fine or imprisonment, including misdemeanors. Dep’t of Revenue v. Kurth Ranch, 511 U.S. 767, 769 n.1 (1994); Ex parte Lange, 85 U.S. 163, 173 (1873). The only criminal prosecutions that might not implicate double jeopardy are summary proceedings for direct criminal contempt. </w:t>
      </w:r>
      <w:r w:rsidRPr="003F70FD">
        <w:rPr>
          <w:i/>
          <w:iCs/>
        </w:rPr>
        <w:t>See</w:t>
      </w:r>
      <w:r w:rsidRPr="00A95FBB">
        <w:t xml:space="preserve"> </w:t>
      </w:r>
      <w:proofErr w:type="spellStart"/>
      <w:r w:rsidRPr="00A95FBB">
        <w:t>Rudstein</w:t>
      </w:r>
      <w:proofErr w:type="spellEnd"/>
      <w:r w:rsidRPr="00A95FBB">
        <w:t>, Double Jeopardy, at 44-45; United States v. Dixon, 509 U.S. 688, 696 (1993).</w:t>
      </w:r>
    </w:p>
    <w:p w14:paraId="5571DEF3" w14:textId="4689EA8D" w:rsidR="00AB7AB0" w:rsidRPr="00A90C2D" w:rsidRDefault="00CD3594" w:rsidP="007A1C56">
      <w:pPr>
        <w:pStyle w:val="BodyH2"/>
      </w:pPr>
      <w:r w:rsidRPr="00A95FBB">
        <w:t xml:space="preserve">In determining </w:t>
      </w:r>
      <w:r w:rsidR="0076672B" w:rsidRPr="00A95FBB">
        <w:t xml:space="preserve">whether </w:t>
      </w:r>
      <w:r w:rsidRPr="00A95FBB">
        <w:t xml:space="preserve">a penalty is criminal or civil, a court asks two questions: </w:t>
      </w:r>
    </w:p>
    <w:p w14:paraId="5CAC2EB6" w14:textId="77777777" w:rsidR="00D70151" w:rsidRPr="00D70151" w:rsidRDefault="00CD3594" w:rsidP="007933EF">
      <w:pPr>
        <w:pStyle w:val="BodyH2"/>
        <w:numPr>
          <w:ilvl w:val="0"/>
          <w:numId w:val="36"/>
        </w:numPr>
        <w:rPr>
          <w:bCs/>
        </w:rPr>
      </w:pPr>
      <w:bookmarkStart w:id="18" w:name="_Toc203397851"/>
      <w:bookmarkStart w:id="19" w:name="_Toc203398100"/>
      <w:bookmarkStart w:id="20" w:name="_Toc203576557"/>
      <w:r w:rsidRPr="00A95FBB">
        <w:t>whether the legislature intended to create</w:t>
      </w:r>
      <w:r w:rsidR="00AE7349" w:rsidRPr="00A95FBB">
        <w:t xml:space="preserve"> a</w:t>
      </w:r>
      <w:r w:rsidRPr="00A95FBB">
        <w:t xml:space="preserve"> civil or criminal penalty,</w:t>
      </w:r>
      <w:r w:rsidR="00AB7AB0" w:rsidRPr="00A95FBB">
        <w:t xml:space="preserve"> and</w:t>
      </w:r>
      <w:bookmarkEnd w:id="18"/>
      <w:bookmarkEnd w:id="19"/>
      <w:bookmarkEnd w:id="20"/>
      <w:r w:rsidR="00AB7AB0" w:rsidRPr="00A95FBB">
        <w:t xml:space="preserve"> </w:t>
      </w:r>
      <w:bookmarkStart w:id="21" w:name="_Toc203397852"/>
      <w:bookmarkStart w:id="22" w:name="_Toc203398101"/>
      <w:bookmarkStart w:id="23" w:name="_Toc203576558"/>
    </w:p>
    <w:p w14:paraId="133CB6AE" w14:textId="28EBDDD3" w:rsidR="00D70151" w:rsidRPr="00D70151" w:rsidRDefault="00CD3594" w:rsidP="007933EF">
      <w:pPr>
        <w:pStyle w:val="BodyH2"/>
        <w:numPr>
          <w:ilvl w:val="0"/>
          <w:numId w:val="36"/>
        </w:numPr>
        <w:rPr>
          <w:bCs/>
        </w:rPr>
      </w:pPr>
      <w:r w:rsidRPr="00A95FBB">
        <w:t xml:space="preserve">whether the statutory scheme is so punitive in purpose or effect as to transform </w:t>
      </w:r>
      <w:r w:rsidR="008C253B" w:rsidRPr="00A95FBB">
        <w:t>a</w:t>
      </w:r>
      <w:r w:rsidRPr="00A95FBB">
        <w:t xml:space="preserve"> civil remedy into a criminal penalty. Hudson v. United States, 522 U.S. 93, 99 (1997); State v. Arellano, 165 N.C. App. 609, 612 (2004).</w:t>
      </w:r>
      <w:bookmarkStart w:id="24" w:name="_Toc200724644"/>
      <w:bookmarkEnd w:id="16"/>
      <w:bookmarkEnd w:id="21"/>
      <w:bookmarkEnd w:id="22"/>
      <w:bookmarkEnd w:id="23"/>
    </w:p>
    <w:p w14:paraId="1CADFABF" w14:textId="1B38E477" w:rsidR="007A0AFB" w:rsidRPr="00A21464" w:rsidRDefault="0091143D" w:rsidP="007933EF">
      <w:pPr>
        <w:pStyle w:val="Heading2"/>
        <w:numPr>
          <w:ilvl w:val="0"/>
          <w:numId w:val="35"/>
        </w:numPr>
        <w:rPr>
          <w:vanish/>
          <w:specVanish/>
        </w:rPr>
      </w:pPr>
      <w:bookmarkStart w:id="25" w:name="_Toc203747470"/>
      <w:r w:rsidRPr="00A95FBB">
        <w:t>Civil Proceedings.</w:t>
      </w:r>
      <w:bookmarkEnd w:id="25"/>
    </w:p>
    <w:p w14:paraId="041E4295" w14:textId="1C25A186" w:rsidR="00D70151" w:rsidRPr="00D70151" w:rsidRDefault="00DD5B93" w:rsidP="007A1C56">
      <w:pPr>
        <w:pStyle w:val="BodyH2"/>
        <w:rPr>
          <w:bCs/>
        </w:rPr>
      </w:pPr>
      <w:r w:rsidRPr="00A95FBB">
        <w:t xml:space="preserve"> Juvenile delinquency adjudications, ostensibly civil, are deemed criminal for purposes of double jeopardy. Breed v. Jones, 421 U.S. 519, 531 (1975); Matter of Vinson, 298 N.C. 640, 650 (1979). Otherwise, the Double Jeopardy Clause does not apply in civil actions, United States v. Halper, 490 U.S. 435, 450 (1989), or to civil sanctions. Hudson, 522 U.S. </w:t>
      </w:r>
      <w:r w:rsidR="000632C6" w:rsidRPr="00A95FBB">
        <w:t>at</w:t>
      </w:r>
      <w:r w:rsidRPr="00A95FBB">
        <w:t xml:space="preserve"> 99 (1997).</w:t>
      </w:r>
      <w:r w:rsidR="00552FC6" w:rsidRPr="00A95FBB">
        <w:t xml:space="preserve"> </w:t>
      </w:r>
      <w:r w:rsidRPr="00A95FBB">
        <w:t>Consequently, subsequent criminal prosecution based on the same conduct is not barred by the prior imposition of civil penalties in the following scenarios:</w:t>
      </w:r>
      <w:bookmarkEnd w:id="24"/>
    </w:p>
    <w:p w14:paraId="35C4A98A" w14:textId="17ED0C19" w:rsidR="00DD5B93" w:rsidRPr="00A95FBB" w:rsidRDefault="005252C2" w:rsidP="007A1C56">
      <w:pPr>
        <w:pStyle w:val="ListParagraph1"/>
      </w:pPr>
      <w:r w:rsidRPr="00A95FBB">
        <w:t xml:space="preserve">Imposition of civil liability for larceny, shoplifting, theft by </w:t>
      </w:r>
      <w:proofErr w:type="gramStart"/>
      <w:r w:rsidRPr="00A95FBB">
        <w:t>employee</w:t>
      </w:r>
      <w:proofErr w:type="gramEnd"/>
      <w:r w:rsidRPr="00A95FBB">
        <w:t>, organized retail theft, embezzlement, obtaining property by false pretense, and other offenses</w:t>
      </w:r>
      <w:r w:rsidR="006A5FFC" w:rsidRPr="00A95FBB">
        <w:t>.</w:t>
      </w:r>
      <w:r w:rsidR="00DD5B93" w:rsidRPr="00A95FBB">
        <w:t xml:space="preserve"> G.S. 1-538.2. State v. Beckham, 148 N.C. App. 282, 288-89 (2002).</w:t>
      </w:r>
    </w:p>
    <w:p w14:paraId="54A8EF72" w14:textId="4E93F1E2" w:rsidR="00DD5B93" w:rsidRPr="00A95FBB" w:rsidRDefault="0023697D" w:rsidP="007A1C56">
      <w:pPr>
        <w:pStyle w:val="ListParagraph1"/>
      </w:pPr>
      <w:r w:rsidRPr="00A95FBB">
        <w:t xml:space="preserve">Immediate driver’s license revocation for </w:t>
      </w:r>
      <w:proofErr w:type="gramStart"/>
      <w:r w:rsidRPr="00A95FBB">
        <w:t>persons</w:t>
      </w:r>
      <w:proofErr w:type="gramEnd"/>
      <w:r w:rsidRPr="00A95FBB">
        <w:t xml:space="preserve"> charged with implied consent offenses</w:t>
      </w:r>
      <w:r w:rsidR="00DD5B93" w:rsidRPr="00A95FBB">
        <w:t>. G.S. 20-16.5; State v. Oliver, 343 N.C. 202, 210 (1996); State v. Hinchman, 192 N.C. App. 657, 666 (2008).</w:t>
      </w:r>
    </w:p>
    <w:p w14:paraId="6FF6B9DC" w14:textId="5DF4F177" w:rsidR="00DD5B93" w:rsidRPr="00A95FBB" w:rsidRDefault="00DD5B93" w:rsidP="007A1C56">
      <w:pPr>
        <w:pStyle w:val="ListParagraph1"/>
      </w:pPr>
      <w:r w:rsidRPr="00A95FBB">
        <w:t>One-year disqualification</w:t>
      </w:r>
      <w:r w:rsidR="0023697D" w:rsidRPr="00A95FBB">
        <w:t xml:space="preserve"> of a commercial driver’s license</w:t>
      </w:r>
      <w:r w:rsidRPr="00A95FBB">
        <w:t>. G.S. 20-17.4; State v. Reid, 148 N.C. App. 548, 554 (2002).</w:t>
      </w:r>
    </w:p>
    <w:p w14:paraId="674517C4" w14:textId="77777777" w:rsidR="00DD5B93" w:rsidRPr="00A95FBB" w:rsidRDefault="00DD5B93" w:rsidP="007A1C56">
      <w:pPr>
        <w:pStyle w:val="ListParagraph1"/>
      </w:pPr>
      <w:r w:rsidRPr="00A95FBB">
        <w:t>Pretrial detention of defendants charged with crimes of domestic violence. G.S. 15A-534.1(b); State v. Thompson, 349 N.C. 483, 496 (1998).</w:t>
      </w:r>
    </w:p>
    <w:p w14:paraId="60ADBB4E" w14:textId="77777777" w:rsidR="00DD5B93" w:rsidRPr="00A95FBB" w:rsidRDefault="00DD5B93" w:rsidP="007A1C56">
      <w:pPr>
        <w:pStyle w:val="ListParagraph1"/>
      </w:pPr>
      <w:r w:rsidRPr="00A95FBB">
        <w:t>Alcoholic Beverage Control Commission administrative action. G.S. 18B-302; State v. Wilson, 127 N.C. App. 129 (1997).</w:t>
      </w:r>
    </w:p>
    <w:p w14:paraId="03F777E8" w14:textId="77777777" w:rsidR="00DD5B93" w:rsidRPr="00A95FBB" w:rsidRDefault="00DD5B93" w:rsidP="007A1C56">
      <w:pPr>
        <w:pStyle w:val="ListParagraph1"/>
      </w:pPr>
      <w:r w:rsidRPr="00A95FBB">
        <w:t>Assessment of drug tax by N.C. Department of Revenue. G.S. 105-113.107; State v. Adams, 132 N.C. App. 819 (1999).</w:t>
      </w:r>
    </w:p>
    <w:p w14:paraId="47BFA738" w14:textId="542FA4F1" w:rsidR="00DD5B93" w:rsidRPr="00A95FBB" w:rsidRDefault="00DD5B93" w:rsidP="007A1C56">
      <w:pPr>
        <w:pStyle w:val="ListParagraph1"/>
      </w:pPr>
      <w:r w:rsidRPr="00A95FBB">
        <w:t xml:space="preserve">Monetary penalties, occupational debarment for violating federal banking statutes. 12 U.S.C. §§ 84(a)(1) &amp; 375(b); Hudson, 522 U.S. </w:t>
      </w:r>
      <w:r w:rsidR="00552FC6" w:rsidRPr="00A95FBB">
        <w:t>at</w:t>
      </w:r>
      <w:r w:rsidRPr="00A95FBB">
        <w:t xml:space="preserve"> 103 (1997).</w:t>
      </w:r>
    </w:p>
    <w:p w14:paraId="5E8AC9CF" w14:textId="095CB98C" w:rsidR="007A0AFB" w:rsidRPr="00A21464" w:rsidRDefault="0091143D" w:rsidP="00A21464">
      <w:pPr>
        <w:pStyle w:val="Heading2"/>
        <w:rPr>
          <w:bCs/>
          <w:vanish/>
          <w:specVanish/>
        </w:rPr>
      </w:pPr>
      <w:bookmarkStart w:id="26" w:name="_Toc203747471"/>
      <w:r w:rsidRPr="00A95FBB">
        <w:t>Revocation Proceedings.</w:t>
      </w:r>
      <w:bookmarkStart w:id="27" w:name="_Toc200724645"/>
      <w:bookmarkEnd w:id="26"/>
    </w:p>
    <w:p w14:paraId="5B8C3817" w14:textId="77777777" w:rsidR="00D70151" w:rsidRPr="00D70151" w:rsidRDefault="00ED14E7" w:rsidP="007A1C56">
      <w:pPr>
        <w:pStyle w:val="BodyH2"/>
        <w:rPr>
          <w:bCs/>
        </w:rPr>
      </w:pPr>
      <w:r w:rsidRPr="00A95FBB">
        <w:t xml:space="preserve"> Proceedings to revoke probation, parole, or supervised release are not criminal prosecutions. Johnson v. United States, 529 U.S. 694, 700-01 (2000) (supervised release); Gagnon v. Scarpelli, 411 U.S. 778, 782 (1973) (probation); Morrissey v. Brewer, 408 U.S. 471, 480 (1972) (parole). Incarceration of a defendant upon revocation of probation, parole, or supervised release is said to stem from the original judgment. State v. Murchison, 367 N.C. 461, 463 (2014); In re O’Neal, 160 N.C. App. 409, 413 (2003). Hence, there is no double jeopardy bar to prosecuting a defendant subsequently for the same conduct that gave rise to the revocation. State v. Sparks, 362 N.C. 181, 189-90 (2008); State v. Monk, 132 N.C. App. 248, 253 (1999).</w:t>
      </w:r>
      <w:bookmarkStart w:id="28" w:name="_Toc200724646"/>
      <w:bookmarkEnd w:id="27"/>
    </w:p>
    <w:p w14:paraId="44A30CD4" w14:textId="3C032056" w:rsidR="007A0AFB" w:rsidRPr="007A0AFB" w:rsidRDefault="0091143D" w:rsidP="009F5280">
      <w:pPr>
        <w:pStyle w:val="Heading1"/>
        <w:rPr>
          <w:vanish/>
          <w:specVanish/>
        </w:rPr>
      </w:pPr>
      <w:bookmarkStart w:id="29" w:name="_Toc203747472"/>
      <w:r w:rsidRPr="00A95FBB">
        <w:t>Attachment of Jeopardy.</w:t>
      </w:r>
      <w:bookmarkEnd w:id="28"/>
      <w:bookmarkEnd w:id="29"/>
    </w:p>
    <w:p w14:paraId="4B30DF5A" w14:textId="3FD760A2" w:rsidR="009F5280" w:rsidRPr="00A95FBB" w:rsidRDefault="005B4F97" w:rsidP="00481F0F">
      <w:pPr>
        <w:pStyle w:val="BodyH1"/>
      </w:pPr>
      <w:r w:rsidRPr="00A95FBB">
        <w:t xml:space="preserve"> </w:t>
      </w:r>
      <w:r w:rsidR="008C1824" w:rsidRPr="00A95FBB">
        <w:t>Obviously, a defendant cannot be placed in jeopardy twice before being placed in jeopardy once before.</w:t>
      </w:r>
      <w:r w:rsidR="00C16E8E" w:rsidRPr="00A95FBB">
        <w:t xml:space="preserve"> </w:t>
      </w:r>
      <w:r w:rsidR="008C1824" w:rsidRPr="00A95FBB">
        <w:t xml:space="preserve">This is the moment at which jeopardy is said to “attach,” and it marks the point after which acquittal, conviction, or mistrial has </w:t>
      </w:r>
      <w:r w:rsidR="008C1824" w:rsidRPr="00A95FBB">
        <w:lastRenderedPageBreak/>
        <w:t>double jeopardy consequences.</w:t>
      </w:r>
      <w:r w:rsidR="00AC220E" w:rsidRPr="00A95FBB">
        <w:t xml:space="preserve"> </w:t>
      </w:r>
      <w:r w:rsidR="00AC220E" w:rsidRPr="003F70FD">
        <w:rPr>
          <w:i/>
          <w:iCs/>
        </w:rPr>
        <w:t>See</w:t>
      </w:r>
      <w:r w:rsidR="00AC220E" w:rsidRPr="00A95FBB">
        <w:t xml:space="preserve"> </w:t>
      </w:r>
      <w:r w:rsidR="00861EF6" w:rsidRPr="00A95FBB">
        <w:t xml:space="preserve">Will v. Hallock, 546 U.S. 345, 354 n.* (2006); </w:t>
      </w:r>
      <w:r w:rsidR="00AC220E" w:rsidRPr="00A95FBB">
        <w:t>State v. Tate, 300 N.C. 180, 182–83 (1980); State v. Fowler, 197 N.C. App. 1, 17 (2009).</w:t>
      </w:r>
    </w:p>
    <w:p w14:paraId="52F0C722" w14:textId="3721DFEC" w:rsidR="007A0AFB" w:rsidRPr="007A0AFB" w:rsidRDefault="00A5055A" w:rsidP="007933EF">
      <w:pPr>
        <w:pStyle w:val="Heading2"/>
        <w:numPr>
          <w:ilvl w:val="0"/>
          <w:numId w:val="16"/>
        </w:numPr>
        <w:spacing w:before="0"/>
        <w:rPr>
          <w:vanish/>
          <w:specVanish/>
        </w:rPr>
      </w:pPr>
      <w:bookmarkStart w:id="30" w:name="_Toc203747473"/>
      <w:r w:rsidRPr="00A95FBB">
        <w:t xml:space="preserve">Jury </w:t>
      </w:r>
      <w:r w:rsidR="00675038" w:rsidRPr="00A95FBB">
        <w:t>Trial</w:t>
      </w:r>
      <w:r w:rsidRPr="00A95FBB">
        <w:t>.</w:t>
      </w:r>
      <w:bookmarkEnd w:id="30"/>
    </w:p>
    <w:p w14:paraId="27938CBA" w14:textId="77777777" w:rsidR="00D70151" w:rsidRPr="00D70151" w:rsidRDefault="00A5055A" w:rsidP="007A1C56">
      <w:pPr>
        <w:pStyle w:val="BodyH2"/>
        <w:rPr>
          <w:bCs/>
        </w:rPr>
      </w:pPr>
      <w:r w:rsidRPr="00A95FBB">
        <w:t xml:space="preserve"> </w:t>
      </w:r>
      <w:r w:rsidR="005B4F97" w:rsidRPr="00A95FBB">
        <w:t xml:space="preserve">In a jury trial, jeopardy </w:t>
      </w:r>
      <w:proofErr w:type="gramStart"/>
      <w:r w:rsidR="005B4F97" w:rsidRPr="00A95FBB">
        <w:t>attaches</w:t>
      </w:r>
      <w:proofErr w:type="gramEnd"/>
      <w:r w:rsidR="005B4F97" w:rsidRPr="00A95FBB">
        <w:t xml:space="preserve"> when the jury is empaneled and sworn. Martinez v. Illinois, 572 U.S. 833, 839 (2014); State v. Courtney, 372 N.C. 458, 463 (2019).</w:t>
      </w:r>
    </w:p>
    <w:p w14:paraId="77175FFA" w14:textId="6E7F0B20" w:rsidR="007A0AFB" w:rsidRPr="007A0AFB" w:rsidRDefault="00062CE5" w:rsidP="007933EF">
      <w:pPr>
        <w:pStyle w:val="Heading2"/>
        <w:numPr>
          <w:ilvl w:val="0"/>
          <w:numId w:val="16"/>
        </w:numPr>
        <w:rPr>
          <w:vanish/>
          <w:specVanish/>
        </w:rPr>
      </w:pPr>
      <w:bookmarkStart w:id="31" w:name="_Toc203747474"/>
      <w:r w:rsidRPr="00A95FBB">
        <w:t>Bench Trial.</w:t>
      </w:r>
      <w:bookmarkStart w:id="32" w:name="_Toc200724647"/>
      <w:bookmarkEnd w:id="31"/>
    </w:p>
    <w:p w14:paraId="7D0F3E1D" w14:textId="77777777" w:rsidR="00D70151" w:rsidRPr="00D70151" w:rsidRDefault="00062CE5" w:rsidP="007A1C56">
      <w:pPr>
        <w:pStyle w:val="BodyH2"/>
        <w:rPr>
          <w:bCs/>
        </w:rPr>
      </w:pPr>
      <w:r w:rsidRPr="00A95FBB">
        <w:t xml:space="preserve"> </w:t>
      </w:r>
      <w:r w:rsidR="005B4F97" w:rsidRPr="00A95FBB">
        <w:t xml:space="preserve">In a bench trial, jeopardy </w:t>
      </w:r>
      <w:proofErr w:type="gramStart"/>
      <w:r w:rsidR="005B4F97" w:rsidRPr="00A95FBB">
        <w:t>attaches</w:t>
      </w:r>
      <w:proofErr w:type="gramEnd"/>
      <w:r w:rsidR="005B4F97" w:rsidRPr="00A95FBB">
        <w:t xml:space="preserve"> when the court begins to hear evidence or testimony. Serfass v. United States, 420 U.S. 377, 388 (1975); State v. Brunson, 327 N.C. 244, 247 (1990).</w:t>
      </w:r>
      <w:bookmarkEnd w:id="32"/>
      <w:r w:rsidR="00D824F1" w:rsidRPr="00A95FBB">
        <w:t xml:space="preserve"> </w:t>
      </w:r>
      <w:bookmarkStart w:id="33" w:name="_Toc200724648"/>
    </w:p>
    <w:p w14:paraId="1B676280" w14:textId="083EADCC" w:rsidR="007A0AFB" w:rsidRPr="007A0AFB" w:rsidRDefault="00A5055A" w:rsidP="007933EF">
      <w:pPr>
        <w:pStyle w:val="Heading2"/>
        <w:numPr>
          <w:ilvl w:val="0"/>
          <w:numId w:val="16"/>
        </w:numPr>
        <w:rPr>
          <w:vanish/>
          <w:specVanish/>
        </w:rPr>
      </w:pPr>
      <w:bookmarkStart w:id="34" w:name="_Toc203747475"/>
      <w:r w:rsidRPr="00A95FBB">
        <w:t xml:space="preserve">Guilty </w:t>
      </w:r>
      <w:r w:rsidR="00675038" w:rsidRPr="00A95FBB">
        <w:t>Plea</w:t>
      </w:r>
      <w:r w:rsidRPr="00A95FBB">
        <w:t>.</w:t>
      </w:r>
      <w:bookmarkEnd w:id="34"/>
    </w:p>
    <w:p w14:paraId="44F74A18" w14:textId="77777777" w:rsidR="007A0AFB" w:rsidRDefault="00A5055A" w:rsidP="007A1C56">
      <w:pPr>
        <w:pStyle w:val="BodyH2"/>
      </w:pPr>
      <w:r w:rsidRPr="00A95FBB">
        <w:t xml:space="preserve"> </w:t>
      </w:r>
      <w:r w:rsidR="005B4F97" w:rsidRPr="00A95FBB">
        <w:t>In a guilty plea case, jeopardy does not attach until the guilty plea is accepted by a court. State v. Ross, 173 N.C. App. 569, 574 (2005), aff’d per curiam, 360 N.C. 355 (2006); State v. Wallace, 345 N.C. 462, 467 (1997); State v. Wood, 164 N.C. App. 601 (2004).</w:t>
      </w:r>
      <w:bookmarkStart w:id="35" w:name="_Toc200724649"/>
      <w:bookmarkEnd w:id="33"/>
    </w:p>
    <w:p w14:paraId="366003E7" w14:textId="16A16021" w:rsidR="007A0AFB" w:rsidRPr="007A0AFB" w:rsidRDefault="005B4F97" w:rsidP="007933EF">
      <w:pPr>
        <w:pStyle w:val="Heading2"/>
        <w:numPr>
          <w:ilvl w:val="0"/>
          <w:numId w:val="17"/>
        </w:numPr>
        <w:rPr>
          <w:vanish/>
          <w:specVanish/>
        </w:rPr>
      </w:pPr>
      <w:bookmarkStart w:id="36" w:name="_Toc203747476"/>
      <w:r w:rsidRPr="007A0AFB">
        <w:t xml:space="preserve">Prior </w:t>
      </w:r>
      <w:r w:rsidR="00675038" w:rsidRPr="007A0AFB">
        <w:t>Dismissal</w:t>
      </w:r>
      <w:r w:rsidRPr="007A0AFB">
        <w:t>.</w:t>
      </w:r>
      <w:bookmarkEnd w:id="36"/>
    </w:p>
    <w:p w14:paraId="1A2FDE12" w14:textId="1DFDEA44" w:rsidR="00D70151" w:rsidRPr="00D70151" w:rsidRDefault="005B4F97" w:rsidP="007A1C56">
      <w:pPr>
        <w:pStyle w:val="BodyH2"/>
        <w:rPr>
          <w:bCs/>
        </w:rPr>
      </w:pPr>
      <w:r w:rsidRPr="00A95FBB">
        <w:t xml:space="preserve"> A second proceeding is not barred if the first </w:t>
      </w:r>
      <w:r w:rsidR="006A74E3" w:rsidRPr="00A95FBB">
        <w:t xml:space="preserve">proceeding </w:t>
      </w:r>
      <w:r w:rsidRPr="00A95FBB">
        <w:t xml:space="preserve">was </w:t>
      </w:r>
      <w:r w:rsidR="00B902F2" w:rsidRPr="00A95FBB">
        <w:t>terminated</w:t>
      </w:r>
      <w:r w:rsidRPr="00A95FBB">
        <w:t xml:space="preserve"> before jeopardy attached, as when charges are dismissed before trial, either by the State, State v. Brunson, 327 N.C. 244, 247 (1990); State v. Strickland, 98 N.C. App. 693, 695 (1990), or by the trial court</w:t>
      </w:r>
      <w:r w:rsidR="007F3F3B">
        <w:t>,</w:t>
      </w:r>
      <w:r w:rsidRPr="00A95FBB">
        <w:t xml:space="preserve"> State v. Payne, 256 N.C. App. 572, 590 (2017); State v. Newman, 186 N.C. App. 382, 386 (2007).</w:t>
      </w:r>
      <w:bookmarkEnd w:id="35"/>
      <w:r w:rsidR="00D824F1" w:rsidRPr="00A95FBB">
        <w:t xml:space="preserve"> </w:t>
      </w:r>
      <w:bookmarkStart w:id="37" w:name="_Toc200724650"/>
    </w:p>
    <w:p w14:paraId="7C76C313" w14:textId="4470E77D" w:rsidR="007A0AFB" w:rsidRPr="007A0AFB" w:rsidRDefault="005B4F97" w:rsidP="007933EF">
      <w:pPr>
        <w:pStyle w:val="Heading2"/>
        <w:numPr>
          <w:ilvl w:val="0"/>
          <w:numId w:val="17"/>
        </w:numPr>
        <w:rPr>
          <w:bCs/>
          <w:vanish/>
          <w:specVanish/>
        </w:rPr>
      </w:pPr>
      <w:bookmarkStart w:id="38" w:name="_Toc203747477"/>
      <w:r w:rsidRPr="00A95FBB">
        <w:t xml:space="preserve">Fraudulent </w:t>
      </w:r>
      <w:r w:rsidR="00675038" w:rsidRPr="00A95FBB">
        <w:t>Acquittal</w:t>
      </w:r>
      <w:r w:rsidRPr="00A95FBB">
        <w:t>.</w:t>
      </w:r>
      <w:bookmarkEnd w:id="38"/>
    </w:p>
    <w:p w14:paraId="050FDE3A" w14:textId="77777777" w:rsidR="00D70151" w:rsidRPr="00D70151" w:rsidRDefault="005B4F97" w:rsidP="007A1C56">
      <w:pPr>
        <w:pStyle w:val="BodyH2"/>
        <w:rPr>
          <w:bCs/>
        </w:rPr>
      </w:pPr>
      <w:r w:rsidRPr="00A95FBB">
        <w:t xml:space="preserve"> In addition, jeopardy </w:t>
      </w:r>
      <w:proofErr w:type="gramStart"/>
      <w:r w:rsidRPr="00A95FBB">
        <w:t>has</w:t>
      </w:r>
      <w:proofErr w:type="gramEnd"/>
      <w:r w:rsidRPr="00A95FBB">
        <w:t xml:space="preserve"> not attached when a defendant has procured an acquittal by fraud; in that case, there has been no real trial, and the defendant was never actually in jeopardy. 6 </w:t>
      </w:r>
      <w:r w:rsidR="00116FA0" w:rsidRPr="00A95FBB">
        <w:t xml:space="preserve">Wayne R. </w:t>
      </w:r>
      <w:r w:rsidRPr="00A95FBB">
        <w:t>LaFave</w:t>
      </w:r>
      <w:r w:rsidR="002C63B8" w:rsidRPr="00A95FBB">
        <w:t xml:space="preserve"> et al.</w:t>
      </w:r>
      <w:r w:rsidRPr="00A95FBB">
        <w:t>, Criminal Procedure, § 25.1(d); State v. Craig, 176 N.C. 740, 743 (1918).</w:t>
      </w:r>
      <w:bookmarkStart w:id="39" w:name="_Toc200724651"/>
      <w:bookmarkEnd w:id="37"/>
    </w:p>
    <w:p w14:paraId="707068FB" w14:textId="7218DCE2" w:rsidR="002418EF" w:rsidRPr="00A95FBB" w:rsidRDefault="001C5550" w:rsidP="00515FB0">
      <w:pPr>
        <w:pStyle w:val="Heading1"/>
        <w:rPr>
          <w:vanish/>
          <w:specVanish/>
        </w:rPr>
      </w:pPr>
      <w:bookmarkStart w:id="40" w:name="_Toc203747478"/>
      <w:r w:rsidRPr="00A95FBB">
        <w:t>Termination of Jeopardy</w:t>
      </w:r>
      <w:r w:rsidR="00443E08" w:rsidRPr="00A95FBB">
        <w:t>.</w:t>
      </w:r>
      <w:bookmarkEnd w:id="39"/>
      <w:bookmarkEnd w:id="40"/>
    </w:p>
    <w:p w14:paraId="64350B0B" w14:textId="7B27B6EB" w:rsidR="000A7BAE" w:rsidRPr="00A95FBB" w:rsidRDefault="007A0AFB" w:rsidP="007A0AFB">
      <w:pPr>
        <w:pStyle w:val="BodyH1"/>
      </w:pPr>
      <w:r>
        <w:t xml:space="preserve"> </w:t>
      </w:r>
      <w:r w:rsidR="00515FB0" w:rsidRPr="00A95FBB">
        <w:t xml:space="preserve">The double jeopardy bar requires not only a prior attachment of jeopardy (see above) but also some </w:t>
      </w:r>
      <w:proofErr w:type="gramStart"/>
      <w:r w:rsidR="00515FB0" w:rsidRPr="00A95FBB">
        <w:t>event</w:t>
      </w:r>
      <w:proofErr w:type="gramEnd"/>
      <w:r w:rsidR="00515FB0" w:rsidRPr="00A95FBB">
        <w:t xml:space="preserve"> that terminated the original jeopardy. Richardson v. United States, 468 U.S. 317, 325 (1984); State v. Robinson, 375 N.C. 173, 185 (2020). Stated differently, once a defendant is placed in jeopardy for an offense, and jeopardy terminates with respect to that offense, </w:t>
      </w:r>
      <w:r w:rsidR="00F75669" w:rsidRPr="00A95FBB">
        <w:t xml:space="preserve">the defendant </w:t>
      </w:r>
      <w:r w:rsidR="00515FB0" w:rsidRPr="00A95FBB">
        <w:t>may not be retried for the same offense. Sattazahn v. Pennsylvania, 537 U.S. 101, 106 (2003); State v. Courtney, 372 N.C. 458, 462 (2019). Jeopardy may be terminated by acquittal, by conviction, or by mistrial or dismissal interrupting the proceedings. Each scenario is considered more fully below.</w:t>
      </w:r>
    </w:p>
    <w:p w14:paraId="433155EE" w14:textId="5B9DC312" w:rsidR="004479C9" w:rsidRPr="004479C9" w:rsidRDefault="00515FB0" w:rsidP="007933EF">
      <w:pPr>
        <w:pStyle w:val="Heading2"/>
        <w:numPr>
          <w:ilvl w:val="0"/>
          <w:numId w:val="28"/>
        </w:numPr>
        <w:spacing w:before="0"/>
        <w:rPr>
          <w:vanish/>
          <w:specVanish/>
        </w:rPr>
      </w:pPr>
      <w:bookmarkStart w:id="41" w:name="_Toc203747479"/>
      <w:r w:rsidRPr="00A95FBB">
        <w:t>Continuing Jeopardy</w:t>
      </w:r>
      <w:r w:rsidRPr="002E359A">
        <w:t>.</w:t>
      </w:r>
      <w:bookmarkStart w:id="42" w:name="_Toc200724652"/>
      <w:bookmarkEnd w:id="41"/>
    </w:p>
    <w:p w14:paraId="7F632E42" w14:textId="5CA1B889" w:rsidR="00515FB0" w:rsidRPr="004479C9" w:rsidRDefault="00515FB0" w:rsidP="007A1C56">
      <w:pPr>
        <w:pStyle w:val="BodyH2"/>
      </w:pPr>
      <w:r w:rsidRPr="00A95FBB">
        <w:t xml:space="preserve"> There are two situations where jeopardy is deemed “continuing.” In a system allowing for trial de novo (such as in North Carolina), the trial in the lower court and </w:t>
      </w:r>
      <w:proofErr w:type="gramStart"/>
      <w:r w:rsidRPr="00A95FBB">
        <w:t>the trial</w:t>
      </w:r>
      <w:proofErr w:type="gramEnd"/>
      <w:r w:rsidRPr="00A95FBB">
        <w:t xml:space="preserve"> de novo in the higher court </w:t>
      </w:r>
      <w:proofErr w:type="gramStart"/>
      <w:r w:rsidRPr="00A95FBB">
        <w:t>are</w:t>
      </w:r>
      <w:proofErr w:type="gramEnd"/>
      <w:r w:rsidRPr="00A95FBB">
        <w:t xml:space="preserve"> treated as </w:t>
      </w:r>
      <w:proofErr w:type="gramStart"/>
      <w:r w:rsidRPr="00A95FBB">
        <w:t>a two</w:t>
      </w:r>
      <w:proofErr w:type="gramEnd"/>
      <w:r w:rsidRPr="00A95FBB">
        <w:t>-stage continuous proceeding rather than as two separate trials. Justices of Boston Municipal Court v. Lydon, 466 U.S. 294, 312 (1984); State v. Smith, 312 N.C. 361, 383 (1984). Continuing jeopardy also occurs if a trial ends without a verdict, as when a mistrial is declared. Richardson v. United States, 468 U.S. 317, 325 (1984); State v. Courtney, 372 N.C. 458, 464 (2019).</w:t>
      </w:r>
      <w:bookmarkEnd w:id="42"/>
    </w:p>
    <w:p w14:paraId="4A5F4F07" w14:textId="4CD38091" w:rsidR="004479C9" w:rsidRPr="004479C9" w:rsidRDefault="00515FB0" w:rsidP="007933EF">
      <w:pPr>
        <w:pStyle w:val="Heading2"/>
        <w:numPr>
          <w:ilvl w:val="0"/>
          <w:numId w:val="28"/>
        </w:numPr>
        <w:rPr>
          <w:bCs/>
          <w:vanish/>
          <w:specVanish/>
        </w:rPr>
      </w:pPr>
      <w:bookmarkStart w:id="43" w:name="_Toc203747480"/>
      <w:r w:rsidRPr="00A95FBB">
        <w:t>Mistrial.</w:t>
      </w:r>
      <w:bookmarkStart w:id="44" w:name="_Toc200724653"/>
      <w:bookmarkEnd w:id="43"/>
    </w:p>
    <w:p w14:paraId="594E4FB0" w14:textId="6E921BFD" w:rsidR="00B0115F" w:rsidRPr="004479C9" w:rsidRDefault="004479C9" w:rsidP="007A1C56">
      <w:pPr>
        <w:pStyle w:val="BodyH2"/>
      </w:pPr>
      <w:r>
        <w:t xml:space="preserve"> </w:t>
      </w:r>
      <w:r w:rsidR="00515FB0" w:rsidRPr="00A95FBB">
        <w:t xml:space="preserve">The declaration of a mistrial does, however, terminate jeopardy when the judge declares a mistrial over a defendant’s objection and absent “manifest necessity.” Arizona v. Washington, 434 U.S. 497, 505 (1978); State v. Odom, 316 N.C. 306, 310 (1986). The same result is obtained when a prosecutor “goads” a defendant into moving for a mistrial. Oregon v. Kennedy, 456 U.S. 667, 679 (1982); State v. White, 322 N.C. 506, 511 (1988). After jeopardy has </w:t>
      </w:r>
      <w:proofErr w:type="gramStart"/>
      <w:r w:rsidR="00515FB0" w:rsidRPr="00A95FBB">
        <w:t>attached</w:t>
      </w:r>
      <w:proofErr w:type="gramEnd"/>
      <w:r w:rsidR="00515FB0" w:rsidRPr="00A95FBB">
        <w:t xml:space="preserve">, a judicial dismissal that contemplates further proceedings is treated as equivalent to a mistrial. </w:t>
      </w:r>
      <w:r w:rsidR="00515FB0" w:rsidRPr="00A95FBB">
        <w:lastRenderedPageBreak/>
        <w:t>Lee v. United States, 432 U.S. 23, 31 (1977); State v. Schalow, 251 N.C. App. 334, 346-47 (2016).</w:t>
      </w:r>
      <w:r w:rsidR="00425415" w:rsidRPr="00A95FBB">
        <w:t xml:space="preserve"> </w:t>
      </w:r>
      <w:r w:rsidR="00425415" w:rsidRPr="003F70FD">
        <w:rPr>
          <w:i/>
          <w:iCs/>
        </w:rPr>
        <w:t>See</w:t>
      </w:r>
      <w:r w:rsidR="00425415" w:rsidRPr="00A95FBB">
        <w:t xml:space="preserve"> Section X, below.</w:t>
      </w:r>
      <w:bookmarkEnd w:id="44"/>
      <w:r w:rsidR="00425415" w:rsidRPr="00A95FBB">
        <w:t xml:space="preserve"> </w:t>
      </w:r>
    </w:p>
    <w:p w14:paraId="31449215" w14:textId="1AD50E62" w:rsidR="004479C9" w:rsidRPr="00D404B2" w:rsidRDefault="00515FB0" w:rsidP="007933EF">
      <w:pPr>
        <w:pStyle w:val="Heading2"/>
        <w:numPr>
          <w:ilvl w:val="0"/>
          <w:numId w:val="29"/>
        </w:numPr>
        <w:rPr>
          <w:bCs/>
          <w:vanish/>
          <w:specVanish/>
        </w:rPr>
      </w:pPr>
      <w:bookmarkStart w:id="45" w:name="_Toc203747481"/>
      <w:r w:rsidRPr="00A95FBB">
        <w:t>Defendant’s Request.</w:t>
      </w:r>
      <w:bookmarkStart w:id="46" w:name="_Toc200724654"/>
      <w:bookmarkEnd w:id="45"/>
    </w:p>
    <w:p w14:paraId="2DAEDD70" w14:textId="3EAE265D" w:rsidR="00B0115F" w:rsidRPr="004479C9" w:rsidRDefault="00515FB0" w:rsidP="007A1C56">
      <w:pPr>
        <w:pStyle w:val="BodyH2"/>
      </w:pPr>
      <w:r w:rsidRPr="00A95FBB">
        <w:t xml:space="preserve"> </w:t>
      </w:r>
      <w:r w:rsidR="00D22476" w:rsidRPr="00A95FBB">
        <w:t>The defendant’s involvement may denature an otherwise terminal event</w:t>
      </w:r>
      <w:r w:rsidR="009154F4" w:rsidRPr="00A95FBB">
        <w:t>.</w:t>
      </w:r>
      <w:r w:rsidR="00861E71" w:rsidRPr="00A95FBB">
        <w:t xml:space="preserve"> </w:t>
      </w:r>
      <w:r w:rsidRPr="003F70FD">
        <w:rPr>
          <w:i/>
          <w:iCs/>
        </w:rPr>
        <w:t>See</w:t>
      </w:r>
      <w:r w:rsidRPr="00A95FBB">
        <w:t xml:space="preserve"> United States v. Scott, 437 U.S. 82, 99 (1978); State v. Vestal, 131 N.C. App. 756, 758 (1998). Retrial is not barred by a prior conviction, for example, if the defendant later succeeds in having the conviction overturned on grounds other than insufficiency of evidence. Price v. Georgia, 398 U.S. 323, 326-27 (1970); State v. Britt, 291 N.C. 528, 543 (1977). Similarly, a defendant may be retried for the same offense when, due to </w:t>
      </w:r>
      <w:r w:rsidR="00DE47C8" w:rsidRPr="00A95FBB">
        <w:t>the defendant’s</w:t>
      </w:r>
      <w:r w:rsidRPr="00A95FBB">
        <w:t xml:space="preserve"> own request, the trial court grants a mistrial (absent goading by the prosecutor), United States v. Dinitz, 424 U.S. 600, 607 (1976); State v. White, 322 N.C. 506, 510 (1988), or a dismissal (absent insufficient evidence)</w:t>
      </w:r>
      <w:r w:rsidR="007F3F3B">
        <w:t>,</w:t>
      </w:r>
      <w:r w:rsidRPr="00A95FBB">
        <w:t xml:space="preserve"> United States v. Scott, 437 U.S. 82, 100 (1978); State v. Priddy, 115 N.C. App. 547, 551 (1994).</w:t>
      </w:r>
      <w:bookmarkEnd w:id="46"/>
    </w:p>
    <w:p w14:paraId="3AF2B157" w14:textId="55F7D978" w:rsidR="004479C9" w:rsidRPr="007A1C56" w:rsidRDefault="00515FB0" w:rsidP="007A1C56">
      <w:pPr>
        <w:pStyle w:val="Heading2"/>
        <w:rPr>
          <w:bCs/>
          <w:vanish/>
          <w:specVanish/>
        </w:rPr>
      </w:pPr>
      <w:bookmarkStart w:id="47" w:name="_Toc203747482"/>
      <w:r w:rsidRPr="00A95FBB">
        <w:t xml:space="preserve">Voluntary Dismissal </w:t>
      </w:r>
      <w:r w:rsidR="00675038" w:rsidRPr="00A95FBB">
        <w:t>After</w:t>
      </w:r>
      <w:r w:rsidRPr="00A95FBB">
        <w:t xml:space="preserve"> Mistrial.</w:t>
      </w:r>
      <w:bookmarkStart w:id="48" w:name="_Toc200724655"/>
      <w:bookmarkEnd w:id="47"/>
    </w:p>
    <w:p w14:paraId="7B1D2BF8" w14:textId="4755A047" w:rsidR="000A7BAE" w:rsidRPr="004479C9" w:rsidRDefault="00515FB0" w:rsidP="007A1C56">
      <w:pPr>
        <w:pStyle w:val="BodyH2"/>
      </w:pPr>
      <w:r w:rsidRPr="00A95FBB">
        <w:rPr>
          <w:i/>
          <w:iCs/>
        </w:rPr>
        <w:t xml:space="preserve"> </w:t>
      </w:r>
      <w:r w:rsidRPr="00A95FBB">
        <w:t>In State v. Courtney</w:t>
      </w:r>
      <w:r w:rsidR="00121C33" w:rsidRPr="00A95FBB">
        <w:t>, 372 N.C. 458, 471 (2019),</w:t>
      </w:r>
      <w:r w:rsidRPr="00A95FBB">
        <w:t xml:space="preserve"> the North Carolina Supreme Court held that, when the defendant’s first trial ended with a hung jury (i.e., mistrial) and the State took a voluntary dismissal under G.S. 15A-931, the dismissal was an event that terminated jeopardy, barring retrial.</w:t>
      </w:r>
      <w:bookmarkEnd w:id="48"/>
    </w:p>
    <w:p w14:paraId="63937E6B" w14:textId="040915AC" w:rsidR="004479C9" w:rsidRPr="004479C9" w:rsidRDefault="004479C9" w:rsidP="004479C9">
      <w:pPr>
        <w:pStyle w:val="Heading1"/>
        <w:rPr>
          <w:vanish/>
          <w:specVanish/>
        </w:rPr>
      </w:pPr>
      <w:bookmarkStart w:id="49" w:name="_Toc200724656"/>
      <w:bookmarkStart w:id="50" w:name="_Toc203747483"/>
      <w:r>
        <w:t>T</w:t>
      </w:r>
      <w:r w:rsidR="00AD50E0" w:rsidRPr="004479C9">
        <w:t>he Same Offense.</w:t>
      </w:r>
      <w:bookmarkEnd w:id="49"/>
      <w:bookmarkEnd w:id="50"/>
    </w:p>
    <w:p w14:paraId="6DF9A8E0" w14:textId="72668F47" w:rsidR="00B540ED" w:rsidRPr="00A95FBB" w:rsidRDefault="00AD50E0" w:rsidP="004479C9">
      <w:pPr>
        <w:pStyle w:val="BodyH1"/>
      </w:pPr>
      <w:r w:rsidRPr="004479C9">
        <w:t xml:space="preserve"> </w:t>
      </w:r>
      <w:r w:rsidR="00B540ED" w:rsidRPr="00A95FBB">
        <w:t xml:space="preserve">Double jeopardy is implicated when a defendant is subject to retrial for the same offense. U.S. Const. Amend. V (“the same offence”); State v. Cutshall, 278 N.C. 334, 344 (1971) (“the same offense”). “Offense” in this context means a violation of law, either statutory or common law, and includes felonies, misdemeanors, and infractions. </w:t>
      </w:r>
      <w:r w:rsidR="00B540ED" w:rsidRPr="003F70FD">
        <w:rPr>
          <w:i/>
          <w:iCs/>
        </w:rPr>
        <w:t>See</w:t>
      </w:r>
      <w:r w:rsidR="00B540ED" w:rsidRPr="00A95FBB">
        <w:t xml:space="preserve"> Dep’t of Revenue</w:t>
      </w:r>
      <w:r w:rsidR="00A80981" w:rsidRPr="00A95FBB">
        <w:t xml:space="preserve"> </w:t>
      </w:r>
      <w:r w:rsidR="00B540ED" w:rsidRPr="00A95FBB">
        <w:t>v. Kurth Ranch, 511 U.S. 767, 769 n.1 (1994) (imprisonment and monetary penalties); Ex parte Lange, 85 U.S. 163, 173 (1873) (felonies, minor crimes, and misdemeanors); State v. Hamrick, 110 N.C. App. 60, 66 (1993) (infractions). Two offenses may be the same either as a matter of law</w:t>
      </w:r>
      <w:r w:rsidR="009155F4" w:rsidRPr="00A95FBB">
        <w:t>,</w:t>
      </w:r>
      <w:r w:rsidR="00B540ED" w:rsidRPr="00A95FBB">
        <w:t xml:space="preserve"> as where one offense is a lesser</w:t>
      </w:r>
      <w:r w:rsidR="00A14B38" w:rsidRPr="00A95FBB">
        <w:t xml:space="preserve"> </w:t>
      </w:r>
      <w:r w:rsidR="00B540ED" w:rsidRPr="00A95FBB">
        <w:t>included offense of the other</w:t>
      </w:r>
      <w:r w:rsidR="009155F4" w:rsidRPr="00A95FBB">
        <w:t>,</w:t>
      </w:r>
      <w:r w:rsidR="00B540ED" w:rsidRPr="00A95FBB">
        <w:t xml:space="preserve"> or as a matter of fact</w:t>
      </w:r>
      <w:r w:rsidR="009155F4" w:rsidRPr="00A95FBB">
        <w:t xml:space="preserve">, </w:t>
      </w:r>
      <w:r w:rsidR="00B540ED" w:rsidRPr="00A95FBB">
        <w:t xml:space="preserve">as when multiple charges arise out of the same act or transaction. For a plea of former jeopardy to be good, it must be grounded on the same offense “both in law and in fact.” </w:t>
      </w:r>
      <w:r w:rsidR="00B540ED" w:rsidRPr="003F70FD">
        <w:rPr>
          <w:i/>
          <w:iCs/>
        </w:rPr>
        <w:t>E.g.</w:t>
      </w:r>
      <w:r w:rsidR="00B540ED" w:rsidRPr="00A95FBB">
        <w:t>, State v. Applewhite, 386 N.C. 431, 442 (2024); State v. Rambert, 341 N.C. 173, 175 (1995).</w:t>
      </w:r>
    </w:p>
    <w:p w14:paraId="2741EF34" w14:textId="0146C960" w:rsidR="00962C61" w:rsidRPr="00F93FE5" w:rsidRDefault="00FC739D" w:rsidP="007933EF">
      <w:pPr>
        <w:pStyle w:val="Heading2"/>
        <w:keepNext/>
        <w:numPr>
          <w:ilvl w:val="0"/>
          <w:numId w:val="18"/>
        </w:numPr>
        <w:spacing w:before="0"/>
        <w:rPr>
          <w:rStyle w:val="Heading1Char"/>
        </w:rPr>
      </w:pPr>
      <w:bookmarkStart w:id="51" w:name="_Toc203747484"/>
      <w:r w:rsidRPr="008A74D0">
        <w:rPr>
          <w:rStyle w:val="Heading1Char"/>
          <w:b/>
        </w:rPr>
        <w:t>The Same Offense in Law.</w:t>
      </w:r>
      <w:bookmarkStart w:id="52" w:name="_Toc200724657"/>
      <w:bookmarkEnd w:id="51"/>
    </w:p>
    <w:p w14:paraId="03FA8E57" w14:textId="77777777" w:rsidR="00481F0F" w:rsidRPr="007A1C56" w:rsidRDefault="00962C61" w:rsidP="007933EF">
      <w:pPr>
        <w:pStyle w:val="Heading3"/>
        <w:numPr>
          <w:ilvl w:val="0"/>
          <w:numId w:val="9"/>
        </w:numPr>
        <w:rPr>
          <w:vanish/>
          <w:specVanish/>
        </w:rPr>
      </w:pPr>
      <w:r w:rsidRPr="00A95FBB">
        <w:t>The Blockburger Test.</w:t>
      </w:r>
    </w:p>
    <w:p w14:paraId="61921A32" w14:textId="77777777" w:rsidR="00D70151" w:rsidRPr="00D70151" w:rsidRDefault="00962C61" w:rsidP="00C02F67">
      <w:pPr>
        <w:pStyle w:val="BodyH3"/>
      </w:pPr>
      <w:r w:rsidRPr="00A95FBB">
        <w:rPr>
          <w:rStyle w:val="Heading1Char"/>
        </w:rPr>
        <w:t xml:space="preserve"> </w:t>
      </w:r>
      <w:r w:rsidR="009C062F" w:rsidRPr="00A95FBB">
        <w:t xml:space="preserve">Determining whether two offenses are the same in law requires an examination of their elements. State v. Wortham, 318 N.C. 669, 671 (1987). Under the </w:t>
      </w:r>
      <w:r w:rsidR="000D76C0" w:rsidRPr="00A95FBB">
        <w:t>Blockburger test,</w:t>
      </w:r>
      <w:r w:rsidR="008325F1" w:rsidRPr="00A95FBB">
        <w:t xml:space="preserve"> </w:t>
      </w:r>
      <w:r w:rsidR="009C062F" w:rsidRPr="00A95FBB">
        <w:t>derived from Blockburger v. United States, 284 U.S. 299 (1932),</w:t>
      </w:r>
      <w:r w:rsidR="00CB231B" w:rsidRPr="00A95FBB">
        <w:t xml:space="preserve"> </w:t>
      </w:r>
      <w:r w:rsidR="00B607DA" w:rsidRPr="00A95FBB">
        <w:t>t</w:t>
      </w:r>
      <w:r w:rsidR="009C062F" w:rsidRPr="00A95FBB">
        <w:t xml:space="preserve">wo offenses are not the same in law if each requires proof of an additional fact that the other does not. </w:t>
      </w:r>
      <w:r w:rsidR="009C062F" w:rsidRPr="003F70FD">
        <w:rPr>
          <w:i/>
          <w:iCs/>
        </w:rPr>
        <w:t>E.g.</w:t>
      </w:r>
      <w:r w:rsidR="009C062F" w:rsidRPr="00A95FBB">
        <w:t>, State v. Banks, 367 N.C. 652, 656 (2014). Stated differently, “[i]f at least one essential element of each crime is not an element of the other, the defendant may be prosecuted for both[.]” State v. Parks, 324 N.C. 94, 97 (1989). “The determination is made on a definitional, not a factual basis.” State v. Robinson, 368 N.C. 402, 407 (2015) (quoting State v. Weaver, 306 N.C. 629, 635 (1982)).</w:t>
      </w:r>
      <w:r w:rsidR="006D1D01" w:rsidRPr="00A95FBB">
        <w:t xml:space="preserve"> </w:t>
      </w:r>
      <w:r w:rsidR="009C062F" w:rsidRPr="00A95FBB">
        <w:t xml:space="preserve">Applying this test, the following offenses, </w:t>
      </w:r>
      <w:r w:rsidR="007E295A" w:rsidRPr="00A95FBB">
        <w:t>among others</w:t>
      </w:r>
      <w:r w:rsidR="009C062F" w:rsidRPr="00A95FBB">
        <w:t xml:space="preserve"> have been found not to be the same:</w:t>
      </w:r>
      <w:bookmarkEnd w:id="52"/>
    </w:p>
    <w:p w14:paraId="0C826BF5" w14:textId="408C3A35" w:rsidR="009C062F" w:rsidRPr="00A95FBB" w:rsidRDefault="009C062F" w:rsidP="00D404B2">
      <w:pPr>
        <w:pStyle w:val="ListParagraph15"/>
      </w:pPr>
      <w:r w:rsidRPr="00A95FBB">
        <w:t>Statutory rape of a person thirteen, fourteen, or fifteen years old, G.S. 14-27.7A, and second-degree rape, G.S. 14-27.3</w:t>
      </w:r>
      <w:r w:rsidR="007F3F3B">
        <w:t>.</w:t>
      </w:r>
      <w:r w:rsidRPr="00A95FBB">
        <w:t xml:space="preserve"> State v. Banks, 367 N.C. 652, 659 (2014).</w:t>
      </w:r>
    </w:p>
    <w:p w14:paraId="027458C5" w14:textId="1CC03F30" w:rsidR="009C062F" w:rsidRPr="00A95FBB" w:rsidRDefault="009C062F" w:rsidP="00D404B2">
      <w:pPr>
        <w:pStyle w:val="ListParagraph15"/>
      </w:pPr>
      <w:r w:rsidRPr="00A95FBB">
        <w:t>Attempted murder, G.S. 14-17, and assault with a deadly weapon with intent to kill inflicting serious injury, G.S. 14-32</w:t>
      </w:r>
      <w:r w:rsidR="007F3F3B">
        <w:t>.</w:t>
      </w:r>
      <w:r w:rsidRPr="00A95FBB">
        <w:t xml:space="preserve"> State v. Tirado, 358 N.C. 551, 579 (2004).</w:t>
      </w:r>
    </w:p>
    <w:p w14:paraId="447E2AF9" w14:textId="4CF8FDDE" w:rsidR="009C062F" w:rsidRPr="00A95FBB" w:rsidRDefault="009C062F" w:rsidP="00D404B2">
      <w:pPr>
        <w:pStyle w:val="ListParagraph15"/>
      </w:pPr>
      <w:r w:rsidRPr="00A95FBB">
        <w:lastRenderedPageBreak/>
        <w:t>First-degree murder, G.S. 14-17, and first-degree kidnapping, G.S. 14-39</w:t>
      </w:r>
      <w:r w:rsidR="007F3F3B">
        <w:t>.</w:t>
      </w:r>
      <w:r w:rsidRPr="00A95FBB">
        <w:t xml:space="preserve"> State v. Tirado, 358 N.C. 551, 591-92 (2004).</w:t>
      </w:r>
    </w:p>
    <w:p w14:paraId="37436F26" w14:textId="77777777" w:rsidR="009C062F" w:rsidRPr="00A95FBB" w:rsidRDefault="009C062F" w:rsidP="00D404B2">
      <w:pPr>
        <w:pStyle w:val="ListParagraph15"/>
      </w:pPr>
      <w:r w:rsidRPr="00A95FBB">
        <w:t>First-degree kidnapping, G.S. 14-39, and assault with a deadly weapon inflicting serious injury, G.S. 14-32. State v. Tirado, 358 N.C. 551, 592 (2004).</w:t>
      </w:r>
    </w:p>
    <w:p w14:paraId="310BC35F" w14:textId="5FB50CFE" w:rsidR="009C062F" w:rsidRPr="00A95FBB" w:rsidRDefault="009C062F" w:rsidP="00D404B2">
      <w:pPr>
        <w:pStyle w:val="ListParagraph15"/>
      </w:pPr>
      <w:r w:rsidRPr="00A95FBB">
        <w:t>First-degree murder, G.S. 14-17, and felony child abuse, G.S. 14-318.4</w:t>
      </w:r>
      <w:r w:rsidR="007F3F3B">
        <w:t>.</w:t>
      </w:r>
      <w:r w:rsidRPr="00A95FBB">
        <w:t xml:space="preserve"> State v. Elliott, 344 N.C. 242, 278 (1996).</w:t>
      </w:r>
    </w:p>
    <w:p w14:paraId="2B52E0B0" w14:textId="7115F1C1" w:rsidR="009C062F" w:rsidRPr="00A95FBB" w:rsidRDefault="009C062F" w:rsidP="00D404B2">
      <w:pPr>
        <w:pStyle w:val="ListParagraph15"/>
      </w:pPr>
      <w:r w:rsidRPr="00A95FBB">
        <w:t>First-degree sexual offense, G.S. 14-27.4, and indecent liberties, G.S. 14-202.1</w:t>
      </w:r>
      <w:r w:rsidR="007F3F3B">
        <w:t>.</w:t>
      </w:r>
      <w:r w:rsidRPr="00A95FBB">
        <w:t xml:space="preserve"> State v. Swann, 322 N.C. 666, 678 (1988).</w:t>
      </w:r>
    </w:p>
    <w:p w14:paraId="25829D3A" w14:textId="11DCEABE" w:rsidR="009C062F" w:rsidRPr="00A95FBB" w:rsidRDefault="009C062F" w:rsidP="00D404B2">
      <w:pPr>
        <w:pStyle w:val="ListParagraph15"/>
      </w:pPr>
      <w:r w:rsidRPr="00A95FBB">
        <w:t>First-degree rape, G.S. 14-27.2, and indecent liberties, G.S. 14-202.1</w:t>
      </w:r>
      <w:r w:rsidR="007F3F3B">
        <w:t>.</w:t>
      </w:r>
      <w:r w:rsidRPr="00A95FBB">
        <w:t xml:space="preserve"> State v. Rhodes, 321 N.C. 102, 106 (1987).</w:t>
      </w:r>
    </w:p>
    <w:p w14:paraId="1ED67305" w14:textId="77777777" w:rsidR="009C062F" w:rsidRPr="00A95FBB" w:rsidRDefault="009C062F" w:rsidP="00D404B2">
      <w:pPr>
        <w:pStyle w:val="ListParagraph15"/>
      </w:pPr>
      <w:r w:rsidRPr="00A95FBB">
        <w:t>Second-degree rape/sexual offense, G.S. 14-27.3, 27.5, and custodial sexual offense, G.S. 14-27.7. State v. Raines, 319 N.C. 258, 266 (1987).</w:t>
      </w:r>
    </w:p>
    <w:p w14:paraId="24073C18" w14:textId="3C30E964" w:rsidR="009C062F" w:rsidRPr="00A95FBB" w:rsidRDefault="009C062F" w:rsidP="00D404B2">
      <w:pPr>
        <w:pStyle w:val="ListParagraph15"/>
      </w:pPr>
      <w:r w:rsidRPr="00A95FBB">
        <w:t xml:space="preserve">Obstruction of justice and accessory after </w:t>
      </w:r>
      <w:proofErr w:type="gramStart"/>
      <w:r w:rsidRPr="00A95FBB">
        <w:t>the fact to</w:t>
      </w:r>
      <w:proofErr w:type="gramEnd"/>
      <w:r w:rsidRPr="00A95FBB">
        <w:t xml:space="preserve"> murder</w:t>
      </w:r>
      <w:r w:rsidR="007F3F3B">
        <w:t>.</w:t>
      </w:r>
      <w:r w:rsidRPr="00A95FBB">
        <w:t xml:space="preserve"> State v. Cousin, 233 N.C. App. 523, 537 (2014).</w:t>
      </w:r>
    </w:p>
    <w:p w14:paraId="44991DD0" w14:textId="090A0CE9" w:rsidR="009C062F" w:rsidRPr="00A95FBB" w:rsidRDefault="009C062F" w:rsidP="00D404B2">
      <w:pPr>
        <w:pStyle w:val="ListParagraph15"/>
      </w:pPr>
      <w:r w:rsidRPr="00A95FBB">
        <w:t>Possession of ecstasy, G.S. 90-89(3)(a), and possession of ketamine, G.S. 90-91(b)(12), contained in a single pill</w:t>
      </w:r>
      <w:r w:rsidR="007F3F3B">
        <w:t>.</w:t>
      </w:r>
      <w:r w:rsidRPr="00A95FBB">
        <w:t xml:space="preserve"> State v. Hall, 203 N.C. App. 712, 718 (2010)</w:t>
      </w:r>
    </w:p>
    <w:p w14:paraId="41199E23" w14:textId="7856E44D" w:rsidR="009C062F" w:rsidRPr="00A95FBB" w:rsidRDefault="009C062F" w:rsidP="00D404B2">
      <w:pPr>
        <w:pStyle w:val="ListParagraph15"/>
      </w:pPr>
      <w:r w:rsidRPr="00A95FBB">
        <w:t>Discharging a weapon into occupied property, G.S. 14-34.1 and assault with a deadly weapon inflicting serious injury, G.S. 14-32</w:t>
      </w:r>
      <w:r w:rsidR="007F3F3B">
        <w:t>.</w:t>
      </w:r>
      <w:r w:rsidRPr="00A95FBB">
        <w:t xml:space="preserve"> State v. Allah, 168 N.C. App. 190, 196 (2005).</w:t>
      </w:r>
    </w:p>
    <w:p w14:paraId="534D1186" w14:textId="11F1B67D" w:rsidR="00135652" w:rsidRPr="00A95FBB" w:rsidRDefault="009C062F" w:rsidP="00D404B2">
      <w:pPr>
        <w:pStyle w:val="ListParagraph15"/>
      </w:pPr>
      <w:r w:rsidRPr="00A95FBB">
        <w:t>Armed robbery, G.S. 14-87, and kidnapping, G.S. 14-39</w:t>
      </w:r>
      <w:r w:rsidR="007F3F3B">
        <w:t>.</w:t>
      </w:r>
      <w:r w:rsidRPr="00A95FBB">
        <w:t xml:space="preserve"> State v. Evans, 125 N.C. App. 301, 304 (1997).</w:t>
      </w:r>
    </w:p>
    <w:p w14:paraId="63CB335A" w14:textId="77777777" w:rsidR="00481F0F" w:rsidRPr="00481F0F" w:rsidRDefault="009C062F" w:rsidP="007A1C56">
      <w:pPr>
        <w:pStyle w:val="Heading3"/>
        <w:rPr>
          <w:vanish/>
          <w:specVanish/>
        </w:rPr>
      </w:pPr>
      <w:bookmarkStart w:id="53" w:name="_Toc200724658"/>
      <w:r w:rsidRPr="00A95FBB">
        <w:t>Lesser Included Offenses</w:t>
      </w:r>
      <w:r w:rsidRPr="008A74D0">
        <w:rPr>
          <w:bCs/>
        </w:rPr>
        <w:t>.</w:t>
      </w:r>
    </w:p>
    <w:p w14:paraId="155EFD04" w14:textId="77777777" w:rsidR="00D70151" w:rsidRPr="00D70151" w:rsidRDefault="009C062F" w:rsidP="00C02F67">
      <w:pPr>
        <w:pStyle w:val="BodyH3"/>
      </w:pPr>
      <w:r w:rsidRPr="00A95FBB">
        <w:t xml:space="preserve"> </w:t>
      </w:r>
      <w:r w:rsidR="0013154B" w:rsidRPr="00A95FBB">
        <w:t xml:space="preserve">A </w:t>
      </w:r>
      <w:proofErr w:type="gramStart"/>
      <w:r w:rsidR="0013154B" w:rsidRPr="00A95FBB">
        <w:t>lesser included</w:t>
      </w:r>
      <w:proofErr w:type="gramEnd"/>
      <w:r w:rsidR="0013154B" w:rsidRPr="00A95FBB">
        <w:t xml:space="preserve"> offense is a crime that is composed of some but not </w:t>
      </w:r>
      <w:proofErr w:type="gramStart"/>
      <w:r w:rsidR="0013154B" w:rsidRPr="00A95FBB">
        <w:t>all of</w:t>
      </w:r>
      <w:proofErr w:type="gramEnd"/>
      <w:r w:rsidR="0013154B" w:rsidRPr="00A95FBB">
        <w:t xml:space="preserve"> the elements of a more serious crime. </w:t>
      </w:r>
      <w:r w:rsidRPr="00A95FBB">
        <w:t>State v. Etheridge, 319 N.C. 34, 50 (1987)</w:t>
      </w:r>
      <w:r w:rsidR="0013154B" w:rsidRPr="00A95FBB">
        <w:t>; State v. M</w:t>
      </w:r>
      <w:r w:rsidR="00776441" w:rsidRPr="00A95FBB">
        <w:t>cGee, 197 N.C. App. 366, 372 (2009)</w:t>
      </w:r>
      <w:r w:rsidRPr="00A95FBB">
        <w:t xml:space="preserve">. Invariably then, the lesser included offense requires no proof beyond that required for the greater offense, and the two offenses are considered the same in law. </w:t>
      </w:r>
      <w:r w:rsidR="00117E41" w:rsidRPr="00A95FBB">
        <w:t>Etheridge, 319 N.C. at 50</w:t>
      </w:r>
      <w:r w:rsidRPr="00A95FBB">
        <w:t>; State v. Edwards, 49 N.C. App. 547, 558 (1980). “If what purports to be two offenses actually is one under the Blockburger test, double jeopardy prohibits successive prosecutions.” State v. Gardner, 315 N.C. 444, 454 (1986).</w:t>
      </w:r>
      <w:r w:rsidR="008765A3" w:rsidRPr="00A95FBB">
        <w:t xml:space="preserve"> </w:t>
      </w:r>
      <w:r w:rsidRPr="00A95FBB">
        <w:t xml:space="preserve">The following offenses, </w:t>
      </w:r>
      <w:r w:rsidR="00117E41" w:rsidRPr="00A95FBB">
        <w:t>among others</w:t>
      </w:r>
      <w:r w:rsidRPr="00A95FBB">
        <w:t>, have been found to be the same offense in law:</w:t>
      </w:r>
      <w:bookmarkEnd w:id="53"/>
    </w:p>
    <w:p w14:paraId="3B7D50CA" w14:textId="2C90E851" w:rsidR="009C062F" w:rsidRPr="00A95FBB" w:rsidRDefault="009C062F" w:rsidP="00D404B2">
      <w:pPr>
        <w:pStyle w:val="ListParagraph15"/>
      </w:pPr>
      <w:r w:rsidRPr="00A95FBB">
        <w:t>Armed robbery, G.S. 14-87, and larceny, G.S. 14-72</w:t>
      </w:r>
      <w:r w:rsidR="007F3F3B">
        <w:t>.</w:t>
      </w:r>
      <w:r w:rsidRPr="00A95FBB">
        <w:t xml:space="preserve"> State v. White, 322 N.C. 506, 518 (1988).</w:t>
      </w:r>
    </w:p>
    <w:p w14:paraId="5191209C" w14:textId="08EE2BEC" w:rsidR="009C062F" w:rsidRPr="00A95FBB" w:rsidRDefault="009C062F" w:rsidP="00D404B2">
      <w:pPr>
        <w:pStyle w:val="ListParagraph15"/>
      </w:pPr>
      <w:r w:rsidRPr="00A95FBB">
        <w:t>Armed robbery, G.S. 14-87, and assault with a deadly weapon, G.S. 14-33</w:t>
      </w:r>
      <w:r w:rsidR="007F3F3B">
        <w:t>.</w:t>
      </w:r>
      <w:r w:rsidRPr="00A95FBB">
        <w:t xml:space="preserve"> State v. Hill, 287 N.C. 207, 216 (1975).</w:t>
      </w:r>
    </w:p>
    <w:p w14:paraId="479CE899" w14:textId="50F39D85" w:rsidR="009C062F" w:rsidRPr="00A95FBB" w:rsidRDefault="009C062F" w:rsidP="00D404B2">
      <w:pPr>
        <w:pStyle w:val="ListParagraph15"/>
      </w:pPr>
      <w:r w:rsidRPr="00A95FBB">
        <w:t>Manufacture, sale, or delivery of marijuana, G.S. 90-95(a) and trafficking in marijuana by manufacture, sale, or delivery, G.S. 90-95(h)(1)</w:t>
      </w:r>
      <w:r w:rsidR="007F3F3B">
        <w:t>.</w:t>
      </w:r>
      <w:r w:rsidRPr="00A95FBB">
        <w:t xml:space="preserve"> State v. Sanderson, 60 N.C. App. 604, 610 (1983).</w:t>
      </w:r>
    </w:p>
    <w:p w14:paraId="69940CF2" w14:textId="77777777" w:rsidR="009C062F" w:rsidRPr="00A95FBB" w:rsidRDefault="009C062F" w:rsidP="00D404B2">
      <w:pPr>
        <w:pStyle w:val="ListParagraph15"/>
      </w:pPr>
      <w:r w:rsidRPr="00A95FBB">
        <w:t>Assault with a deadly weapon, G.S. 14-32, and assault with a firearm upon a law enforcement officer, G.S. 14-34.2. State v. Partin, 48 N.C. App. 274, 282 (1980).</w:t>
      </w:r>
    </w:p>
    <w:p w14:paraId="6DF1D452" w14:textId="626D70F3" w:rsidR="005450CF" w:rsidRPr="00A95FBB" w:rsidRDefault="0026100B" w:rsidP="007933EF">
      <w:pPr>
        <w:pStyle w:val="Heading2"/>
        <w:keepNext/>
        <w:numPr>
          <w:ilvl w:val="0"/>
          <w:numId w:val="19"/>
        </w:numPr>
      </w:pPr>
      <w:bookmarkStart w:id="54" w:name="_Toc203747485"/>
      <w:r w:rsidRPr="00481F0F">
        <w:t>T</w:t>
      </w:r>
      <w:r w:rsidR="00FC739D" w:rsidRPr="00481F0F">
        <w:t>he Same Offense in Fact.</w:t>
      </w:r>
      <w:bookmarkStart w:id="55" w:name="_Toc200724659"/>
      <w:bookmarkEnd w:id="54"/>
    </w:p>
    <w:p w14:paraId="3A104766" w14:textId="77777777" w:rsidR="00481F0F" w:rsidRPr="007A1C56" w:rsidRDefault="00C64E4A" w:rsidP="007933EF">
      <w:pPr>
        <w:pStyle w:val="Heading3"/>
        <w:numPr>
          <w:ilvl w:val="0"/>
          <w:numId w:val="10"/>
        </w:numPr>
        <w:rPr>
          <w:vanish/>
          <w:specVanish/>
        </w:rPr>
      </w:pPr>
      <w:r w:rsidRPr="00A95FBB">
        <w:t>The Same Evidence Test.</w:t>
      </w:r>
    </w:p>
    <w:p w14:paraId="06499D57" w14:textId="161AFAB7" w:rsidR="000C16D4" w:rsidRPr="00481F0F" w:rsidRDefault="00C64E4A" w:rsidP="00C02F67">
      <w:pPr>
        <w:pStyle w:val="BodyH3"/>
        <w:rPr>
          <w:bCs/>
        </w:rPr>
      </w:pPr>
      <w:r w:rsidRPr="00A95FBB">
        <w:t xml:space="preserve"> </w:t>
      </w:r>
      <w:r w:rsidR="00675194" w:rsidRPr="00A95FBB">
        <w:t xml:space="preserve">Determining whether two offenses are the same in fact requires an examination of the evidence offered in support of each. </w:t>
      </w:r>
      <w:r w:rsidR="00675194" w:rsidRPr="003F70FD">
        <w:rPr>
          <w:i/>
          <w:iCs/>
        </w:rPr>
        <w:t>See</w:t>
      </w:r>
      <w:r w:rsidR="00675194" w:rsidRPr="00A95FBB">
        <w:t xml:space="preserve"> State v. Rambert, 341 N.C. 173, 175 (1995); State v. Hendricksen, 257 N.C. App. 345, 350 (2018). For offenses to be the same in fact, the same evidence must support a conviction in both cases. State v. Dale, 245 N.C. App. 497, 507 (2016). </w:t>
      </w:r>
      <w:r w:rsidR="00675194" w:rsidRPr="00A95FBB">
        <w:lastRenderedPageBreak/>
        <w:t>This is sometimes referred to as “the same evidence</w:t>
      </w:r>
      <w:r w:rsidR="000C16D4" w:rsidRPr="00A95FBB">
        <w:t>-</w:t>
      </w:r>
      <w:r w:rsidR="00675194" w:rsidRPr="00A95FBB">
        <w:t>test.” State v. Hicks, 233 N.C. 511, 516 (1951).</w:t>
      </w:r>
      <w:bookmarkEnd w:id="55"/>
      <w:r w:rsidR="00D852DA" w:rsidRPr="00A95FBB">
        <w:t xml:space="preserve"> </w:t>
      </w:r>
      <w:r w:rsidR="00675194" w:rsidRPr="00A95FBB">
        <w:t>The test asks two somewhat alternative questions:</w:t>
      </w:r>
    </w:p>
    <w:p w14:paraId="2C7FFB15" w14:textId="77777777" w:rsidR="000C16D4" w:rsidRPr="00D404B2" w:rsidRDefault="00675194" w:rsidP="007933EF">
      <w:pPr>
        <w:pStyle w:val="BodyH3"/>
        <w:numPr>
          <w:ilvl w:val="0"/>
          <w:numId w:val="30"/>
        </w:numPr>
      </w:pPr>
      <w:r w:rsidRPr="00D404B2">
        <w:t>Whether the facts alleged in the second indictment if given in evidence would have sustained a conviction under the first indictment, or</w:t>
      </w:r>
      <w:r w:rsidR="00A4209A" w:rsidRPr="00D404B2">
        <w:t xml:space="preserve"> </w:t>
      </w:r>
    </w:p>
    <w:p w14:paraId="3ED60593" w14:textId="644715C4" w:rsidR="000C16D4" w:rsidRPr="00D404B2" w:rsidRDefault="00675194" w:rsidP="007933EF">
      <w:pPr>
        <w:pStyle w:val="BodyH3"/>
        <w:numPr>
          <w:ilvl w:val="0"/>
          <w:numId w:val="30"/>
        </w:numPr>
      </w:pPr>
      <w:r w:rsidRPr="00D404B2">
        <w:t>Whether the same evidence would support a conviction in each case.</w:t>
      </w:r>
      <w:r w:rsidR="00A4209A" w:rsidRPr="00D404B2">
        <w:t xml:space="preserve"> </w:t>
      </w:r>
      <w:r w:rsidRPr="00D404B2">
        <w:t>State v. Irick, 291 N.C. 480, 502 (1977); State v. Newman, 186 N.C. App. 382, 387 (2007).</w:t>
      </w:r>
    </w:p>
    <w:p w14:paraId="12CC404B" w14:textId="77777777" w:rsidR="00D70151" w:rsidRPr="00D70151" w:rsidRDefault="00675194" w:rsidP="00C02F67">
      <w:pPr>
        <w:pStyle w:val="BodyH3"/>
        <w:rPr>
          <w:bCs/>
        </w:rPr>
      </w:pPr>
      <w:bookmarkStart w:id="56" w:name="_Toc203397870"/>
      <w:bookmarkStart w:id="57" w:name="_Toc203398118"/>
      <w:r w:rsidRPr="00A95FBB">
        <w:t>When the evidence shows the underlying conduct supporting each charge is separate and distinct, there is no bar to prosecuting a</w:t>
      </w:r>
      <w:r w:rsidR="0053041F" w:rsidRPr="00A95FBB">
        <w:t xml:space="preserve"> </w:t>
      </w:r>
      <w:r w:rsidRPr="00A95FBB">
        <w:t>defendant for each count. The following cases are illustrative.</w:t>
      </w:r>
      <w:bookmarkEnd w:id="56"/>
      <w:bookmarkEnd w:id="57"/>
    </w:p>
    <w:p w14:paraId="6BFAE2F9" w14:textId="77777777" w:rsidR="00D70151" w:rsidRPr="00D70151" w:rsidRDefault="00675194" w:rsidP="00D404B2">
      <w:pPr>
        <w:pStyle w:val="ListParagraph15"/>
      </w:pPr>
      <w:r w:rsidRPr="00A95FBB">
        <w:t>The defendant’s guilty plea to two counts of misdemeanor possession of stolen goods based on two lottery tickets obtained during an armed robbery did not preclude prosecution and punishment for the armed robbery of money and hundreds of additional lottery tickets. State v. Hendricksen, 257 N.C. App. 345, 350-51 (2018).</w:t>
      </w:r>
    </w:p>
    <w:p w14:paraId="4BF7DB03" w14:textId="77777777" w:rsidR="00D70151" w:rsidRPr="00D70151" w:rsidRDefault="00675194" w:rsidP="00D404B2">
      <w:pPr>
        <w:pStyle w:val="ListParagraph15"/>
      </w:pPr>
      <w:r w:rsidRPr="00A95FBB">
        <w:t>The defendant could be sentenced for two counts of manufacturing</w:t>
      </w:r>
      <w:r w:rsidR="008E09B0" w:rsidRPr="00A95FBB">
        <w:t xml:space="preserve"> </w:t>
      </w:r>
      <w:r w:rsidRPr="00A95FBB">
        <w:t xml:space="preserve">methamphetamine </w:t>
      </w:r>
      <w:r w:rsidR="00980204" w:rsidRPr="00A95FBB">
        <w:t>whe</w:t>
      </w:r>
      <w:r w:rsidR="008E09B0" w:rsidRPr="00A95FBB">
        <w:t>re</w:t>
      </w:r>
      <w:r w:rsidRPr="00A95FBB">
        <w:t xml:space="preserve"> two separate manufacturing processes</w:t>
      </w:r>
      <w:r w:rsidR="00980204" w:rsidRPr="00A95FBB">
        <w:t xml:space="preserve"> were found at two separate and distinct locations</w:t>
      </w:r>
      <w:r w:rsidRPr="00A95FBB">
        <w:t>. State v. Maloney, 253 N.C. App. 563, 572 (2017).</w:t>
      </w:r>
    </w:p>
    <w:p w14:paraId="5A579597" w14:textId="77777777" w:rsidR="00D70151" w:rsidRPr="00D70151" w:rsidRDefault="00675194" w:rsidP="00D404B2">
      <w:pPr>
        <w:pStyle w:val="ListParagraph15"/>
      </w:pPr>
      <w:r w:rsidRPr="00A95FBB">
        <w:t>The defendant could be sentenced for both attempted larceny and attempted robbery where each offense involved a different victim. State v. Miller, 245 N.C. App. 313, 317 (2016).</w:t>
      </w:r>
    </w:p>
    <w:p w14:paraId="6CD099B0" w14:textId="77777777" w:rsidR="00D70151" w:rsidRPr="00D70151" w:rsidRDefault="00675194" w:rsidP="00D404B2">
      <w:pPr>
        <w:pStyle w:val="ListParagraph15"/>
      </w:pPr>
      <w:r w:rsidRPr="00A95FBB">
        <w:t>The defendant could be sentenced for both armed robbery and assault with a deadly weapon where there was a distinct interruption in time between the taking of property from the victim and the assault on the same victim. State v. Ortiz, 238 N.C. App. 508, 515 (2014).</w:t>
      </w:r>
    </w:p>
    <w:p w14:paraId="0207549C" w14:textId="77777777" w:rsidR="00D70151" w:rsidRPr="00D70151" w:rsidRDefault="00675194" w:rsidP="00D404B2">
      <w:pPr>
        <w:pStyle w:val="ListParagraph15"/>
      </w:pPr>
      <w:r w:rsidRPr="00A95FBB">
        <w:t>The defendant could be convicted of two counts of attempted murder and two counts of felonious assault where there were two victims and the defendant assaulted and attempted to kill each one. State v. Washington, 141 N.C. App. 354, 370 (2000).</w:t>
      </w:r>
    </w:p>
    <w:p w14:paraId="0E8B24CF" w14:textId="77777777" w:rsidR="00D70151" w:rsidRPr="00D70151" w:rsidRDefault="00675194" w:rsidP="00D404B2">
      <w:pPr>
        <w:pStyle w:val="ListParagraph15"/>
      </w:pPr>
      <w:r w:rsidRPr="00A95FBB">
        <w:t>The defendant could be convicted of two counts of armed robbery where he took personal property from each of two victims. State v. Wheeler, 70 N.C. App. 191, 195 (1984)</w:t>
      </w:r>
      <w:r w:rsidR="0053041F" w:rsidRPr="00A95FBB">
        <w:t>.</w:t>
      </w:r>
      <w:bookmarkStart w:id="58" w:name="_Toc200724660"/>
    </w:p>
    <w:p w14:paraId="7342E56F" w14:textId="0B0FDCA3" w:rsidR="00FB50A8" w:rsidRPr="00FB50A8" w:rsidRDefault="00675194" w:rsidP="007A1C56">
      <w:pPr>
        <w:pStyle w:val="Heading3"/>
        <w:rPr>
          <w:vanish/>
          <w:specVanish/>
        </w:rPr>
      </w:pPr>
      <w:r w:rsidRPr="00A95FBB">
        <w:t>Multiple Charges.</w:t>
      </w:r>
    </w:p>
    <w:p w14:paraId="17664F9D" w14:textId="7C235A0F" w:rsidR="00135652" w:rsidRPr="00FB50A8" w:rsidRDefault="00675194" w:rsidP="00C02F67">
      <w:pPr>
        <w:pStyle w:val="BodyH3"/>
        <w:rPr>
          <w:bCs/>
        </w:rPr>
      </w:pPr>
      <w:r w:rsidRPr="00A95FBB">
        <w:t xml:space="preserve"> Granting that the same act or transaction may give rise to multiple charges, there remains the question of how many counts the same course of conduct will support. If a person robs a store by threatening two employees, for example, is that one robbery or two? </w:t>
      </w:r>
      <w:r w:rsidR="00492FD9" w:rsidRPr="003F70FD">
        <w:rPr>
          <w:i/>
          <w:iCs/>
        </w:rPr>
        <w:t>See</w:t>
      </w:r>
      <w:r w:rsidR="00492FD9" w:rsidRPr="00A95FBB">
        <w:t xml:space="preserve"> </w:t>
      </w:r>
      <w:r w:rsidRPr="00A95FBB">
        <w:t>State v. Potter, 285 N.C. 238, 253 (1974) (one robbery); State v. Ballard, 280 N.C. 479, 490 (1972). Courts may address this issue by considering the unit of prosecution or the continuing offense.</w:t>
      </w:r>
      <w:bookmarkEnd w:id="58"/>
    </w:p>
    <w:p w14:paraId="6AEC8A95" w14:textId="77777777" w:rsidR="00FB50A8" w:rsidRPr="007A1C56" w:rsidRDefault="00675194" w:rsidP="007933EF">
      <w:pPr>
        <w:pStyle w:val="Heading4"/>
        <w:numPr>
          <w:ilvl w:val="0"/>
          <w:numId w:val="14"/>
        </w:numPr>
        <w:rPr>
          <w:vanish/>
          <w:specVanish/>
        </w:rPr>
      </w:pPr>
      <w:r w:rsidRPr="00FB50A8">
        <w:t>Unit of Prosecution.</w:t>
      </w:r>
    </w:p>
    <w:p w14:paraId="72791E51" w14:textId="2567F6F0" w:rsidR="00D70151" w:rsidRPr="00D70151" w:rsidRDefault="00675194" w:rsidP="00C02F67">
      <w:pPr>
        <w:pStyle w:val="BodyH4"/>
      </w:pPr>
      <w:r w:rsidRPr="00A95FBB">
        <w:t xml:space="preserve"> The legislature </w:t>
      </w:r>
      <w:proofErr w:type="gramStart"/>
      <w:r w:rsidRPr="00A95FBB">
        <w:t>may so</w:t>
      </w:r>
      <w:proofErr w:type="gramEnd"/>
      <w:r w:rsidRPr="00A95FBB">
        <w:t xml:space="preserve"> define a statutory offense as </w:t>
      </w:r>
      <w:proofErr w:type="gramStart"/>
      <w:r w:rsidRPr="00A95FBB">
        <w:t>to limit</w:t>
      </w:r>
      <w:proofErr w:type="gramEnd"/>
      <w:r w:rsidRPr="00A95FBB">
        <w:t xml:space="preserve"> the number of counts that may be charged based on a single course of conduct. State v. Smith, 323 N.C. 439, 441 (1988); </w:t>
      </w:r>
      <w:r w:rsidRPr="00200DF4">
        <w:rPr>
          <w:i/>
          <w:iCs/>
        </w:rPr>
        <w:t>cf.</w:t>
      </w:r>
      <w:r w:rsidRPr="00A95FBB">
        <w:t xml:space="preserve"> Brittany L. Bromell, Units of Prosecution: Charging Multiple Counts for the Same Conduct, </w:t>
      </w:r>
      <w:r w:rsidRPr="00200DF4">
        <w:rPr>
          <w:smallCaps/>
        </w:rPr>
        <w:t>Admin</w:t>
      </w:r>
      <w:r w:rsidR="007F3F3B">
        <w:rPr>
          <w:smallCaps/>
        </w:rPr>
        <w:t>.</w:t>
      </w:r>
      <w:r w:rsidRPr="00200DF4">
        <w:rPr>
          <w:smallCaps/>
        </w:rPr>
        <w:t xml:space="preserve"> of Justice Bull</w:t>
      </w:r>
      <w:r w:rsidR="007F3F3B">
        <w:rPr>
          <w:smallCaps/>
        </w:rPr>
        <w:t>.</w:t>
      </w:r>
      <w:r w:rsidRPr="00A95FBB">
        <w:t>, No. 2022/01</w:t>
      </w:r>
      <w:r w:rsidR="007F3F3B">
        <w:t xml:space="preserve"> (UNC School of Government)</w:t>
      </w:r>
      <w:r w:rsidRPr="00A95FBB">
        <w:t xml:space="preserve"> </w:t>
      </w:r>
      <w:r w:rsidR="007F3F3B">
        <w:t>(</w:t>
      </w:r>
      <w:r w:rsidR="007F3F3B" w:rsidRPr="00A95FBB">
        <w:t>Sept</w:t>
      </w:r>
      <w:r w:rsidR="007F3F3B">
        <w:t>.</w:t>
      </w:r>
      <w:r w:rsidR="007F3F3B" w:rsidRPr="00A95FBB">
        <w:t xml:space="preserve"> </w:t>
      </w:r>
      <w:r w:rsidRPr="00A95FBB">
        <w:t>2022</w:t>
      </w:r>
      <w:r w:rsidR="007F3F3B">
        <w:t xml:space="preserve">) </w:t>
      </w:r>
      <w:r w:rsidR="007F3F3B" w:rsidRPr="00200DF4">
        <w:rPr>
          <w:i/>
          <w:iCs/>
        </w:rPr>
        <w:t>available at</w:t>
      </w:r>
      <w:r w:rsidR="007F3F3B">
        <w:t xml:space="preserve"> </w:t>
      </w:r>
      <w:hyperlink r:id="rId12" w:history="1">
        <w:r w:rsidR="000B2850" w:rsidRPr="00200DF4">
          <w:rPr>
            <w:rStyle w:val="Hyperlink"/>
            <w:rFonts w:cs="Arial"/>
          </w:rPr>
          <w:t>https://www.sog.unc.edu/publications/bulletins/units-prosecution</w:t>
        </w:r>
      </w:hyperlink>
      <w:r w:rsidRPr="00A95FBB">
        <w:t>. Thus, determining the allowable unit of prosecution involves statutory construction. The following cases are illustrative:</w:t>
      </w:r>
    </w:p>
    <w:p w14:paraId="17C9491E" w14:textId="2B8CF446" w:rsidR="00675194" w:rsidRPr="00D404B2" w:rsidRDefault="00675194" w:rsidP="00D404B2">
      <w:pPr>
        <w:pStyle w:val="ListParagraph2"/>
        <w:ind w:left="2160"/>
      </w:pPr>
      <w:r w:rsidRPr="00D404B2">
        <w:t xml:space="preserve">Human trafficking under G.S. 14-43.11 is not a continuing offense but each violation is a separate offense. State v. Applewhite, 386 N.C. 431, 435 </w:t>
      </w:r>
      <w:r w:rsidRPr="00D404B2">
        <w:lastRenderedPageBreak/>
        <w:t xml:space="preserve">(2024) </w:t>
      </w:r>
    </w:p>
    <w:p w14:paraId="2006C996" w14:textId="77777777" w:rsidR="00675194" w:rsidRPr="00D404B2" w:rsidRDefault="00675194" w:rsidP="00D404B2">
      <w:pPr>
        <w:pStyle w:val="ListParagraph2"/>
        <w:ind w:left="2160"/>
      </w:pPr>
      <w:r w:rsidRPr="00D404B2">
        <w:t xml:space="preserve">Weapons on campus, G.S. 14-269.2, </w:t>
      </w:r>
      <w:proofErr w:type="gramStart"/>
      <w:r w:rsidRPr="00D404B2">
        <w:t>is</w:t>
      </w:r>
      <w:proofErr w:type="gramEnd"/>
      <w:r w:rsidRPr="00D404B2">
        <w:t xml:space="preserve"> committed only once by simultaneous possession of multiple firearms. State v. Conley, 374 N.C. 209, 214 (2020).</w:t>
      </w:r>
    </w:p>
    <w:p w14:paraId="3F70301F" w14:textId="77777777" w:rsidR="00675194" w:rsidRPr="00D404B2" w:rsidRDefault="00675194" w:rsidP="00D404B2">
      <w:pPr>
        <w:pStyle w:val="ListParagraph2"/>
        <w:ind w:left="2160"/>
      </w:pPr>
      <w:r w:rsidRPr="00D404B2">
        <w:t>Possession of a stolen firearm, G.S. 14-71.1, is committed only once by simultaneous possession of multiple firearms. State v. Surrett, 217 N.C. App. 89, 99 (2011).</w:t>
      </w:r>
    </w:p>
    <w:p w14:paraId="4D540A17" w14:textId="77777777" w:rsidR="001D41D9" w:rsidRPr="00D404B2" w:rsidRDefault="00675194" w:rsidP="00D404B2">
      <w:pPr>
        <w:pStyle w:val="ListParagraph2"/>
        <w:ind w:left="2160"/>
      </w:pPr>
      <w:r w:rsidRPr="00D404B2">
        <w:t>Larceny of a firearm, G.S. 14-72(b)(4), is committed only once when multiple firearms are stollen during a single larceny. State v. Boykin, 78 N.C. App. 572, 577 (1985)</w:t>
      </w:r>
      <w:r w:rsidR="00D36D7B" w:rsidRPr="00D404B2">
        <w:t>.</w:t>
      </w:r>
    </w:p>
    <w:p w14:paraId="7B21F1BE" w14:textId="52CE3F02" w:rsidR="00675194" w:rsidRPr="00A95FBB" w:rsidRDefault="00675194" w:rsidP="00C02F67">
      <w:pPr>
        <w:pStyle w:val="BodyH4"/>
      </w:pPr>
      <w:r w:rsidRPr="00A95FBB">
        <w:t xml:space="preserve">In construing criminal statutes, courts resolve any ambiguity against the </w:t>
      </w:r>
      <w:r w:rsidR="003F14CC" w:rsidRPr="00A95FBB">
        <w:t>S</w:t>
      </w:r>
      <w:r w:rsidRPr="00A95FBB">
        <w:t>tate. State v. Smith, 323 N.C. 439, 442-43 (1988); State v. White, 127 N.C. App. 565, 570 (1997). Once the legislature has defined the offense, “that prescription determines the scope of protection afforded by a prior conviction or acquittal.” Sanabria v. United States, 437 U.S. 54, 70 (1978).</w:t>
      </w:r>
    </w:p>
    <w:p w14:paraId="2D77C20E" w14:textId="77777777" w:rsidR="00FB50A8" w:rsidRPr="00FB50A8" w:rsidRDefault="00675194" w:rsidP="007A1C56">
      <w:pPr>
        <w:pStyle w:val="Heading4"/>
        <w:rPr>
          <w:vanish/>
          <w:specVanish/>
        </w:rPr>
      </w:pPr>
      <w:bookmarkStart w:id="59" w:name="_Toc200724661"/>
      <w:r w:rsidRPr="00A95FBB">
        <w:t>Continuing Offenses.</w:t>
      </w:r>
    </w:p>
    <w:p w14:paraId="0BBEBDBE" w14:textId="77777777" w:rsidR="00D70151" w:rsidRPr="00D70151" w:rsidRDefault="00675194" w:rsidP="00C02F67">
      <w:pPr>
        <w:pStyle w:val="BodyH4"/>
      </w:pPr>
      <w:r w:rsidRPr="00A95FBB">
        <w:t xml:space="preserve"> A continuing offense is “a breach of the criminal law not terminated by a single act or fact, but which subsists for a definite period” and is intended to cover successive occurrences. State v. Maloney, 253 N.C. App. 563, 571 (2017). Felony stalking, for example, requires proof of multiple acts. State v. Fox, 216 N.C. App. 144, 151 (2011). Defendants may not be convicted for continuous offenses if the offenses alleged cover the same date range, as this runs afoul of double jeopardy protections. State v. Applewhite, 386 N.C. 431, 441 (2024). The following offenses have been treated as continuing offenses:</w:t>
      </w:r>
      <w:bookmarkStart w:id="60" w:name="_Toc200724662"/>
      <w:bookmarkEnd w:id="59"/>
    </w:p>
    <w:p w14:paraId="71B0A3D6" w14:textId="77777777" w:rsidR="00D70151" w:rsidRPr="00D70151" w:rsidRDefault="00675194" w:rsidP="00D404B2">
      <w:pPr>
        <w:pStyle w:val="ListParagraph2"/>
        <w:ind w:left="2160"/>
      </w:pPr>
      <w:r w:rsidRPr="00A95FBB">
        <w:t>kidnapping, State v. White, 127 N.C. App. 565, 571 (1997).</w:t>
      </w:r>
      <w:bookmarkStart w:id="61" w:name="_Toc200724663"/>
      <w:bookmarkEnd w:id="60"/>
    </w:p>
    <w:p w14:paraId="35A8055D" w14:textId="77777777" w:rsidR="00D70151" w:rsidRPr="00D70151" w:rsidRDefault="00675194" w:rsidP="00D404B2">
      <w:pPr>
        <w:pStyle w:val="ListParagraph2"/>
        <w:ind w:left="2160"/>
      </w:pPr>
      <w:r w:rsidRPr="00A95FBB">
        <w:t>assault, State v. Dew, 379 N.C. 64, 72 (2021); State v. Brooks, 138 N.C. App. 185, 189 (2000).</w:t>
      </w:r>
      <w:bookmarkStart w:id="62" w:name="_Toc200724664"/>
      <w:bookmarkEnd w:id="61"/>
    </w:p>
    <w:p w14:paraId="6CC7F072" w14:textId="77777777" w:rsidR="00D70151" w:rsidRPr="00D70151" w:rsidRDefault="00675194" w:rsidP="00D404B2">
      <w:pPr>
        <w:pStyle w:val="ListParagraph2"/>
        <w:ind w:left="2160"/>
      </w:pPr>
      <w:r w:rsidRPr="00A95FBB">
        <w:t>robbery, State v. Fambrough, 28 N.C. App. 214, 215 (1975).</w:t>
      </w:r>
      <w:bookmarkStart w:id="63" w:name="_Toc200724665"/>
      <w:bookmarkEnd w:id="62"/>
    </w:p>
    <w:p w14:paraId="7161EFD6" w14:textId="77777777" w:rsidR="00D70151" w:rsidRPr="00D70151" w:rsidRDefault="00675194" w:rsidP="00D404B2">
      <w:pPr>
        <w:pStyle w:val="ListParagraph2"/>
        <w:ind w:left="2160"/>
      </w:pPr>
      <w:r w:rsidRPr="00A95FBB">
        <w:t>larceny, State v. Martin, 47 N.C. App. 223, 232 (1980).</w:t>
      </w:r>
      <w:bookmarkStart w:id="64" w:name="_Toc200724666"/>
      <w:bookmarkEnd w:id="63"/>
    </w:p>
    <w:p w14:paraId="39E61DBB" w14:textId="77777777" w:rsidR="00D70151" w:rsidRPr="00D70151" w:rsidRDefault="00675194" w:rsidP="00D404B2">
      <w:pPr>
        <w:pStyle w:val="ListParagraph2"/>
        <w:ind w:left="2160"/>
      </w:pPr>
      <w:r w:rsidRPr="00A95FBB">
        <w:t>possession of stolen property, State v. Watson, 80 N.C. App. 103, 106 (1986); State v. Davis, 302 N.C. 370, 374 (1981).</w:t>
      </w:r>
      <w:bookmarkStart w:id="65" w:name="_Toc200724667"/>
      <w:bookmarkEnd w:id="64"/>
    </w:p>
    <w:p w14:paraId="6DC8F6A3" w14:textId="77777777" w:rsidR="00D70151" w:rsidRPr="00D70151" w:rsidRDefault="00675194" w:rsidP="00D404B2">
      <w:pPr>
        <w:pStyle w:val="ListParagraph2"/>
        <w:ind w:left="2160"/>
      </w:pPr>
      <w:r w:rsidRPr="00A95FBB">
        <w:t>felony stalking under G.S. 14-177.3A, State v. Fox, 216 N.C. App. 144, 151 (2011)</w:t>
      </w:r>
      <w:bookmarkEnd w:id="65"/>
      <w:r w:rsidRPr="00A95FBB">
        <w:t xml:space="preserve"> </w:t>
      </w:r>
      <w:bookmarkStart w:id="66" w:name="_Toc200724668"/>
    </w:p>
    <w:p w14:paraId="1B73CF08" w14:textId="77777777" w:rsidR="00D70151" w:rsidRPr="00D70151" w:rsidRDefault="00675194" w:rsidP="00D404B2">
      <w:pPr>
        <w:pStyle w:val="ListParagraph2"/>
        <w:ind w:left="2160"/>
      </w:pPr>
      <w:r w:rsidRPr="00A95FBB">
        <w:t>keeping or maintaining a dwelling for keeping or selling drugs, G.S. 90-108(a)(7), State v. Grady, 136 N.C. App. 394, 400 (2000).</w:t>
      </w:r>
      <w:bookmarkEnd w:id="66"/>
    </w:p>
    <w:p w14:paraId="59AB815A" w14:textId="180BED5C" w:rsidR="00D70151" w:rsidRPr="00D70151" w:rsidRDefault="00675194" w:rsidP="00C02F67">
      <w:pPr>
        <w:pStyle w:val="BodyH4"/>
      </w:pPr>
      <w:r w:rsidRPr="00A95FBB">
        <w:t>By contrast, some offenses are categorically discontinuous. Rape</w:t>
      </w:r>
      <w:r w:rsidR="00603F43" w:rsidRPr="00A95FBB">
        <w:t>, for example,</w:t>
      </w:r>
      <w:r w:rsidRPr="00A95FBB">
        <w:t xml:space="preserve"> is not a continuing offense, </w:t>
      </w:r>
      <w:r w:rsidR="000B2850">
        <w:t>and</w:t>
      </w:r>
      <w:r w:rsidR="000B2850" w:rsidRPr="00A95FBB">
        <w:t xml:space="preserve"> </w:t>
      </w:r>
      <w:r w:rsidRPr="00A95FBB">
        <w:t xml:space="preserve">each act of intercourse will support a separate conviction. State v. Dudley, 319 N.C. 656, 659 (1987); State v. Small, 31 N.C. App. 556, 559 (1976). Similarly, </w:t>
      </w:r>
      <w:r w:rsidR="00D94D46" w:rsidRPr="00A95FBB">
        <w:t>courts treat multiple rapid shots from a single firearm as discontinuous, at least when each shot requires a deliberate pull of the trigger</w:t>
      </w:r>
      <w:r w:rsidRPr="00A95FBB">
        <w:t>. State v. Rambert, 341 N.C. 173, 177 (1995); State v. Ray, 97 N.C. App. 621, 625 (1990). In determining whether an offense is continuous, relevant factors include the temporal proximity of the acts, change</w:t>
      </w:r>
      <w:r w:rsidR="00D94D46" w:rsidRPr="00A95FBB">
        <w:t>s</w:t>
      </w:r>
      <w:r w:rsidRPr="00A95FBB">
        <w:t xml:space="preserve"> in location, and intervening events. State v. Dew, 379 N.C. 64, 72 (2021); State v. Calderon, 290 N.C. App. 344, 354 (2023), </w:t>
      </w:r>
      <w:r w:rsidRPr="00200DF4">
        <w:rPr>
          <w:i/>
          <w:iCs/>
        </w:rPr>
        <w:t>disc. review allowed</w:t>
      </w:r>
      <w:r w:rsidRPr="00A95FBB">
        <w:t>, 901 S.E.2d 814 (2024).</w:t>
      </w:r>
      <w:bookmarkStart w:id="67" w:name="_Toc200724669"/>
    </w:p>
    <w:p w14:paraId="5FE5E536" w14:textId="02EE8BCE" w:rsidR="008267B3" w:rsidRPr="00A95FBB" w:rsidRDefault="00CB50FB" w:rsidP="00364F84">
      <w:pPr>
        <w:pStyle w:val="Heading1"/>
        <w:keepNext/>
      </w:pPr>
      <w:bookmarkStart w:id="68" w:name="_Toc203747486"/>
      <w:r w:rsidRPr="00A95FBB">
        <w:lastRenderedPageBreak/>
        <w:t xml:space="preserve">A Prior </w:t>
      </w:r>
      <w:r w:rsidRPr="00A55F03">
        <w:t>Acquittal</w:t>
      </w:r>
      <w:r w:rsidR="00443E08" w:rsidRPr="00A95FBB">
        <w:t>.</w:t>
      </w:r>
      <w:bookmarkEnd w:id="67"/>
      <w:bookmarkEnd w:id="68"/>
    </w:p>
    <w:p w14:paraId="05461DDE" w14:textId="6A0DE939" w:rsidR="00AE0B1F" w:rsidRPr="00AE0B1F" w:rsidRDefault="00534A78" w:rsidP="007933EF">
      <w:pPr>
        <w:pStyle w:val="Heading2"/>
        <w:numPr>
          <w:ilvl w:val="0"/>
          <w:numId w:val="20"/>
        </w:numPr>
        <w:spacing w:before="0"/>
        <w:rPr>
          <w:vanish/>
          <w:specVanish/>
        </w:rPr>
      </w:pPr>
      <w:bookmarkStart w:id="69" w:name="_Toc203747487"/>
      <w:r w:rsidRPr="00AE0B1F">
        <w:t>Jury Acquittal</w:t>
      </w:r>
      <w:r w:rsidR="00950D82" w:rsidRPr="002E359A">
        <w:t>.</w:t>
      </w:r>
      <w:bookmarkStart w:id="70" w:name="_Toc200724670"/>
      <w:bookmarkEnd w:id="69"/>
    </w:p>
    <w:p w14:paraId="561D6B07" w14:textId="77777777" w:rsidR="00D70151" w:rsidRPr="00D70151" w:rsidRDefault="00950D82" w:rsidP="007A1C56">
      <w:pPr>
        <w:pStyle w:val="BodyH2"/>
        <w:rPr>
          <w:bCs/>
        </w:rPr>
      </w:pPr>
      <w:r w:rsidRPr="00A95FBB">
        <w:t xml:space="preserve"> </w:t>
      </w:r>
      <w:r w:rsidR="00C500AD" w:rsidRPr="00A95FBB">
        <w:t xml:space="preserve">Double jeopardy principles accord absolute finality to a jury acquittal. Indeed, an acquittal is afforded special weight. United States v. DiFrancesco, 449 U.S. 117, 130 (1980); State v. Sanderson, 346 N.C. 669, 676 (1997). The Double Jeopardy Clause prohibits second-guessing an acquittal for any reason, even when a jury returns inconsistent verdicts on the same issue of fact. McElrath v. Georgia, 601 U.S. 87, 97 (2024); State v. Mumford, 364 N.C. 394, 400 (2010). “Accordingly, acquittals are final and unreviewable, even if based in error.” State v. Robinson, 375 N.C. 173, 185 (2020); </w:t>
      </w:r>
      <w:r w:rsidR="00C500AD" w:rsidRPr="003F70FD">
        <w:rPr>
          <w:i/>
          <w:iCs/>
        </w:rPr>
        <w:t>accord</w:t>
      </w:r>
      <w:r w:rsidR="00C500AD" w:rsidRPr="00A95FBB">
        <w:t xml:space="preserve"> State v. Payne, 256 N.C. App. 572, 587 (2017).</w:t>
      </w:r>
      <w:bookmarkStart w:id="71" w:name="_Toc200724671"/>
      <w:bookmarkEnd w:id="70"/>
    </w:p>
    <w:p w14:paraId="1BA9C6B3" w14:textId="419FDE09" w:rsidR="00AE0B1F" w:rsidRPr="00AE0B1F" w:rsidRDefault="00C500AD" w:rsidP="007933EF">
      <w:pPr>
        <w:pStyle w:val="Heading2"/>
        <w:numPr>
          <w:ilvl w:val="0"/>
          <w:numId w:val="20"/>
        </w:numPr>
        <w:rPr>
          <w:vanish/>
          <w:specVanish/>
        </w:rPr>
      </w:pPr>
      <w:bookmarkStart w:id="72" w:name="_Toc203747488"/>
      <w:r w:rsidRPr="00AE0B1F">
        <w:t>Judicial Acquittal</w:t>
      </w:r>
      <w:r w:rsidR="00950D82" w:rsidRPr="002E359A">
        <w:t>.</w:t>
      </w:r>
      <w:bookmarkEnd w:id="72"/>
    </w:p>
    <w:p w14:paraId="7559B939" w14:textId="77777777" w:rsidR="00D70151" w:rsidRPr="00D70151" w:rsidRDefault="00950D82" w:rsidP="007A1C56">
      <w:pPr>
        <w:pStyle w:val="BodyH2"/>
        <w:rPr>
          <w:bCs/>
        </w:rPr>
      </w:pPr>
      <w:r w:rsidRPr="00A95FBB">
        <w:t xml:space="preserve"> </w:t>
      </w:r>
      <w:r w:rsidR="00D353E8" w:rsidRPr="00A95FBB">
        <w:t xml:space="preserve">A judicial determination that the State’s evidence is insufficient as a matter of law has the effect of an acquittal. Smith v. Massachusetts, 543 U.S. 462, 467 (2005) (at trial); Burks v. United States, 437 U.S. 1, 18 (1978) (on appeal); State v. Mason, 174 N.C. App. 206, 208 (2005). An acquittal due to insufficient evidence precludes retrial, whether the court’s evaluation was correct or not. Evans v. Michigan, 568 U.S. 313, 320 (2013). In North Carolina, this determination may be made at trial upon a defendant’s motion to dismiss at the close of the State’s evidence. </w:t>
      </w:r>
      <w:r w:rsidR="00D353E8" w:rsidRPr="003F70FD">
        <w:rPr>
          <w:i/>
          <w:iCs/>
        </w:rPr>
        <w:t>See</w:t>
      </w:r>
      <w:r w:rsidR="00D353E8" w:rsidRPr="00A95FBB">
        <w:t xml:space="preserve"> G.S. 15-173 (ruling has force and effect of a not guilty verdict); G.S. 15A-1227 (timing of motion to dismiss for insufficient evidence). Accordingly, if the trial court grants a defendant’s midtrial motion to dismiss for insufficient evidence, the defendant may not be retried</w:t>
      </w:r>
      <w:r w:rsidR="00F77249" w:rsidRPr="00A95FBB">
        <w:t xml:space="preserve"> for the same offense</w:t>
      </w:r>
      <w:r w:rsidR="00D353E8" w:rsidRPr="00A95FBB">
        <w:t>. State v. Morgan, 189 N.C. App. 716, 722 (2008); State v. Murrell, 54 N.C. App. 342, 345 (1981).</w:t>
      </w:r>
      <w:bookmarkStart w:id="73" w:name="_Toc200724672"/>
      <w:bookmarkEnd w:id="71"/>
    </w:p>
    <w:p w14:paraId="6419D825" w14:textId="5BFDBB30" w:rsidR="00D70151" w:rsidRPr="00D70151" w:rsidRDefault="00D353E8" w:rsidP="007A1C56">
      <w:pPr>
        <w:pStyle w:val="BodyH2"/>
      </w:pPr>
      <w:r w:rsidRPr="00A95FBB">
        <w:t>When, however, a jury returns a guilty verdict and a trial judge or appellate court sets it aside and enters a judgment of acquittal, the State may appeal to reinstate the verdict. Smith v. Massachusetts, 543 U.S. 462, 467 (2005); State v. Kiselev, 241 N.C. App. 144, 148 (2015). Further, a midtrial dismissal not based on insufficiency of evidence does not bar retrial. Smith v. United States, 599 U.S. 236, 253-54 (2023); State v. Priddy, 115 N.C. App. 547, 551 (1994). Accordingly, a defendant may be retried for the same offense despite a prior dismissal based on:</w:t>
      </w:r>
      <w:bookmarkEnd w:id="73"/>
    </w:p>
    <w:p w14:paraId="6B97C52A" w14:textId="4E85EA8B" w:rsidR="00D353E8" w:rsidRPr="00A95FBB" w:rsidRDefault="00D353E8" w:rsidP="00BA499A">
      <w:pPr>
        <w:pStyle w:val="ListParagraph1"/>
      </w:pPr>
      <w:r w:rsidRPr="00A95FBB">
        <w:t>a defective criminal pleading; Illinois v. Somerville, 410 U.S. 458, 471 (1973); State v. Whitley, 264 N.C. 742, 745 (1965); State v. Coleman, 253 N.C. 799, 801 (1961); State v. Barnes, 253 N.C. 711, 718 (1961); State v. Goforth, 65 N.C. App. 302, 306 (1983).</w:t>
      </w:r>
      <w:r w:rsidR="00DC3F57" w:rsidRPr="00A95FBB">
        <w:t xml:space="preserve"> </w:t>
      </w:r>
      <w:r w:rsidR="00DC3F57" w:rsidRPr="003F70FD">
        <w:rPr>
          <w:i/>
          <w:iCs/>
        </w:rPr>
        <w:t>See also</w:t>
      </w:r>
      <w:r w:rsidR="00DC3F57" w:rsidRPr="00A95FBB">
        <w:t xml:space="preserve"> Section </w:t>
      </w:r>
      <w:proofErr w:type="gramStart"/>
      <w:r w:rsidR="00DC3F57" w:rsidRPr="00A95FBB">
        <w:t>III,</w:t>
      </w:r>
      <w:proofErr w:type="gramEnd"/>
      <w:r w:rsidR="002C4312" w:rsidRPr="00A95FBB">
        <w:t xml:space="preserve"> above</w:t>
      </w:r>
      <w:r w:rsidR="00DC3F57" w:rsidRPr="00A95FBB">
        <w:t>.</w:t>
      </w:r>
    </w:p>
    <w:p w14:paraId="7DC641E5" w14:textId="77777777" w:rsidR="00D70151" w:rsidRPr="00D70151" w:rsidRDefault="00D353E8" w:rsidP="00BA499A">
      <w:pPr>
        <w:pStyle w:val="ListParagraph1"/>
      </w:pPr>
      <w:r w:rsidRPr="00A95FBB">
        <w:t>a variance between pleading and proof. State v. Miller, 271 N.C. 646, 654 (1967); State v. Stinson, 263 N.C. 283, 292 (1965); State v. Chamberlain, 232 N.C. App. 246, 251 (2014); State v. Mason, 174 N.C. App. 206, 208 (2005); State v. Wall, 96 N.C. App. 45, 50 (1989).</w:t>
      </w:r>
      <w:bookmarkStart w:id="74" w:name="_Toc200724673"/>
    </w:p>
    <w:p w14:paraId="3BC24D60" w14:textId="39DAEDCC" w:rsidR="00AE0B1F" w:rsidRPr="00AE0B1F" w:rsidRDefault="007D0ECC" w:rsidP="007933EF">
      <w:pPr>
        <w:pStyle w:val="Heading2"/>
        <w:numPr>
          <w:ilvl w:val="0"/>
          <w:numId w:val="20"/>
        </w:numPr>
      </w:pPr>
      <w:bookmarkStart w:id="75" w:name="_Toc203747489"/>
      <w:r w:rsidRPr="00A95FBB">
        <w:t>Implied Acquittal.</w:t>
      </w:r>
      <w:bookmarkEnd w:id="75"/>
    </w:p>
    <w:p w14:paraId="34A194CC" w14:textId="15A8AAA0" w:rsidR="00AE0B1F" w:rsidRPr="00A55F03" w:rsidRDefault="002C4312" w:rsidP="007933EF">
      <w:pPr>
        <w:pStyle w:val="Heading3"/>
        <w:numPr>
          <w:ilvl w:val="0"/>
          <w:numId w:val="31"/>
        </w:numPr>
        <w:rPr>
          <w:vanish/>
          <w:specVanish/>
        </w:rPr>
      </w:pPr>
      <w:r w:rsidRPr="00AE0B1F">
        <w:t xml:space="preserve">By </w:t>
      </w:r>
      <w:r w:rsidR="000D5911" w:rsidRPr="00AE0B1F">
        <w:t>C</w:t>
      </w:r>
      <w:r w:rsidRPr="00AE0B1F">
        <w:t xml:space="preserve">onviction of </w:t>
      </w:r>
      <w:r w:rsidR="000D5911" w:rsidRPr="00AE0B1F">
        <w:t>L</w:t>
      </w:r>
      <w:r w:rsidRPr="00AE0B1F">
        <w:t xml:space="preserve">esser </w:t>
      </w:r>
      <w:r w:rsidR="000D5911" w:rsidRPr="00AE0B1F">
        <w:t>I</w:t>
      </w:r>
      <w:r w:rsidRPr="00AE0B1F">
        <w:t xml:space="preserve">ncluded </w:t>
      </w:r>
      <w:r w:rsidR="000D5911" w:rsidRPr="00AE0B1F">
        <w:t>O</w:t>
      </w:r>
      <w:r w:rsidRPr="00AE0B1F">
        <w:t>ffense.</w:t>
      </w:r>
    </w:p>
    <w:p w14:paraId="0ED5B3D8" w14:textId="77777777" w:rsidR="00D70151" w:rsidRPr="00D70151" w:rsidRDefault="002C4312" w:rsidP="00C02F67">
      <w:pPr>
        <w:pStyle w:val="BodyH3"/>
      </w:pPr>
      <w:r w:rsidRPr="00A95FBB">
        <w:t xml:space="preserve"> </w:t>
      </w:r>
      <w:r w:rsidR="000E5610" w:rsidRPr="00A95FBB">
        <w:t xml:space="preserve">When a defendant, on trial for a greater offense, is convicted only of a </w:t>
      </w:r>
      <w:proofErr w:type="gramStart"/>
      <w:r w:rsidR="000E5610" w:rsidRPr="00A95FBB">
        <w:t>lesser</w:t>
      </w:r>
      <w:r w:rsidR="00A14B38" w:rsidRPr="00A95FBB">
        <w:t xml:space="preserve"> </w:t>
      </w:r>
      <w:r w:rsidR="000E5610" w:rsidRPr="00A95FBB">
        <w:t>included</w:t>
      </w:r>
      <w:proofErr w:type="gramEnd"/>
      <w:r w:rsidR="000E5610" w:rsidRPr="00A95FBB">
        <w:t xml:space="preserve"> offense, </w:t>
      </w:r>
      <w:r w:rsidR="00F129F7" w:rsidRPr="00A95FBB">
        <w:t>the defendant</w:t>
      </w:r>
      <w:r w:rsidR="000E5610" w:rsidRPr="00A95FBB">
        <w:t xml:space="preserve"> </w:t>
      </w:r>
      <w:proofErr w:type="gramStart"/>
      <w:r w:rsidR="000E5610" w:rsidRPr="00A95FBB">
        <w:t>is impliedly</w:t>
      </w:r>
      <w:proofErr w:type="gramEnd"/>
      <w:r w:rsidR="000E5610" w:rsidRPr="00A95FBB">
        <w:t xml:space="preserve"> </w:t>
      </w:r>
      <w:proofErr w:type="gramStart"/>
      <w:r w:rsidR="000E5610" w:rsidRPr="00A95FBB">
        <w:t>acquitted</w:t>
      </w:r>
      <w:proofErr w:type="gramEnd"/>
      <w:r w:rsidR="000E5610" w:rsidRPr="00A95FBB">
        <w:t xml:space="preserve"> and may not be retried for the greater offense. Price v. Georgia, 398 U.S. 323, 329 (1970); State v. Marley, 321 N.C. 415, 424 (1988). An implied acquittal by conviction of a lesser offense requires, however, that a jury reached a final verdict; if the jury hangs on a lesser offense, the defendant may be retried for the greater offense. Blueford v. Arkansas, 566 U.S. 599, 610 (2012); State v. Booker, 306 N.C. 302, 305 (1982); State v. Mays, 158 N.C. App. 563, 576 (2003); State v. Edwards, 150 N.C. App. 544, 549 (2002).</w:t>
      </w:r>
      <w:bookmarkStart w:id="76" w:name="_Toc200724674"/>
      <w:bookmarkEnd w:id="74"/>
    </w:p>
    <w:p w14:paraId="6B879DAB" w14:textId="37612768" w:rsidR="00AE0B1F" w:rsidRPr="007A1C56" w:rsidRDefault="000E5610" w:rsidP="007933EF">
      <w:pPr>
        <w:pStyle w:val="Heading3"/>
        <w:numPr>
          <w:ilvl w:val="0"/>
          <w:numId w:val="12"/>
        </w:numPr>
        <w:rPr>
          <w:vanish/>
          <w:specVanish/>
        </w:rPr>
      </w:pPr>
      <w:r w:rsidRPr="00A95FBB">
        <w:t>State’s Election Rule.</w:t>
      </w:r>
    </w:p>
    <w:p w14:paraId="2A8E3F76" w14:textId="77777777" w:rsidR="00D70151" w:rsidRPr="00D70151" w:rsidRDefault="000E5610" w:rsidP="00C02F67">
      <w:pPr>
        <w:pStyle w:val="BodyH3"/>
      </w:pPr>
      <w:r w:rsidRPr="00A95FBB">
        <w:t xml:space="preserve"> North Carolina courts have also recognized an implied acquittal in the “State’s election” rule. Under that rule, a prosecutor’s decision to seek conviction for only some of the offenses charged or </w:t>
      </w:r>
      <w:proofErr w:type="gramStart"/>
      <w:r w:rsidRPr="00A95FBB">
        <w:t>for only</w:t>
      </w:r>
      <w:proofErr w:type="gramEnd"/>
      <w:r w:rsidRPr="00A95FBB">
        <w:t xml:space="preserve"> lesser</w:t>
      </w:r>
      <w:r w:rsidR="00A14B38" w:rsidRPr="00A95FBB">
        <w:t xml:space="preserve"> </w:t>
      </w:r>
      <w:r w:rsidRPr="00A95FBB">
        <w:t xml:space="preserve">included </w:t>
      </w:r>
      <w:r w:rsidRPr="00A95FBB">
        <w:lastRenderedPageBreak/>
        <w:t>offenses becomes binding once jeopardy has attached. State v. Courtney, 372 N.C. 458, 475 (2019); State v. Cole, 262 N.C. App. 466, 474 (2018); State v. Bissette, 142 N.C. App. 669, 675 (2001). But a prosecutor’s decision to proceed on one theory does not preclude submission to the jury of the same offense under a different theory (assuming both theories are supported by the pleading</w:t>
      </w:r>
      <w:r w:rsidR="00FE6C7C" w:rsidRPr="00A95FBB">
        <w:t xml:space="preserve"> and by sufficient evidence at trial</w:t>
      </w:r>
      <w:r w:rsidRPr="00A95FBB">
        <w:t>). State v. Hales, 344 N.C. 419, 423 (1996).</w:t>
      </w:r>
      <w:bookmarkStart w:id="77" w:name="_Toc200724675"/>
      <w:bookmarkEnd w:id="76"/>
    </w:p>
    <w:p w14:paraId="3C225B52" w14:textId="2E256890" w:rsidR="00206892" w:rsidRPr="007A1C56" w:rsidRDefault="000E5610" w:rsidP="007933EF">
      <w:pPr>
        <w:pStyle w:val="Heading3"/>
        <w:numPr>
          <w:ilvl w:val="0"/>
          <w:numId w:val="12"/>
        </w:numPr>
        <w:rPr>
          <w:vanish/>
          <w:specVanish/>
        </w:rPr>
      </w:pPr>
      <w:r w:rsidRPr="00A95FBB">
        <w:t xml:space="preserve">Sentencing. </w:t>
      </w:r>
    </w:p>
    <w:p w14:paraId="30B795B2" w14:textId="77777777" w:rsidR="00D70151" w:rsidRPr="00D70151" w:rsidRDefault="00206892" w:rsidP="00C02F67">
      <w:pPr>
        <w:pStyle w:val="BodyH3"/>
      </w:pPr>
      <w:r>
        <w:t xml:space="preserve"> </w:t>
      </w:r>
      <w:r w:rsidR="000E5610" w:rsidRPr="00A95FBB">
        <w:t>The imposition of a particular sentence is not generally regarded as an acquittal of a more severe sentence. Monge v. California, 524 U.S. 721, 729 (1998); State v. Adams, 347 N.C. 48, 61 (1997); State v. Marshburn, 173 N.C. App. 749, 752 (2005)</w:t>
      </w:r>
      <w:r w:rsidR="002029E2" w:rsidRPr="00A95FBB">
        <w:t xml:space="preserve">. </w:t>
      </w:r>
      <w:r w:rsidR="002029E2" w:rsidRPr="003F70FD">
        <w:rPr>
          <w:i/>
          <w:iCs/>
        </w:rPr>
        <w:t>B</w:t>
      </w:r>
      <w:r w:rsidR="000E5610" w:rsidRPr="003F70FD">
        <w:rPr>
          <w:i/>
          <w:iCs/>
        </w:rPr>
        <w:t>ut see</w:t>
      </w:r>
      <w:r w:rsidR="000E5610" w:rsidRPr="00A95FBB">
        <w:t xml:space="preserve"> State v. Safrit, 145 N.C. App. 541, 554 (2001) (prior acquittal of violent habitual felon status precluded retrial based on same prior felony convictions). A defendant who has been sentenced to life in a capital proceeding, however, may not be sentenced to death for the same offense in a later proceeding. Bullington v. Missouri, 451 U.S. 430, 438 (1981); State v. Robinson, 375 N.C. 173, 186 (2020).</w:t>
      </w:r>
      <w:bookmarkStart w:id="78" w:name="_Toc200724676"/>
      <w:bookmarkEnd w:id="77"/>
    </w:p>
    <w:p w14:paraId="44EAF0B8" w14:textId="0DF69AEB" w:rsidR="00206892" w:rsidRPr="00206892" w:rsidRDefault="000E5610" w:rsidP="00136DA8">
      <w:pPr>
        <w:pStyle w:val="Heading1"/>
        <w:rPr>
          <w:b w:val="0"/>
          <w:bCs/>
          <w:vanish/>
          <w:specVanish/>
        </w:rPr>
      </w:pPr>
      <w:bookmarkStart w:id="79" w:name="_Toc203747490"/>
      <w:r w:rsidRPr="00A95FBB">
        <w:t>A Prior Conviction</w:t>
      </w:r>
      <w:r w:rsidR="00136DA8" w:rsidRPr="00A95FBB">
        <w:t>.</w:t>
      </w:r>
      <w:bookmarkEnd w:id="79"/>
    </w:p>
    <w:p w14:paraId="4019A70E" w14:textId="77777777" w:rsidR="00D70151" w:rsidRPr="00D70151" w:rsidRDefault="00136DA8" w:rsidP="00206892">
      <w:pPr>
        <w:pStyle w:val="BodyH1"/>
      </w:pPr>
      <w:r w:rsidRPr="00A95FBB">
        <w:t xml:space="preserve"> </w:t>
      </w:r>
      <w:r w:rsidR="000E5610" w:rsidRPr="00A95FBB">
        <w:t xml:space="preserve">In general, double jeopardy principles protect against a second prosecution for the same offense after conviction. Brown v. Ohio, 432 U.S. 161, 165 (1977); State v. Sparks, 362 N.C. 181, 186 (2008). This is true whether the conviction was based on a jury verdict, bench trial, or guilty plea. </w:t>
      </w:r>
      <w:r w:rsidR="000E5610" w:rsidRPr="003F70FD">
        <w:rPr>
          <w:i/>
          <w:iCs/>
        </w:rPr>
        <w:t>See</w:t>
      </w:r>
      <w:r w:rsidR="000E5610" w:rsidRPr="00A95FBB">
        <w:t xml:space="preserve"> State v. Neas, 278 N.C. 506, 512 (1971) (guilty plea, if accepted, “is the equivalent of a conviction.”). In North Carolina, a prayer for </w:t>
      </w:r>
      <w:proofErr w:type="gramStart"/>
      <w:r w:rsidR="000E5610" w:rsidRPr="00A95FBB">
        <w:t>judgment continued</w:t>
      </w:r>
      <w:proofErr w:type="gramEnd"/>
      <w:r w:rsidR="000E5610" w:rsidRPr="00A95FBB">
        <w:t xml:space="preserve"> (PJC) is not a conviction for double jeopardy purposes unless the trial court impose</w:t>
      </w:r>
      <w:r w:rsidR="009A1F46" w:rsidRPr="00A95FBB">
        <w:t>s</w:t>
      </w:r>
      <w:r w:rsidR="000E5610" w:rsidRPr="00A95FBB">
        <w:t xml:space="preserve"> conditions amounting to punishment. State v. Griffin, 246 N.C. 680, 683 (1957); State v. McDonald, 290 N.C. App. 92, 95 (2023); State v. Popp, 197 N.C. App. 226, 228 (2009); State v. Maye, 104 N.C. App. 437, 439 (1991); cf. G.S. 15A-101(4a). Further, unlike a prior acquittal, a prior conviction is not an absolute bar.</w:t>
      </w:r>
      <w:bookmarkStart w:id="80" w:name="_Toc200724677"/>
      <w:bookmarkEnd w:id="78"/>
    </w:p>
    <w:p w14:paraId="18BC73A4" w14:textId="332AA006" w:rsidR="00206892" w:rsidRPr="00206892" w:rsidRDefault="000E5610" w:rsidP="007933EF">
      <w:pPr>
        <w:pStyle w:val="Heading2"/>
        <w:numPr>
          <w:ilvl w:val="0"/>
          <w:numId w:val="21"/>
        </w:numPr>
        <w:spacing w:before="0"/>
        <w:rPr>
          <w:vanish/>
          <w:specVanish/>
        </w:rPr>
      </w:pPr>
      <w:bookmarkStart w:id="81" w:name="_Toc203747491"/>
      <w:r w:rsidRPr="00A95FBB">
        <w:t>Lesser</w:t>
      </w:r>
      <w:r w:rsidR="00F46637" w:rsidRPr="00A95FBB">
        <w:t xml:space="preserve"> </w:t>
      </w:r>
      <w:r w:rsidRPr="00A95FBB">
        <w:t>Included Offenses.</w:t>
      </w:r>
      <w:bookmarkEnd w:id="81"/>
    </w:p>
    <w:p w14:paraId="44133EE8" w14:textId="7607C1FD" w:rsidR="00D70151" w:rsidRPr="00D70151" w:rsidRDefault="000E5610" w:rsidP="007A1C56">
      <w:pPr>
        <w:pStyle w:val="BodyH2"/>
        <w:rPr>
          <w:bCs/>
        </w:rPr>
      </w:pPr>
      <w:r w:rsidRPr="00A95FBB">
        <w:t xml:space="preserve"> As noted above, greater and lesser</w:t>
      </w:r>
      <w:r w:rsidR="00A14B38" w:rsidRPr="00A95FBB">
        <w:t xml:space="preserve"> </w:t>
      </w:r>
      <w:r w:rsidRPr="00A95FBB">
        <w:t>included offenses are treated as the same offense.</w:t>
      </w:r>
      <w:r w:rsidR="00044709" w:rsidRPr="00A95FBB">
        <w:t xml:space="preserve"> </w:t>
      </w:r>
      <w:r w:rsidR="00044709" w:rsidRPr="003F70FD">
        <w:rPr>
          <w:i/>
          <w:iCs/>
        </w:rPr>
        <w:t>See</w:t>
      </w:r>
      <w:r w:rsidR="00044709" w:rsidRPr="00A95FBB">
        <w:t xml:space="preserve"> Section VII</w:t>
      </w:r>
      <w:r w:rsidR="00234352" w:rsidRPr="00A95FBB">
        <w:t>,</w:t>
      </w:r>
      <w:r w:rsidR="00A74751" w:rsidRPr="00A95FBB">
        <w:t xml:space="preserve"> </w:t>
      </w:r>
      <w:r w:rsidR="00044709" w:rsidRPr="00A95FBB">
        <w:t xml:space="preserve">above. </w:t>
      </w:r>
      <w:r w:rsidRPr="00A95FBB">
        <w:t>Hence, a defendant may not be retried for a greater offense following conviction of a lesser</w:t>
      </w:r>
      <w:r w:rsidR="00A14B38" w:rsidRPr="00A95FBB">
        <w:t xml:space="preserve"> </w:t>
      </w:r>
      <w:r w:rsidRPr="00A95FBB">
        <w:t>included offense, and vice versa: the sequence is immaterial. Brown v. Ohio, 432 U.S. 161, 168 (1977). An underlying offense (as the felony in felony murder) is considered a lesser</w:t>
      </w:r>
      <w:r w:rsidR="00A14B38" w:rsidRPr="00A95FBB">
        <w:t xml:space="preserve"> </w:t>
      </w:r>
      <w:r w:rsidRPr="00A95FBB">
        <w:t>included offense, though the greater offense may otherwise be proven without it. Illinois v. Vitale, 447 U.S. 410, 420-21 (1980); State v. Gardner, 315 N.C. 444, 455 (1986</w:t>
      </w:r>
      <w:proofErr w:type="gramStart"/>
      <w:r w:rsidRPr="00A95FBB">
        <w:t>).</w:t>
      </w:r>
      <w:bookmarkEnd w:id="80"/>
      <w:r w:rsidR="00A74751" w:rsidRPr="00A95FBB">
        <w:t>F</w:t>
      </w:r>
      <w:bookmarkStart w:id="82" w:name="_Toc200724678"/>
      <w:proofErr w:type="gramEnd"/>
    </w:p>
    <w:p w14:paraId="624719EE" w14:textId="31612685" w:rsidR="00206892" w:rsidRPr="00206892" w:rsidRDefault="000E5610" w:rsidP="007933EF">
      <w:pPr>
        <w:pStyle w:val="Heading2"/>
        <w:numPr>
          <w:ilvl w:val="0"/>
          <w:numId w:val="21"/>
        </w:numPr>
        <w:rPr>
          <w:vanish/>
          <w:specVanish/>
        </w:rPr>
      </w:pPr>
      <w:bookmarkStart w:id="83" w:name="_Toc203747492"/>
      <w:r w:rsidRPr="00A95FBB">
        <w:t>Subsequent Developments.</w:t>
      </w:r>
      <w:bookmarkEnd w:id="83"/>
    </w:p>
    <w:p w14:paraId="54622EC5" w14:textId="77777777" w:rsidR="00D70151" w:rsidRPr="00D70151" w:rsidRDefault="000E5610" w:rsidP="007A1C56">
      <w:pPr>
        <w:pStyle w:val="BodyH2"/>
        <w:rPr>
          <w:bCs/>
        </w:rPr>
      </w:pPr>
      <w:r w:rsidRPr="00A95FBB">
        <w:t xml:space="preserve"> A defendant may, however, be prosecuted for a greater offense, despite a prior conviction for a lesser</w:t>
      </w:r>
      <w:r w:rsidR="00A14B38" w:rsidRPr="00A95FBB">
        <w:t xml:space="preserve"> </w:t>
      </w:r>
      <w:r w:rsidRPr="00A95FBB">
        <w:t>included offense, when the State was unable to proceed on the greater charge at the outset because additional facts had not occurred or not been discovered. Garrett v. United States, 471 U.S. 773, 792 (1985). Hence, a defendant, convicted of assault, may be prosecuted for murder if the victim later dies</w:t>
      </w:r>
      <w:r w:rsidR="00862B36" w:rsidRPr="00A95FBB">
        <w:t xml:space="preserve"> </w:t>
      </w:r>
      <w:proofErr w:type="gramStart"/>
      <w:r w:rsidR="00862B36" w:rsidRPr="00A95FBB">
        <w:t>as a result of</w:t>
      </w:r>
      <w:proofErr w:type="gramEnd"/>
      <w:r w:rsidR="00862B36" w:rsidRPr="00A95FBB">
        <w:t xml:space="preserve"> the assault</w:t>
      </w:r>
      <w:r w:rsidRPr="00A95FBB">
        <w:t>. State v. Meadows, 272 N.C. 327, 332 (1968); State v. Tripp, 286 N.C. App. 737, 742 (2022); State v. Noffsinger, 286 N.C. App. 729, 734 (2022).</w:t>
      </w:r>
      <w:bookmarkStart w:id="84" w:name="_Toc200724679"/>
      <w:bookmarkEnd w:id="82"/>
    </w:p>
    <w:p w14:paraId="65A4D540" w14:textId="55A910AF" w:rsidR="00206892" w:rsidRPr="00206892" w:rsidRDefault="000E5610" w:rsidP="007933EF">
      <w:pPr>
        <w:pStyle w:val="Heading2"/>
        <w:numPr>
          <w:ilvl w:val="0"/>
          <w:numId w:val="21"/>
        </w:numPr>
        <w:rPr>
          <w:vanish/>
          <w:specVanish/>
        </w:rPr>
      </w:pPr>
      <w:bookmarkStart w:id="85" w:name="_Toc203747493"/>
      <w:r w:rsidRPr="00A95FBB">
        <w:t>Severance.</w:t>
      </w:r>
      <w:bookmarkEnd w:id="85"/>
    </w:p>
    <w:p w14:paraId="502429DB" w14:textId="69DCF77C" w:rsidR="00D70151" w:rsidRPr="00D70151" w:rsidRDefault="000E5610" w:rsidP="007A1C56">
      <w:pPr>
        <w:pStyle w:val="BodyH2"/>
        <w:rPr>
          <w:bCs/>
        </w:rPr>
      </w:pPr>
      <w:r w:rsidRPr="00A95FBB">
        <w:t xml:space="preserve"> A defendant </w:t>
      </w:r>
      <w:r w:rsidR="000B2850">
        <w:t xml:space="preserve">also </w:t>
      </w:r>
      <w:r w:rsidRPr="00A95FBB">
        <w:t>may be prosecuted for the same offense following a conviction when the defendant elected to have the two offenses tried separately. Jeffers v. United States, 432 U.S. 137, 152 (1977); State v. Alston, 82 N.C. App. 372, 377 (1986), aff’d, 323 N.C. 614 (1988).</w:t>
      </w:r>
      <w:bookmarkStart w:id="86" w:name="_Toc200724680"/>
      <w:bookmarkEnd w:id="84"/>
    </w:p>
    <w:p w14:paraId="326A255D" w14:textId="1666A05C" w:rsidR="00206892" w:rsidRPr="00206892" w:rsidRDefault="000E5610" w:rsidP="007933EF">
      <w:pPr>
        <w:pStyle w:val="Heading2"/>
        <w:numPr>
          <w:ilvl w:val="0"/>
          <w:numId w:val="21"/>
        </w:numPr>
        <w:rPr>
          <w:vanish/>
          <w:specVanish/>
        </w:rPr>
      </w:pPr>
      <w:bookmarkStart w:id="87" w:name="_Toc203747494"/>
      <w:r w:rsidRPr="00A95FBB">
        <w:lastRenderedPageBreak/>
        <w:t>Guilty Plea.</w:t>
      </w:r>
      <w:bookmarkEnd w:id="87"/>
    </w:p>
    <w:p w14:paraId="718E78EE" w14:textId="77777777" w:rsidR="00D70151" w:rsidRPr="00D70151" w:rsidRDefault="000E5610" w:rsidP="007A1C56">
      <w:pPr>
        <w:pStyle w:val="BodyH2"/>
        <w:rPr>
          <w:bCs/>
        </w:rPr>
      </w:pPr>
      <w:r w:rsidRPr="00A95FBB">
        <w:t xml:space="preserve"> A defendant may be retried for the same offense if </w:t>
      </w:r>
      <w:r w:rsidR="00286B86" w:rsidRPr="00A95FBB">
        <w:t>the defendant</w:t>
      </w:r>
      <w:r w:rsidRPr="00A95FBB">
        <w:t xml:space="preserve"> is charged with both a greater and a lesser</w:t>
      </w:r>
      <w:r w:rsidR="00A14B38" w:rsidRPr="00A95FBB">
        <w:t xml:space="preserve"> </w:t>
      </w:r>
      <w:r w:rsidRPr="00A95FBB">
        <w:t xml:space="preserve">included offense and, over the </w:t>
      </w:r>
      <w:r w:rsidR="003F14CC" w:rsidRPr="00A95FBB">
        <w:t>S</w:t>
      </w:r>
      <w:r w:rsidRPr="00A95FBB">
        <w:t>tate’s objection, pleads guilty to the lesser. Ohio v. Johnson, 467 U.S. 493, 501-02 (1984); State v. Hamrick, 110 N.C. App. 60, 67 (1993).</w:t>
      </w:r>
      <w:bookmarkStart w:id="88" w:name="_Toc200724681"/>
      <w:bookmarkEnd w:id="86"/>
    </w:p>
    <w:p w14:paraId="7A2D2B81" w14:textId="3A94B4CF" w:rsidR="00206892" w:rsidRPr="00206892" w:rsidRDefault="000E5610" w:rsidP="007933EF">
      <w:pPr>
        <w:pStyle w:val="Heading2"/>
        <w:numPr>
          <w:ilvl w:val="0"/>
          <w:numId w:val="21"/>
        </w:numPr>
        <w:rPr>
          <w:vanish/>
          <w:specVanish/>
        </w:rPr>
      </w:pPr>
      <w:bookmarkStart w:id="89" w:name="_Toc203747495"/>
      <w:r w:rsidRPr="00A95FBB">
        <w:t xml:space="preserve">Breach of </w:t>
      </w:r>
      <w:r w:rsidR="00675038" w:rsidRPr="00A95FBB">
        <w:t>P</w:t>
      </w:r>
      <w:r w:rsidRPr="00A95FBB">
        <w:t xml:space="preserve">lea </w:t>
      </w:r>
      <w:r w:rsidR="00675038" w:rsidRPr="00A95FBB">
        <w:t>Agreement</w:t>
      </w:r>
      <w:r w:rsidRPr="00A95FBB">
        <w:t>.</w:t>
      </w:r>
      <w:bookmarkEnd w:id="89"/>
    </w:p>
    <w:p w14:paraId="3DC2F9EB" w14:textId="77777777" w:rsidR="00D70151" w:rsidRPr="00D70151" w:rsidRDefault="000E5610" w:rsidP="007A1C56">
      <w:pPr>
        <w:pStyle w:val="BodyH2"/>
        <w:rPr>
          <w:bCs/>
        </w:rPr>
      </w:pPr>
      <w:r w:rsidRPr="00A95FBB">
        <w:t xml:space="preserve"> If a defendant breaches a plea agreement pursuant to which </w:t>
      </w:r>
      <w:r w:rsidR="00286B86" w:rsidRPr="00A95FBB">
        <w:t>the defendant</w:t>
      </w:r>
      <w:r w:rsidRPr="00A95FBB">
        <w:t xml:space="preserve"> pled guilty to a lesser</w:t>
      </w:r>
      <w:r w:rsidR="00A14B38" w:rsidRPr="00A95FBB">
        <w:t xml:space="preserve"> </w:t>
      </w:r>
      <w:r w:rsidRPr="00A95FBB">
        <w:t xml:space="preserve">included offense, there is no bar to prosecuting the greater offense. Ricketts v. Adamson, 483 U.S. 1, 11 (1987); State v. Rico, 218 N.C. App. 109, 122 (2012) (Steelman, J., dissenting in part), </w:t>
      </w:r>
      <w:r w:rsidRPr="00200DF4">
        <w:rPr>
          <w:i/>
          <w:iCs/>
        </w:rPr>
        <w:t>rev’d per curiam based on dissent</w:t>
      </w:r>
      <w:r w:rsidRPr="00A95FBB">
        <w:t>, 366 N.C. 327 (2012). A defendant who pled guilty to reduced charges in district court and appeals to superior court for trial de novo – repudiating the plea agreement – may therefore be prosecuted on the original charges. State v. Fox, 34 N.C. App. 576, 579 (1977); cf. G.S. 7A-271(b); G.S. 15A-1431(b).</w:t>
      </w:r>
      <w:bookmarkStart w:id="90" w:name="_Toc200724682"/>
      <w:bookmarkEnd w:id="88"/>
    </w:p>
    <w:p w14:paraId="4B02A776" w14:textId="7BFA7606" w:rsidR="00206892" w:rsidRPr="00206892" w:rsidRDefault="000E5610" w:rsidP="007933EF">
      <w:pPr>
        <w:pStyle w:val="Heading2"/>
        <w:numPr>
          <w:ilvl w:val="0"/>
          <w:numId w:val="21"/>
        </w:numPr>
        <w:rPr>
          <w:vanish/>
          <w:specVanish/>
        </w:rPr>
      </w:pPr>
      <w:bookmarkStart w:id="91" w:name="_Toc203747496"/>
      <w:r w:rsidRPr="00A95FBB">
        <w:t>Overturned Conviction.</w:t>
      </w:r>
      <w:bookmarkEnd w:id="91"/>
    </w:p>
    <w:p w14:paraId="59101E99" w14:textId="77777777" w:rsidR="00D70151" w:rsidRPr="00D70151" w:rsidRDefault="000E5610" w:rsidP="007A1C56">
      <w:pPr>
        <w:pStyle w:val="BodyH2"/>
        <w:rPr>
          <w:bCs/>
        </w:rPr>
      </w:pPr>
      <w:r w:rsidRPr="00A95FBB">
        <w:t xml:space="preserve"> As noted above, retrial for the same offense is not barred by a prior conviction when the defendant succeeds in having </w:t>
      </w:r>
      <w:r w:rsidR="004372DE" w:rsidRPr="00A95FBB">
        <w:t>a</w:t>
      </w:r>
      <w:r w:rsidRPr="00A95FBB">
        <w:t xml:space="preserve"> conviction overturned on grounds other than insufficiency of evidence. Price v. Georgia, 398 U.S. 323, 326-27 (1970); Ball v. United States, 163 U.S. 662, 672 (1896): State v. Britt, 291 N.C. 528, 543 (1977); State v. Stafford, 274 N.C. 519, 532 (1968).</w:t>
      </w:r>
      <w:r w:rsidR="007435B5" w:rsidRPr="00A95FBB">
        <w:t xml:space="preserve"> </w:t>
      </w:r>
      <w:r w:rsidRPr="00A95FBB">
        <w:t xml:space="preserve">If, however, a conviction is overturned due to the insufficiency of evidence, the defendant may not be retried. Burks v. United States, 437 U.S. 1, 18 (1978); State v. Mason, 174 N.C. App. 206, 208 (2005); State v. Callahan, 83 N.C. App. 323, 325 (1986). When an appellate court finds insufficient evidence of a greater offense, but the verdict indicates that jury </w:t>
      </w:r>
      <w:proofErr w:type="gramStart"/>
      <w:r w:rsidRPr="00A95FBB">
        <w:t>found</w:t>
      </w:r>
      <w:proofErr w:type="gramEnd"/>
      <w:r w:rsidRPr="00A95FBB">
        <w:t xml:space="preserve"> all the elements of a lesser</w:t>
      </w:r>
      <w:r w:rsidR="00A14B38" w:rsidRPr="00A95FBB">
        <w:t xml:space="preserve"> </w:t>
      </w:r>
      <w:r w:rsidRPr="00A95FBB">
        <w:t>included offense, the reviewing court may remand for entry of judgment on the lesser</w:t>
      </w:r>
      <w:r w:rsidR="00A14B38" w:rsidRPr="00A95FBB">
        <w:t xml:space="preserve"> </w:t>
      </w:r>
      <w:r w:rsidRPr="00A95FBB">
        <w:t>included offense. Morris v. Mathews, 475 U.S. 237, 246 (1986); State v. Stokes, 367 N.C. 474, 482 (2014); cf. G.S. 15A-1447(c).</w:t>
      </w:r>
      <w:bookmarkStart w:id="92" w:name="_Toc200724683"/>
      <w:bookmarkEnd w:id="90"/>
    </w:p>
    <w:p w14:paraId="615ECA44" w14:textId="5A72B6DC" w:rsidR="00D70151" w:rsidRPr="00D70151" w:rsidRDefault="007004FC" w:rsidP="0043014D">
      <w:pPr>
        <w:pStyle w:val="Heading1"/>
        <w:rPr>
          <w:b w:val="0"/>
          <w:bCs/>
          <w:vanish/>
          <w:specVanish/>
        </w:rPr>
      </w:pPr>
      <w:bookmarkStart w:id="93" w:name="_Toc203747497"/>
      <w:r w:rsidRPr="00A95FBB">
        <w:t>A Prior Mistrial.</w:t>
      </w:r>
      <w:bookmarkEnd w:id="93"/>
    </w:p>
    <w:p w14:paraId="517A7855" w14:textId="77777777" w:rsidR="00D70151" w:rsidRPr="00D70151" w:rsidRDefault="00D70151" w:rsidP="00D70151">
      <w:pPr>
        <w:pStyle w:val="BodyH1"/>
      </w:pPr>
      <w:r>
        <w:t xml:space="preserve"> </w:t>
      </w:r>
      <w:r w:rsidR="007004FC" w:rsidRPr="00A95FBB">
        <w:t xml:space="preserve">The protection against double jeopardy embraces a defendant’s “valued right” to have </w:t>
      </w:r>
      <w:r w:rsidR="004372DE" w:rsidRPr="00A95FBB">
        <w:t>a</w:t>
      </w:r>
      <w:r w:rsidR="007004FC" w:rsidRPr="00A95FBB">
        <w:t xml:space="preserve"> trial completed before a particular tribunal. Arizona v. Washington, 434 U.S. 497, 503 (1978); State v. Schalow, 251 N.C. App. 334, 344 (2016). But retrial is not necessarily barred when a prior trial ended before verdict. A mistrial declared at the defendant’s request or for manifest necessity will not </w:t>
      </w:r>
      <w:proofErr w:type="gramStart"/>
      <w:r w:rsidR="007004FC" w:rsidRPr="00A95FBB">
        <w:t>bar</w:t>
      </w:r>
      <w:proofErr w:type="gramEnd"/>
      <w:r w:rsidR="007004FC" w:rsidRPr="00A95FBB">
        <w:t xml:space="preserve"> retrial. In any event, whether to grant a mistrial lies within the trial court’s discretion. </w:t>
      </w:r>
      <w:proofErr w:type="spellStart"/>
      <w:r w:rsidR="007004FC" w:rsidRPr="00A95FBB">
        <w:t>Renico</w:t>
      </w:r>
      <w:proofErr w:type="spellEnd"/>
      <w:r w:rsidR="007004FC" w:rsidRPr="00A95FBB">
        <w:t xml:space="preserve"> v. Lett, 559 U.S. 766, 774 (2010); State v. Bonney, 329 N.C. 61, 73 (1991).</w:t>
      </w:r>
      <w:bookmarkStart w:id="94" w:name="_Toc200724684"/>
      <w:bookmarkEnd w:id="92"/>
    </w:p>
    <w:p w14:paraId="2B032259" w14:textId="6267383B" w:rsidR="00206892" w:rsidRPr="00206892" w:rsidRDefault="007004FC" w:rsidP="007933EF">
      <w:pPr>
        <w:pStyle w:val="Heading2"/>
        <w:numPr>
          <w:ilvl w:val="0"/>
          <w:numId w:val="22"/>
        </w:numPr>
        <w:spacing w:before="0"/>
        <w:rPr>
          <w:vanish/>
          <w:specVanish/>
        </w:rPr>
      </w:pPr>
      <w:bookmarkStart w:id="95" w:name="_Toc203747498"/>
      <w:r w:rsidRPr="00A95FBB">
        <w:t>Mistrial Upon Defendant’s Request.</w:t>
      </w:r>
      <w:bookmarkEnd w:id="95"/>
    </w:p>
    <w:p w14:paraId="2334AEF3" w14:textId="10B4F19E" w:rsidR="00D70151" w:rsidRPr="00D70151" w:rsidRDefault="0043014D" w:rsidP="007A1C56">
      <w:pPr>
        <w:pStyle w:val="BodyH2"/>
        <w:rPr>
          <w:bCs/>
        </w:rPr>
      </w:pPr>
      <w:r w:rsidRPr="00A95FBB">
        <w:t xml:space="preserve"> </w:t>
      </w:r>
      <w:r w:rsidR="007004FC" w:rsidRPr="00A95FBB">
        <w:t xml:space="preserve">A motion by the defendant for a mistrial is ordinarily assumed to remove any barrier to retrial, even if the motion is necessitated by prosecutorial or judicial error. United States v. Dinitz, 424 U.S. 600, 607 (1976); State v. White, 322 N.C. 506, 510 (1988); State v. Major, 84 N.C. App. 421, 424 (1987); </w:t>
      </w:r>
      <w:r w:rsidR="007004FC" w:rsidRPr="00200DF4">
        <w:rPr>
          <w:i/>
          <w:iCs/>
        </w:rPr>
        <w:t>cf.</w:t>
      </w:r>
      <w:r w:rsidR="007004FC" w:rsidRPr="00A95FBB">
        <w:t xml:space="preserve"> G.S. 15A-1061 (motion for mistrial). Most federal courts hold </w:t>
      </w:r>
      <w:r w:rsidR="00980F73" w:rsidRPr="00A95FBB">
        <w:t xml:space="preserve">that </w:t>
      </w:r>
      <w:r w:rsidR="007004FC" w:rsidRPr="00A95FBB">
        <w:t xml:space="preserve">a defendant’s failure to object constitutes tacit consent even absent a specific request for a mistrial. 6 LaFave, Criminal Procedure § 25.2(a). In noncapital cases, this is </w:t>
      </w:r>
      <w:r w:rsidR="00980F73" w:rsidRPr="00A95FBB">
        <w:t>also</w:t>
      </w:r>
      <w:r w:rsidR="007004FC" w:rsidRPr="00A95FBB">
        <w:t xml:space="preserve"> the rule in North Carolina. State v. Odom, 316 N.C. 306, 310 (1986); State v. Resendiz-Merlos, 268 N.C. App. 109, 116 (2019). </w:t>
      </w:r>
      <w:r w:rsidR="000D5598">
        <w:t xml:space="preserve">In a capital case, a defendant’s failure to object to a mistrial during the first trial does not constitute consent to </w:t>
      </w:r>
      <w:proofErr w:type="gramStart"/>
      <w:r w:rsidR="000D5598">
        <w:t>retrial</w:t>
      </w:r>
      <w:proofErr w:type="gramEnd"/>
      <w:r w:rsidR="007004FC" w:rsidRPr="00A95FBB">
        <w:t>. State v. Lachat, 317 N.C. 73, 85 (1986).</w:t>
      </w:r>
      <w:bookmarkStart w:id="96" w:name="_Toc200724685"/>
      <w:bookmarkEnd w:id="94"/>
    </w:p>
    <w:p w14:paraId="213C3788" w14:textId="7C217AEB" w:rsidR="007004FC" w:rsidRPr="00A95FBB" w:rsidRDefault="007004FC" w:rsidP="007A1C56">
      <w:pPr>
        <w:pStyle w:val="BodyH2"/>
      </w:pPr>
      <w:r w:rsidRPr="00A95FBB">
        <w:t xml:space="preserve">A mistrial upon the defendant’s request will, however, </w:t>
      </w:r>
      <w:proofErr w:type="gramStart"/>
      <w:r w:rsidRPr="00A95FBB">
        <w:t>bar</w:t>
      </w:r>
      <w:proofErr w:type="gramEnd"/>
      <w:r w:rsidRPr="00A95FBB">
        <w:t xml:space="preserve"> retrial when the request was the result of misconduct by the prosecutor intended to goad the defendant into moving for a mistrial. Oregon v. Kennedy, 456 U.S. 667, 679 (1982); </w:t>
      </w:r>
      <w:r w:rsidRPr="00A95FBB">
        <w:lastRenderedPageBreak/>
        <w:t>State v. White, 322 N.C. 506, 511 (1988). Several cases have rejected the argument that the prosecutor was intending to provoke a mistrial:</w:t>
      </w:r>
      <w:bookmarkEnd w:id="96"/>
      <w:r w:rsidRPr="00A95FBB">
        <w:t xml:space="preserve"> </w:t>
      </w:r>
    </w:p>
    <w:p w14:paraId="1E2B1C9F" w14:textId="77777777" w:rsidR="007004FC" w:rsidRPr="00A95FBB" w:rsidRDefault="007004FC" w:rsidP="00A55F03">
      <w:pPr>
        <w:pStyle w:val="ListParagraph1"/>
      </w:pPr>
      <w:r w:rsidRPr="00A95FBB">
        <w:t>The prosecutor’s improper question of the defendant (“Isn’t it true that on the assault on a female conviction you were originally tried on second degree rape?”) was not intended to provoke the defendant into moving for a mistrial where the State’s evidence against the defendant was substantial. State v. White, 322 N.C. 506, 512 (1988).</w:t>
      </w:r>
    </w:p>
    <w:p w14:paraId="76F5CCC9" w14:textId="77777777" w:rsidR="007004FC" w:rsidRPr="00A95FBB" w:rsidRDefault="007004FC" w:rsidP="00A55F03">
      <w:pPr>
        <w:pStyle w:val="ListParagraph1"/>
      </w:pPr>
      <w:r w:rsidRPr="00A95FBB">
        <w:t>The State’s failure to make pretrial disclosure to the defendant that the murder weapon had been tested for fingerprints was not flagrant prosecutorial misconduct intended to provoke the defendant into moving for a mistrial. State v. Walker, 332 N.C. 520, 539 (1992).</w:t>
      </w:r>
    </w:p>
    <w:p w14:paraId="71605D8F" w14:textId="74F61B97" w:rsidR="007004FC" w:rsidRPr="00A95FBB" w:rsidRDefault="007004FC" w:rsidP="00A55F03">
      <w:pPr>
        <w:pStyle w:val="ListParagraph1"/>
      </w:pPr>
      <w:r w:rsidRPr="00A95FBB">
        <w:t>The prosecutor’s improper question of a new defense witness referring obliquely to the defendant’s prior trial was not intended to provoke the defendant into moving for a mistrial. State v. Major, 84 N.C. App. 421, 427 (1987).</w:t>
      </w:r>
    </w:p>
    <w:p w14:paraId="5D3C7846" w14:textId="340F677E" w:rsidR="00206892" w:rsidRPr="00292A11" w:rsidRDefault="007004FC" w:rsidP="007933EF">
      <w:pPr>
        <w:pStyle w:val="Heading2"/>
        <w:numPr>
          <w:ilvl w:val="0"/>
          <w:numId w:val="22"/>
        </w:numPr>
        <w:rPr>
          <w:bCs/>
          <w:vanish/>
          <w:specVanish/>
        </w:rPr>
      </w:pPr>
      <w:bookmarkStart w:id="97" w:name="_Toc203747499"/>
      <w:r w:rsidRPr="00A95FBB">
        <w:t>Mistrial Upon Manifest Necessity.</w:t>
      </w:r>
      <w:bookmarkStart w:id="98" w:name="_Toc200724686"/>
      <w:bookmarkEnd w:id="97"/>
    </w:p>
    <w:p w14:paraId="57E4E3EF" w14:textId="77777777" w:rsidR="00D70151" w:rsidRPr="00D70151" w:rsidRDefault="007004FC" w:rsidP="007A1C56">
      <w:pPr>
        <w:pStyle w:val="BodyH2"/>
        <w:rPr>
          <w:bCs/>
        </w:rPr>
      </w:pPr>
      <w:r w:rsidRPr="00A95FBB">
        <w:t xml:space="preserve"> When a trial court declares a mistrial </w:t>
      </w:r>
      <w:proofErr w:type="spellStart"/>
      <w:r w:rsidRPr="00A95FBB">
        <w:t>sua</w:t>
      </w:r>
      <w:proofErr w:type="spellEnd"/>
      <w:r w:rsidRPr="00A95FBB">
        <w:t xml:space="preserve"> sponte or over the defendant’s objection, retrial is not barred so long as the mistrial was declared based on manifest necessity. Arizona v. Washington, 434 U.S. 497, 505-06 (1978); State v. Odom, 316 N.C. 306, 310 (1986).</w:t>
      </w:r>
      <w:bookmarkEnd w:id="98"/>
      <w:r w:rsidRPr="00A95FBB">
        <w:t xml:space="preserve"> </w:t>
      </w:r>
      <w:bookmarkStart w:id="99" w:name="_Toc200724687"/>
    </w:p>
    <w:p w14:paraId="2DBE56AA" w14:textId="03093DD7" w:rsidR="00292A11" w:rsidRPr="007A1C56" w:rsidRDefault="007004FC" w:rsidP="007933EF">
      <w:pPr>
        <w:pStyle w:val="Heading3"/>
        <w:numPr>
          <w:ilvl w:val="0"/>
          <w:numId w:val="24"/>
        </w:numPr>
        <w:rPr>
          <w:vanish/>
          <w:specVanish/>
        </w:rPr>
      </w:pPr>
      <w:r w:rsidRPr="00292A11">
        <w:t xml:space="preserve">Hung </w:t>
      </w:r>
      <w:r w:rsidRPr="00A95FBB">
        <w:t>Jury.</w:t>
      </w:r>
    </w:p>
    <w:p w14:paraId="7EF0E06E" w14:textId="77777777" w:rsidR="00D70151" w:rsidRPr="00D70151" w:rsidRDefault="007004FC" w:rsidP="00C02F67">
      <w:pPr>
        <w:pStyle w:val="BodyH3"/>
      </w:pPr>
      <w:r w:rsidRPr="00A95FBB">
        <w:t xml:space="preserve"> “It is axiomatic that a jury’s failure to reach a verdict due to a deadlock is a ‘manifest necessity’ </w:t>
      </w:r>
      <w:r w:rsidRPr="00292A11">
        <w:t xml:space="preserve">justifying </w:t>
      </w:r>
      <w:r w:rsidRPr="00A95FBB">
        <w:t xml:space="preserve">the declaration of a mistrial.” State v. Simpson, 303 N.C. 439, 447 (1981). Indeed, a mistrial premised on the trial judge’s belief that the jury is unable to reach a verdict is considered the “classic basis for a proper mistrial.” Arizona v. Washington, 434 U.S. 497, 509 (1978); </w:t>
      </w:r>
      <w:r w:rsidRPr="003F70FD">
        <w:rPr>
          <w:i/>
          <w:iCs/>
        </w:rPr>
        <w:t>accord</w:t>
      </w:r>
      <w:r w:rsidRPr="00A95FBB">
        <w:t xml:space="preserve"> State v. Odom, 316 N.C. 306, 310 (1986). Several North Carolina </w:t>
      </w:r>
      <w:r w:rsidR="00314109" w:rsidRPr="00A95FBB">
        <w:t>s</w:t>
      </w:r>
      <w:r w:rsidRPr="00A95FBB">
        <w:t xml:space="preserve">tatutes specifically recognize a trial court’s authority to declare a mistrial in these circumstances. </w:t>
      </w:r>
      <w:r w:rsidRPr="003F70FD">
        <w:rPr>
          <w:i/>
          <w:iCs/>
        </w:rPr>
        <w:t>See</w:t>
      </w:r>
      <w:r w:rsidRPr="00A95FBB">
        <w:t xml:space="preserve"> G.S. 15A-1063(2) (judge may declare a mistrial if it appears there is no reasonable probability of the jury’s agreement upon a verdict); G.S. 15A-1235(d) (no reasonable possibility of agreement).</w:t>
      </w:r>
      <w:bookmarkStart w:id="100" w:name="_Toc200724688"/>
      <w:bookmarkEnd w:id="99"/>
    </w:p>
    <w:p w14:paraId="23C66598" w14:textId="79DEEA8C" w:rsidR="00292A11" w:rsidRPr="00292A11" w:rsidRDefault="007004FC" w:rsidP="007A1C56">
      <w:pPr>
        <w:pStyle w:val="Heading3"/>
        <w:rPr>
          <w:vanish/>
          <w:specVanish/>
        </w:rPr>
      </w:pPr>
      <w:r w:rsidRPr="00F93FE5">
        <w:t xml:space="preserve">Other </w:t>
      </w:r>
      <w:r w:rsidRPr="00292A11">
        <w:t>Circumstances</w:t>
      </w:r>
      <w:r w:rsidRPr="00F93FE5">
        <w:t>.</w:t>
      </w:r>
    </w:p>
    <w:p w14:paraId="29ABC931" w14:textId="77777777" w:rsidR="00D70151" w:rsidRPr="00D70151" w:rsidRDefault="007004FC" w:rsidP="00C02F67">
      <w:pPr>
        <w:pStyle w:val="BodyH3"/>
      </w:pPr>
      <w:r w:rsidRPr="00A95FBB">
        <w:t xml:space="preserve"> Absent jury deadlock, the propriety of declaring a </w:t>
      </w:r>
      <w:proofErr w:type="gramStart"/>
      <w:r w:rsidRPr="00A95FBB">
        <w:t>mistrial</w:t>
      </w:r>
      <w:proofErr w:type="gramEnd"/>
      <w:r w:rsidRPr="00A95FBB">
        <w:t xml:space="preserve"> depends on the circumstances, not on mechanical application of any abstract formula. Illinois v. Somerville, 410 U.S. 458, 462 (1973); State v. Shuler, 293 N.C. 34, 44 (1977). “Each double jeopardy claim must be considered in light of the particular facts of the case; there is no specific limit to the number of times a defendant may be retried” after a proper mistrial. State v. Simpson, 303 N.C. 439, 447 (1981) (citing Gori v. United States, 367 U.S. 364 (1961)). Still, the court’s power to declare a mistrial must be exercised with caution and only after careful consideration of all evidence. State v. Crocker, 239 N.C. 446, 452 (1954); State v. Resendiz-Merlos, 268 N.C. App. 109, 118 (2019).</w:t>
      </w:r>
      <w:bookmarkEnd w:id="100"/>
    </w:p>
    <w:p w14:paraId="0406BE85" w14:textId="77777777" w:rsidR="00D70151" w:rsidRPr="00D70151" w:rsidRDefault="007004FC" w:rsidP="00C02F67">
      <w:pPr>
        <w:pStyle w:val="BodyH3"/>
      </w:pPr>
      <w:r w:rsidRPr="00A95FBB">
        <w:t xml:space="preserve">In North Carolina, the necessity justifying an order of mistrial may be one of two kinds: physical necessity </w:t>
      </w:r>
      <w:r w:rsidR="00B163AE" w:rsidRPr="00A95FBB">
        <w:t>or</w:t>
      </w:r>
      <w:r w:rsidRPr="00A95FBB">
        <w:t xml:space="preserve"> the necessity of doing justice. State v. Shuler, 293 N.C. 34, 44 (1977); State v. Birckhead, 256 N.C. 494, 505-06 (1962). </w:t>
      </w:r>
    </w:p>
    <w:p w14:paraId="7EA15361" w14:textId="11C7B402" w:rsidR="00292A11" w:rsidRPr="007A1C56" w:rsidRDefault="00B37A97" w:rsidP="007933EF">
      <w:pPr>
        <w:pStyle w:val="Heading4"/>
        <w:numPr>
          <w:ilvl w:val="0"/>
          <w:numId w:val="25"/>
        </w:numPr>
        <w:rPr>
          <w:vanish/>
          <w:specVanish/>
        </w:rPr>
      </w:pPr>
      <w:r w:rsidRPr="00A95FBB">
        <w:t>Physical Necessity.</w:t>
      </w:r>
    </w:p>
    <w:p w14:paraId="14122B9E" w14:textId="77777777" w:rsidR="00D70151" w:rsidRPr="00D70151" w:rsidRDefault="00B37A97" w:rsidP="00C02F67">
      <w:pPr>
        <w:pStyle w:val="BodyH4"/>
      </w:pPr>
      <w:r w:rsidRPr="00A95FBB">
        <w:t xml:space="preserve"> </w:t>
      </w:r>
      <w:r w:rsidR="007004FC" w:rsidRPr="00A95FBB">
        <w:t>Examples of physical necessity include:</w:t>
      </w:r>
    </w:p>
    <w:p w14:paraId="3D157DBD" w14:textId="18201994" w:rsidR="007004FC" w:rsidRPr="00A95FBB" w:rsidRDefault="007004FC" w:rsidP="00A55F03">
      <w:pPr>
        <w:pStyle w:val="ListParagraph2"/>
        <w:ind w:left="2160"/>
      </w:pPr>
      <w:r w:rsidRPr="00A95FBB">
        <w:t xml:space="preserve">When a judge becomes incapacitated by illness during the trial. State v. Boykin, 255 N.C. 432, 442 (1961); State v. Johnson, 60 N.C. App. 369, 373 (1983); </w:t>
      </w:r>
      <w:r w:rsidRPr="00A95FBB">
        <w:rPr>
          <w:i/>
        </w:rPr>
        <w:t>cf.</w:t>
      </w:r>
      <w:r w:rsidRPr="00A95FBB">
        <w:t xml:space="preserve"> G.S. 15A-1224 (judge may declare mistrial if judge is unable to continue presiding at trial due to sickness, etc.)</w:t>
      </w:r>
      <w:r w:rsidR="00DE072B" w:rsidRPr="00A95FBB">
        <w:t>.</w:t>
      </w:r>
    </w:p>
    <w:p w14:paraId="7C85A24F" w14:textId="77777777" w:rsidR="007004FC" w:rsidRPr="00A95FBB" w:rsidRDefault="007004FC" w:rsidP="00A55F03">
      <w:pPr>
        <w:pStyle w:val="ListParagraph2"/>
        <w:ind w:left="2160"/>
      </w:pPr>
      <w:r w:rsidRPr="00A95FBB">
        <w:t xml:space="preserve">When a juror becomes incapacitated by illness. State v. Pfeifer, 266 N.C. 790, 791 (1966); State v. Ledbetter, 4 N.C. App. 303, 308 (1969); </w:t>
      </w:r>
      <w:r w:rsidRPr="00A95FBB">
        <w:rPr>
          <w:i/>
        </w:rPr>
        <w:t>cf.</w:t>
      </w:r>
      <w:r w:rsidRPr="00A95FBB">
        <w:t xml:space="preserve"> State v. Mathis, 258 N.C. App. 651, 659 (2018) (impending absence of one juror </w:t>
      </w:r>
      <w:r w:rsidRPr="00A95FBB">
        <w:lastRenderedPageBreak/>
        <w:t>and judge’s lack of confidence in an alternate).</w:t>
      </w:r>
    </w:p>
    <w:p w14:paraId="2DB0AB0F" w14:textId="77777777" w:rsidR="007004FC" w:rsidRPr="00A95FBB" w:rsidRDefault="007004FC" w:rsidP="00A55F03">
      <w:pPr>
        <w:pStyle w:val="ListParagraph2"/>
        <w:ind w:left="2160"/>
      </w:pPr>
      <w:r w:rsidRPr="00A95FBB">
        <w:t>When a defendant becomes incapacitated by illness. State v. Battle, 267 N.C. 513, 518 (1966) (illness of defense attorney).</w:t>
      </w:r>
    </w:p>
    <w:p w14:paraId="6D9F29C0" w14:textId="77777777" w:rsidR="007004FC" w:rsidRPr="00A95FBB" w:rsidRDefault="007004FC" w:rsidP="00A55F03">
      <w:pPr>
        <w:pStyle w:val="ListParagraph2"/>
        <w:ind w:left="2160"/>
      </w:pPr>
      <w:r w:rsidRPr="00A95FBB">
        <w:t xml:space="preserve">When a material witness becomes incapacitated by illness. </w:t>
      </w:r>
      <w:r w:rsidRPr="00A95FBB">
        <w:rPr>
          <w:i/>
        </w:rPr>
        <w:t>See</w:t>
      </w:r>
      <w:r w:rsidRPr="00A95FBB">
        <w:t xml:space="preserve"> State v. Birckhead, 256 N.C. 494, 506 (1962) (stating general proposition but without specific example).</w:t>
      </w:r>
    </w:p>
    <w:p w14:paraId="0E1199A6" w14:textId="77777777" w:rsidR="007004FC" w:rsidRPr="00A95FBB" w:rsidRDefault="007004FC" w:rsidP="00A55F03">
      <w:pPr>
        <w:pStyle w:val="ListParagraph2"/>
        <w:ind w:left="2160"/>
      </w:pPr>
      <w:r w:rsidRPr="00A95FBB">
        <w:t xml:space="preserve">When the courthouse becomes inaccessible due to adverse weather conditions. </w:t>
      </w:r>
      <w:r w:rsidRPr="00A95FBB">
        <w:rPr>
          <w:i/>
        </w:rPr>
        <w:t>See</w:t>
      </w:r>
      <w:r w:rsidRPr="00A95FBB">
        <w:t xml:space="preserve"> State v. Shoff, 128 N.C. App. 432, 434 (1998) (three to six inches of snow and several jurors unable to get to courthouse); State v. Raynor, 45 N.C. App. 181, 186 (1980) (five inches of snow previously and two to three more inches of snow </w:t>
      </w:r>
      <w:proofErr w:type="gramStart"/>
      <w:r w:rsidRPr="00A95FBB">
        <w:t>expected,</w:t>
      </w:r>
      <w:proofErr w:type="gramEnd"/>
      <w:r w:rsidRPr="00A95FBB">
        <w:t xml:space="preserve"> one juror ill with the flu).</w:t>
      </w:r>
    </w:p>
    <w:p w14:paraId="0E479153" w14:textId="77777777" w:rsidR="00292A11" w:rsidRPr="00BF1C2F" w:rsidRDefault="008C2440" w:rsidP="007A1C56">
      <w:pPr>
        <w:pStyle w:val="Heading4"/>
        <w:rPr>
          <w:vanish/>
          <w:specVanish/>
        </w:rPr>
      </w:pPr>
      <w:r w:rsidRPr="00A95FBB">
        <w:t>Necessity</w:t>
      </w:r>
      <w:r w:rsidR="00205937" w:rsidRPr="00A95FBB">
        <w:t xml:space="preserve"> of Doing Justice</w:t>
      </w:r>
      <w:r w:rsidRPr="00A95FBB">
        <w:t>.</w:t>
      </w:r>
    </w:p>
    <w:p w14:paraId="54402230" w14:textId="17435CB0" w:rsidR="007004FC" w:rsidRPr="00A95FBB" w:rsidRDefault="008C2440" w:rsidP="00C02F67">
      <w:pPr>
        <w:pStyle w:val="BodyH4"/>
      </w:pPr>
      <w:r w:rsidRPr="00A95FBB">
        <w:t xml:space="preserve"> </w:t>
      </w:r>
      <w:r w:rsidR="007004FC" w:rsidRPr="00A95FBB">
        <w:t>The necessity of doing justice arises from a judge’s duty to guard the administration of justice from fraudulent practices, particularly incidents that would render impossible a fair and impartial trial under the law. State v. Sanders, 347 N.C. 587, 599 (1998). Examples of a mistrial supported by the necessity of doing justice include:</w:t>
      </w:r>
    </w:p>
    <w:p w14:paraId="3B6C5DB6" w14:textId="7E1B5E23" w:rsidR="007004FC" w:rsidRPr="00A95FBB" w:rsidRDefault="007004FC" w:rsidP="00A55F03">
      <w:pPr>
        <w:pStyle w:val="ListParagraph15"/>
        <w:ind w:left="2160"/>
      </w:pPr>
      <w:r w:rsidRPr="00A95FBB">
        <w:t>When</w:t>
      </w:r>
      <w:r w:rsidR="000B2850">
        <w:t>,</w:t>
      </w:r>
      <w:r w:rsidRPr="00A95FBB">
        <w:t xml:space="preserve"> during a capital sentencing proceeding</w:t>
      </w:r>
      <w:r w:rsidR="000B2850">
        <w:t>,</w:t>
      </w:r>
      <w:r w:rsidRPr="00A95FBB">
        <w:t xml:space="preserve"> jurors indicated they were not deliberating as instructed, one juror was threatened and berated by other jurors, and one juror admitted to discussing the case with outside parties, a mistrial was justified based on juror misconduct. State v. Sanders, 347 N.C. 587, 599 (1998).</w:t>
      </w:r>
    </w:p>
    <w:p w14:paraId="4753D387" w14:textId="77777777" w:rsidR="007004FC" w:rsidRPr="00A95FBB" w:rsidRDefault="007004FC" w:rsidP="00A55F03">
      <w:pPr>
        <w:pStyle w:val="ListParagraph15"/>
        <w:ind w:left="2160"/>
      </w:pPr>
      <w:r w:rsidRPr="00A95FBB">
        <w:t>When, during a weekend recess of the defendant’s capital trial, one juror was observed traveling to a rendezvous with the defendant, there was evidence of jury tampering to justify a mistrial. State v. Cutshall, 278 N.C. 334, 346 (1971).</w:t>
      </w:r>
    </w:p>
    <w:p w14:paraId="75E6B5A9" w14:textId="42C187C9" w:rsidR="007004FC" w:rsidRPr="00A95FBB" w:rsidRDefault="007004FC" w:rsidP="00A55F03">
      <w:pPr>
        <w:pStyle w:val="ListParagraph15"/>
        <w:ind w:left="2160"/>
      </w:pPr>
      <w:r w:rsidRPr="00A95FBB">
        <w:t xml:space="preserve">When the judge observed an improper conversation between jurors and </w:t>
      </w:r>
      <w:r w:rsidR="000B2850">
        <w:t xml:space="preserve">the </w:t>
      </w:r>
      <w:r w:rsidRPr="00A95FBB">
        <w:t>chief investigating officer and the charges against the defendant involved alleged assaults on police officers, mistrial was warranted to preserve the impartiality of the jury and credibility of the verdict. State v. Montalbano, 73 N.C. App. 259, 263 (1985).</w:t>
      </w:r>
    </w:p>
    <w:p w14:paraId="2ED40982" w14:textId="77777777" w:rsidR="007004FC" w:rsidRPr="00A95FBB" w:rsidRDefault="007004FC" w:rsidP="00A55F03">
      <w:pPr>
        <w:pStyle w:val="ListParagraph15"/>
        <w:ind w:left="2160"/>
      </w:pPr>
      <w:r w:rsidRPr="00A95FBB">
        <w:t>When one of the defendant’s attorneys was called to testify for the State and the testimony was prejudicial to the defendant, the attorney’s conduct prejudiced a fair consideration of the issues warranting a mistrial. State v. Malone, 65 N.C. App. 782, 786 (1984).</w:t>
      </w:r>
    </w:p>
    <w:p w14:paraId="4802560E" w14:textId="07BCE737" w:rsidR="007004FC" w:rsidRPr="00A95FBB" w:rsidRDefault="007004FC" w:rsidP="00A55F03">
      <w:pPr>
        <w:pStyle w:val="ListParagraph15"/>
        <w:ind w:left="2160"/>
      </w:pPr>
      <w:r w:rsidRPr="00A95FBB">
        <w:t xml:space="preserve">When an investigation ordered by the presiding judge revealed that someone was paying jurors to vote for the defendant’s acquittal, there was evidence of jury tampering to justify a mistrial. State v. Cooley, 47 N.C. App. 376, 388 (1980); </w:t>
      </w:r>
      <w:r w:rsidRPr="00A95FBB">
        <w:rPr>
          <w:i/>
        </w:rPr>
        <w:t>cf.</w:t>
      </w:r>
      <w:r w:rsidRPr="00A95FBB">
        <w:t xml:space="preserve"> G.S. 15A-1062 (authorizing mistrial for misconduct by the defendant resulting in prejudice to the State case).</w:t>
      </w:r>
    </w:p>
    <w:p w14:paraId="7964B32A" w14:textId="196EBA8D" w:rsidR="002667C5" w:rsidRPr="002667C5" w:rsidRDefault="007004FC" w:rsidP="007933EF">
      <w:pPr>
        <w:pStyle w:val="Heading2"/>
        <w:numPr>
          <w:ilvl w:val="0"/>
          <w:numId w:val="22"/>
        </w:numPr>
        <w:rPr>
          <w:bCs/>
          <w:vanish/>
          <w:specVanish/>
        </w:rPr>
      </w:pPr>
      <w:bookmarkStart w:id="101" w:name="_Toc203747500"/>
      <w:r w:rsidRPr="00A95FBB">
        <w:t>Mistrial Absent Manifest Necessity.</w:t>
      </w:r>
      <w:bookmarkStart w:id="102" w:name="_Toc200724689"/>
      <w:bookmarkEnd w:id="101"/>
    </w:p>
    <w:p w14:paraId="0106E444" w14:textId="77777777" w:rsidR="00D70151" w:rsidRPr="00D70151" w:rsidRDefault="00066201" w:rsidP="007A1C56">
      <w:pPr>
        <w:pStyle w:val="BodyH2"/>
        <w:rPr>
          <w:bCs/>
        </w:rPr>
      </w:pPr>
      <w:r w:rsidRPr="00A95FBB">
        <w:t xml:space="preserve"> </w:t>
      </w:r>
      <w:r w:rsidR="007004FC" w:rsidRPr="00A95FBB">
        <w:t>The strictest scrutiny is appropriate when the basis for the mistrial is the unavailability of critical prosecution evidence. Arizona v. Washington, 434 U.S. 497, 508 (1978); State v. Grays, 276 N.C. App. 21, 30 (2021). There was no manifest necessity for a mistrial in the following cases:</w:t>
      </w:r>
      <w:bookmarkEnd w:id="102"/>
    </w:p>
    <w:p w14:paraId="7B538BDD" w14:textId="006FBFE7" w:rsidR="007004FC" w:rsidRPr="00A95FBB" w:rsidRDefault="007004FC" w:rsidP="002667C5">
      <w:pPr>
        <w:pStyle w:val="ListParagraph1"/>
      </w:pPr>
      <w:r w:rsidRPr="00A95FBB">
        <w:t xml:space="preserve">When the prosecutor learned about additional evidence (the defendant’s bloody clothes) only after the first witness had testified at trial, the evidence had not been disclosed to the defendant </w:t>
      </w:r>
      <w:r w:rsidR="00F20CAF" w:rsidRPr="00A95FBB">
        <w:t>prior to trial</w:t>
      </w:r>
      <w:r w:rsidRPr="00A95FBB">
        <w:t xml:space="preserve">, and the prosecutor requested a mistrial </w:t>
      </w:r>
      <w:r w:rsidR="003B303A" w:rsidRPr="00A95FBB">
        <w:t xml:space="preserve">to allow time for the </w:t>
      </w:r>
      <w:r w:rsidR="008F5463" w:rsidRPr="00A95FBB">
        <w:t>State Bureau of Investigation</w:t>
      </w:r>
      <w:r w:rsidR="003B303A" w:rsidRPr="00A95FBB">
        <w:t xml:space="preserve"> to conduct a forensic examination of the evidence,</w:t>
      </w:r>
      <w:r w:rsidRPr="00A95FBB">
        <w:t xml:space="preserve"> a mistrial granted over the defendant’s objection was without manifest necessity. State v. Grays, 276 N.C. App. 21, 34 (2021).</w:t>
      </w:r>
    </w:p>
    <w:p w14:paraId="4F29873C" w14:textId="5B0F8DD5" w:rsidR="007004FC" w:rsidRPr="00A95FBB" w:rsidRDefault="007004FC" w:rsidP="002667C5">
      <w:pPr>
        <w:pStyle w:val="ListParagraph1"/>
      </w:pPr>
      <w:r w:rsidRPr="00A95FBB">
        <w:lastRenderedPageBreak/>
        <w:t>When State’s witnesses – the indecent liberties victim, her mother, and her sister – failed to appear at trial and could not be located, and the prosecutor requested a mistrial because the absence of necessary witnesses made it impossible for the trial to proceed in conformity with law, a mistrial declared over the defendant’s objection was without manifest necessity. State v. Resendiz-Merlos, 268 N.C. App. 109, 120 (2019).</w:t>
      </w:r>
    </w:p>
    <w:p w14:paraId="1AE96039" w14:textId="77777777" w:rsidR="006A69AE" w:rsidRPr="00A95FBB" w:rsidRDefault="007004FC" w:rsidP="002667C5">
      <w:pPr>
        <w:pStyle w:val="ListParagraph1"/>
      </w:pPr>
      <w:r w:rsidRPr="00A95FBB">
        <w:t>When the State’s key witness – the “mildly retarded” victim of second-degree sexual offense who was also the defendant’s step-daughter – was called to the stand and refused to respond to questioning, and the prosecutor moved for a mistrial based on unspecified “misconduct,” a mistrial declared over the defendant’s objection was without manifest necessity. State v. Chriscoe, 87 N.C. App. 404, 408 (1987).</w:t>
      </w:r>
    </w:p>
    <w:p w14:paraId="3C95119F" w14:textId="57125526" w:rsidR="00E61AE3" w:rsidRPr="00A95FBB" w:rsidRDefault="007004FC" w:rsidP="002667C5">
      <w:pPr>
        <w:pStyle w:val="ListParagraph1"/>
      </w:pPr>
      <w:r w:rsidRPr="00A95FBB">
        <w:t>When an attempted murder indictment failed to allege malice, and the State requested a mistrial to obtain a valid indictment for attempted murder, the indictment was sufficient to allege attempted manslaughter, and a mistrial declared over the defendant’s objection was without manifest necessity. State v. Schalow, 251 N.C. App. 334, 351 (2016).</w:t>
      </w:r>
    </w:p>
    <w:p w14:paraId="25323107" w14:textId="5E4E6234" w:rsidR="002667C5" w:rsidRPr="002667C5" w:rsidRDefault="007004FC" w:rsidP="007933EF">
      <w:pPr>
        <w:pStyle w:val="Heading2"/>
        <w:numPr>
          <w:ilvl w:val="0"/>
          <w:numId w:val="22"/>
        </w:numPr>
        <w:rPr>
          <w:bCs/>
          <w:vanish/>
          <w:specVanish/>
        </w:rPr>
      </w:pPr>
      <w:bookmarkStart w:id="103" w:name="_Toc203747501"/>
      <w:r w:rsidRPr="00A95FBB">
        <w:t>Finding</w:t>
      </w:r>
      <w:r w:rsidR="00E61AE3" w:rsidRPr="00A95FBB">
        <w:t>s</w:t>
      </w:r>
      <w:r w:rsidRPr="00A95FBB">
        <w:t xml:space="preserve"> of Fact.</w:t>
      </w:r>
      <w:bookmarkEnd w:id="103"/>
    </w:p>
    <w:p w14:paraId="6B972E90" w14:textId="77777777" w:rsidR="00D70151" w:rsidRPr="00D70151" w:rsidRDefault="007004FC" w:rsidP="007A1C56">
      <w:pPr>
        <w:pStyle w:val="BodyH2"/>
        <w:rPr>
          <w:bCs/>
        </w:rPr>
      </w:pPr>
      <w:r w:rsidRPr="00A95FBB">
        <w:t xml:space="preserve"> The Fifth Amendment does not require a judge to make explicit findings justifying a mistrial when the basis appears on the record. Arizona v. Washington, 434 U.S. 497, 517 (1978); State v. Odom, 316 N.C. 306, 310 (1986). By statute, however, before granting a mistrial, the judge must make findings of fact on the record with respect to the grounds for the mistrial. G.S. 15A-1064. The statutory requirement for making of findings of fact is mandatory, and the failure to make such findings would be error. State v. Odom, 316 N.C. 306, 311 (1986).</w:t>
      </w:r>
      <w:bookmarkStart w:id="104" w:name="_Toc200724690"/>
    </w:p>
    <w:p w14:paraId="508CF977" w14:textId="21E24B1E" w:rsidR="002667C5" w:rsidRPr="002667C5" w:rsidRDefault="007004FC" w:rsidP="002667C5">
      <w:pPr>
        <w:pStyle w:val="Heading1"/>
        <w:rPr>
          <w:b w:val="0"/>
          <w:bCs/>
          <w:vanish/>
          <w:specVanish/>
        </w:rPr>
      </w:pPr>
      <w:bookmarkStart w:id="105" w:name="_Toc203747502"/>
      <w:r w:rsidRPr="00A95FBB">
        <w:t>Multiple Punishment</w:t>
      </w:r>
      <w:r w:rsidR="004C3B7A" w:rsidRPr="00A95FBB">
        <w:t>.</w:t>
      </w:r>
      <w:bookmarkEnd w:id="105"/>
    </w:p>
    <w:p w14:paraId="6D44BBB1" w14:textId="77777777" w:rsidR="00D70151" w:rsidRPr="00D70151" w:rsidRDefault="004C3B7A" w:rsidP="002667C5">
      <w:pPr>
        <w:pStyle w:val="BodyH1"/>
      </w:pPr>
      <w:r w:rsidRPr="00A95FBB">
        <w:t xml:space="preserve"> </w:t>
      </w:r>
      <w:r w:rsidR="007004FC" w:rsidRPr="00A95FBB">
        <w:t xml:space="preserve">The Double Jeopardy Clause protects against multiple punishments for the same offense. North Carolina v. Pearce, 395 U.S. 711, 717 (1969); State v. Sparks, 362 N.C. 181, 186 (2008). For purposes of cumulative punishment, it is necessary to distinguish between single-prosecution and successive-prosecution situations. </w:t>
      </w:r>
      <w:r w:rsidR="007004FC" w:rsidRPr="003F70FD">
        <w:rPr>
          <w:i/>
          <w:iCs/>
        </w:rPr>
        <w:t>See</w:t>
      </w:r>
      <w:r w:rsidR="007004FC" w:rsidRPr="00A95FBB">
        <w:t xml:space="preserve"> State v. Gardner, 315 N.C. 444, 451 (1986).</w:t>
      </w:r>
      <w:bookmarkStart w:id="106" w:name="_Toc200724691"/>
      <w:bookmarkEnd w:id="104"/>
    </w:p>
    <w:p w14:paraId="3207DA3C" w14:textId="00E15720" w:rsidR="00B32C3D" w:rsidRPr="002667C5" w:rsidRDefault="007004FC" w:rsidP="007933EF">
      <w:pPr>
        <w:pStyle w:val="Heading2"/>
        <w:keepNext/>
        <w:numPr>
          <w:ilvl w:val="0"/>
          <w:numId w:val="26"/>
        </w:numPr>
        <w:spacing w:before="0"/>
      </w:pPr>
      <w:bookmarkStart w:id="107" w:name="_Toc203747503"/>
      <w:r w:rsidRPr="00A95FBB">
        <w:t>Single Proceeding</w:t>
      </w:r>
      <w:r w:rsidR="004C3B7A" w:rsidRPr="00A95FBB">
        <w:t>.</w:t>
      </w:r>
      <w:bookmarkEnd w:id="107"/>
    </w:p>
    <w:p w14:paraId="6F68C5ED" w14:textId="77777777" w:rsidR="002667C5" w:rsidRPr="007A1C56" w:rsidRDefault="00B32C3D" w:rsidP="007933EF">
      <w:pPr>
        <w:pStyle w:val="Heading3"/>
        <w:numPr>
          <w:ilvl w:val="0"/>
          <w:numId w:val="13"/>
        </w:numPr>
        <w:rPr>
          <w:vanish/>
          <w:specVanish/>
        </w:rPr>
      </w:pPr>
      <w:r w:rsidRPr="00A95FBB">
        <w:t>Legislative Intent.</w:t>
      </w:r>
    </w:p>
    <w:p w14:paraId="2176854F" w14:textId="57A9A6E4" w:rsidR="00D70151" w:rsidRPr="00D70151" w:rsidRDefault="00B32C3D" w:rsidP="00C02F67">
      <w:pPr>
        <w:pStyle w:val="BodyH3"/>
      </w:pPr>
      <w:r w:rsidRPr="00A95FBB">
        <w:t xml:space="preserve"> </w:t>
      </w:r>
      <w:r w:rsidR="007004FC" w:rsidRPr="00A95FBB">
        <w:t>In the single proceeding context, the protection against cumulative punishments is designed to ensure the courts’ sentencing discretion is confined to the limits established by the legislature; hence, the question whether punishments are multiple is essentially one of legislative intent. Ohio v. Johnson, 467 U.S. 493, 499 (1984); State v. Banks, 367 N.C. 652, 655 (2014). There is generally no bar to sentencing a defendant for multiple offenses if each requires proof of a fact that the others do not. State v. Etheridge, 319 N.C. 34, 50 (1987). Hence, a defendant may be sentenced for both:</w:t>
      </w:r>
      <w:bookmarkEnd w:id="106"/>
    </w:p>
    <w:p w14:paraId="7E20EF9B" w14:textId="77777777" w:rsidR="00D70151" w:rsidRPr="00D70151" w:rsidRDefault="00754BD4" w:rsidP="00D70151">
      <w:pPr>
        <w:pStyle w:val="ListParagraph15"/>
      </w:pPr>
      <w:r w:rsidRPr="00A95FBB">
        <w:t>Second-degree rape and statutory rape, State v. Banks, 367 N.C. 652, 659 (2014).</w:t>
      </w:r>
    </w:p>
    <w:p w14:paraId="2CB26B4D" w14:textId="77777777" w:rsidR="00D70151" w:rsidRPr="00D70151" w:rsidRDefault="00754BD4" w:rsidP="00D70151">
      <w:pPr>
        <w:pStyle w:val="ListParagraph15"/>
      </w:pPr>
      <w:r w:rsidRPr="00A95FBB">
        <w:t xml:space="preserve">Attempted murder and felony assault, State v. Tirado, 358 N.C. 551, 579 (2004). </w:t>
      </w:r>
    </w:p>
    <w:p w14:paraId="0F8F315A" w14:textId="77777777" w:rsidR="00D70151" w:rsidRPr="00D70151" w:rsidRDefault="00754BD4" w:rsidP="00D70151">
      <w:pPr>
        <w:pStyle w:val="ListParagraph15"/>
      </w:pPr>
      <w:r w:rsidRPr="00A95FBB">
        <w:t>Insurance fraud and false pretenses, State v. Ray, 274 N.C. App. 240, 245 (2020).</w:t>
      </w:r>
    </w:p>
    <w:p w14:paraId="290476D3" w14:textId="77777777" w:rsidR="00D70151" w:rsidRPr="00D70151" w:rsidRDefault="00754BD4" w:rsidP="00D70151">
      <w:pPr>
        <w:pStyle w:val="ListParagraph15"/>
      </w:pPr>
      <w:r w:rsidRPr="00A95FBB">
        <w:t>Obstruction of justice and accessory after the fact to murder, State v. Cousin, 233 N.C. App. 523, 537 (2014).</w:t>
      </w:r>
    </w:p>
    <w:p w14:paraId="60BBB681" w14:textId="77777777" w:rsidR="00D70151" w:rsidRPr="00D70151" w:rsidRDefault="007004FC" w:rsidP="00C02F67">
      <w:pPr>
        <w:pStyle w:val="BodyH3"/>
      </w:pPr>
      <w:r w:rsidRPr="00A95FBB">
        <w:t>By contrast, a defendant generally may not be sentenced for both a greater and a lesser</w:t>
      </w:r>
      <w:r w:rsidR="00A14B38" w:rsidRPr="00A95FBB">
        <w:t xml:space="preserve"> </w:t>
      </w:r>
      <w:r w:rsidRPr="00A95FBB">
        <w:t xml:space="preserve">included offense. </w:t>
      </w:r>
      <w:r w:rsidRPr="00A95FBB">
        <w:rPr>
          <w:i/>
        </w:rPr>
        <w:t>See</w:t>
      </w:r>
      <w:r w:rsidRPr="00A95FBB">
        <w:t xml:space="preserve"> State v. Hernandez, 293 N.C. App. 283, 302 </w:t>
      </w:r>
      <w:r w:rsidRPr="00A95FBB">
        <w:lastRenderedPageBreak/>
        <w:t xml:space="preserve">(2024) (first-degree kidnapping and underlying sexual offense); State v. Harper, 291 N.C. App. 246, 251 (2023) (impaired driving and felony serious injury by vehicle); State v. Mulder, 233 N.C. App. 82, 94 (2014) (felony fleeing to elude and underlying speeding). </w:t>
      </w:r>
      <w:r w:rsidR="002B68F1" w:rsidRPr="00A95FBB">
        <w:t>Courts thus apply the</w:t>
      </w:r>
      <w:r w:rsidRPr="00A95FBB">
        <w:t xml:space="preserve"> Blockburger test described above.</w:t>
      </w:r>
      <w:r w:rsidR="004C3B7A" w:rsidRPr="00A95FBB">
        <w:rPr>
          <w:i/>
        </w:rPr>
        <w:t xml:space="preserve"> See</w:t>
      </w:r>
      <w:r w:rsidR="004C3B7A" w:rsidRPr="00A95FBB">
        <w:t xml:space="preserve"> Section VII, above.</w:t>
      </w:r>
      <w:r w:rsidR="00D43EA4" w:rsidRPr="00A95FBB">
        <w:t xml:space="preserve"> </w:t>
      </w:r>
      <w:bookmarkStart w:id="108" w:name="_Toc203398137"/>
    </w:p>
    <w:p w14:paraId="4A2C6B69" w14:textId="77777777" w:rsidR="00D70151" w:rsidRPr="00D70151" w:rsidRDefault="007004FC" w:rsidP="00C02F67">
      <w:pPr>
        <w:pStyle w:val="BodyH3"/>
        <w:rPr>
          <w:bCs/>
        </w:rPr>
      </w:pPr>
      <w:r w:rsidRPr="00A95FBB">
        <w:t xml:space="preserve">In this context, however, the Blockburger test is merely a rule of statutory construction. Missouri v. Hunter, 459 U.S. 359, 366 (1983); State v. Gardner, 315 N.C. 444, 455 (1986). “Accordingly, where two statutory provisions proscribe the ‘same offense,’ they are construed not to authorize cumulative punishments in the absence of a clear indication of contrary legislative intent.” Whalen v. United States, 445 U.S. 684, 692 (1980); </w:t>
      </w:r>
      <w:r w:rsidRPr="00A95FBB">
        <w:rPr>
          <w:i/>
          <w:iCs/>
        </w:rPr>
        <w:t>accord</w:t>
      </w:r>
      <w:r w:rsidRPr="00A95FBB">
        <w:t xml:space="preserve"> State v. Baldwin, 240 N.C. App. 413, 424 (2015). When such a contrary legislative intent appears, a defendant may receive cumulative punishments for the same offense without violating double jeopardy protections. State v. Fernandez, 346 N.C. 1, 19 (1997); State v. Elliott, 344 N.C. 242, 277 (1996). “With respect to cumulative sentences imposed in a single trial, the Double Jeopardy Clause does no more than prevent the sentencing court from prescribing greater punishment than the legislature intended.” Missouri v. Hunter, 459 U.S. 359, 366 (1983); </w:t>
      </w:r>
      <w:r w:rsidRPr="00A95FBB">
        <w:rPr>
          <w:i/>
          <w:iCs/>
        </w:rPr>
        <w:t>accord</w:t>
      </w:r>
      <w:r w:rsidRPr="00A95FBB">
        <w:t xml:space="preserve"> State v. Gardner, 315 N.C. 444, 453 (1986)</w:t>
      </w:r>
      <w:bookmarkStart w:id="109" w:name="_Toc200724692"/>
      <w:r w:rsidR="00800A7B" w:rsidRPr="00A95FBB">
        <w:t>.</w:t>
      </w:r>
      <w:bookmarkEnd w:id="108"/>
    </w:p>
    <w:p w14:paraId="657BE4EA" w14:textId="25217FC6" w:rsidR="002667C5" w:rsidRPr="002667C5" w:rsidRDefault="007004FC" w:rsidP="007A1C56">
      <w:pPr>
        <w:pStyle w:val="Heading3"/>
        <w:rPr>
          <w:vanish/>
          <w:specVanish/>
        </w:rPr>
      </w:pPr>
      <w:r w:rsidRPr="00F93FE5">
        <w:t>Kidnapping.</w:t>
      </w:r>
    </w:p>
    <w:p w14:paraId="1F70D750" w14:textId="195ED0C5" w:rsidR="004F4071" w:rsidRPr="00A95FBB" w:rsidRDefault="007004FC" w:rsidP="00C02F67">
      <w:pPr>
        <w:pStyle w:val="BodyH3"/>
      </w:pPr>
      <w:r w:rsidRPr="00A95FBB">
        <w:t xml:space="preserve"> Some North Carolina cases cite double jeopardy in support of the rule that kidnapping requires evidence of restraint beyond that inherent in another felony to warrant a conviction for both. </w:t>
      </w:r>
      <w:r w:rsidRPr="008A74D0">
        <w:rPr>
          <w:i/>
        </w:rPr>
        <w:t>E.g.</w:t>
      </w:r>
      <w:r w:rsidRPr="00A95FBB">
        <w:t xml:space="preserve">, State v. Fulcher, 294 N.C. 503, 523 (1978); State v. Andrews, 294 N.C. App. 590, 593 (2024). The rule is better explained as based on legislative intent in defining the offense of kidnapping. </w:t>
      </w:r>
      <w:r w:rsidRPr="008A74D0">
        <w:rPr>
          <w:i/>
        </w:rPr>
        <w:t>See</w:t>
      </w:r>
      <w:r w:rsidRPr="00A95FBB">
        <w:t xml:space="preserve"> State v. Beatty, 347 N.C. 555, 558 (1998).</w:t>
      </w:r>
      <w:bookmarkStart w:id="110" w:name="_Toc200724693"/>
      <w:bookmarkEnd w:id="109"/>
    </w:p>
    <w:p w14:paraId="5BF964D6" w14:textId="77777777" w:rsidR="002667C5" w:rsidRPr="007A1C56" w:rsidRDefault="007004FC" w:rsidP="007933EF">
      <w:pPr>
        <w:pStyle w:val="Heading3"/>
        <w:numPr>
          <w:ilvl w:val="0"/>
          <w:numId w:val="12"/>
        </w:numPr>
        <w:rPr>
          <w:vanish/>
          <w:specVanish/>
        </w:rPr>
      </w:pPr>
      <w:r w:rsidRPr="00A95FBB">
        <w:t>Arrest of Judgment.</w:t>
      </w:r>
    </w:p>
    <w:p w14:paraId="4F17AC36" w14:textId="5D09CC8F" w:rsidR="00176E8C" w:rsidRPr="00A95FBB" w:rsidRDefault="007004FC" w:rsidP="00C02F67">
      <w:pPr>
        <w:pStyle w:val="BodyH3"/>
      </w:pPr>
      <w:r w:rsidRPr="00A95FBB">
        <w:t xml:space="preserve"> </w:t>
      </w:r>
      <w:r w:rsidR="00176417" w:rsidRPr="00A95FBB">
        <w:t xml:space="preserve">The consolidation of multiple convictions does not alleviate double jeopardy concerns because separate convictions may still give rise to collateral consequences. </w:t>
      </w:r>
      <w:r w:rsidR="00B53B7C" w:rsidRPr="00A95FBB">
        <w:t xml:space="preserve">State v. Etheridge, 319 N.C. 34, 50 (1987); State v. Cromartie, 257 N.C. App. 790, 797 (2018). </w:t>
      </w:r>
      <w:r w:rsidRPr="00A95FBB">
        <w:t>When a defendant is convicted of several offenses and cumulative punishment is not authorized</w:t>
      </w:r>
      <w:r w:rsidR="004B046A" w:rsidRPr="00A95FBB">
        <w:t xml:space="preserve"> by statute</w:t>
      </w:r>
      <w:r w:rsidRPr="00A95FBB">
        <w:t xml:space="preserve">, a court may arrest judgment on some of the convictions. </w:t>
      </w:r>
      <w:r w:rsidRPr="00292A11">
        <w:rPr>
          <w:i/>
        </w:rPr>
        <w:t>See</w:t>
      </w:r>
      <w:r w:rsidRPr="00A95FBB">
        <w:t xml:space="preserve"> State v. China, 370 N.C. 627, 637 (2018); State v. Hernandez, 293 N.C. App. 283, 302 (2024). In that case, the guilty verdicts remain on the docket and judgment may be entered if the other conviction is later reversed on appeal. State v. Pakulski, 326 N.C. 434, 439-40 (1990).</w:t>
      </w:r>
      <w:bookmarkEnd w:id="110"/>
    </w:p>
    <w:p w14:paraId="0EB0AD31" w14:textId="6C3B4538" w:rsidR="007004FC" w:rsidRPr="00A95FBB" w:rsidRDefault="007004FC" w:rsidP="007933EF">
      <w:pPr>
        <w:pStyle w:val="Heading2"/>
        <w:keepNext/>
        <w:numPr>
          <w:ilvl w:val="0"/>
          <w:numId w:val="26"/>
        </w:numPr>
      </w:pPr>
      <w:bookmarkStart w:id="111" w:name="_Toc200724694"/>
      <w:bookmarkStart w:id="112" w:name="_Toc203747504"/>
      <w:r w:rsidRPr="00A95FBB">
        <w:t>Successive Proceedings</w:t>
      </w:r>
      <w:bookmarkEnd w:id="111"/>
      <w:r w:rsidR="002667C5">
        <w:t>.</w:t>
      </w:r>
      <w:bookmarkEnd w:id="112"/>
    </w:p>
    <w:p w14:paraId="29D97CB0" w14:textId="77777777" w:rsidR="002667C5" w:rsidRPr="007A1C56" w:rsidRDefault="007004FC" w:rsidP="007933EF">
      <w:pPr>
        <w:pStyle w:val="Heading3"/>
        <w:numPr>
          <w:ilvl w:val="0"/>
          <w:numId w:val="27"/>
        </w:numPr>
        <w:rPr>
          <w:vanish/>
          <w:specVanish/>
        </w:rPr>
      </w:pPr>
      <w:bookmarkStart w:id="113" w:name="_Toc200724695"/>
      <w:r w:rsidRPr="002667C5">
        <w:t>Credit.</w:t>
      </w:r>
    </w:p>
    <w:p w14:paraId="49DA81B8" w14:textId="77777777" w:rsidR="00D70151" w:rsidRPr="00D70151" w:rsidRDefault="007004FC" w:rsidP="00C02F67">
      <w:pPr>
        <w:pStyle w:val="BodyH3"/>
      </w:pPr>
      <w:r w:rsidRPr="00A95FBB">
        <w:t xml:space="preserve"> As noted above, a defendant who succeeds in having a conviction overturned may be retried.</w:t>
      </w:r>
      <w:r w:rsidR="00444EC2" w:rsidRPr="00A95FBB">
        <w:t xml:space="preserve"> </w:t>
      </w:r>
      <w:r w:rsidR="00444EC2" w:rsidRPr="003F70FD">
        <w:rPr>
          <w:i/>
          <w:iCs/>
        </w:rPr>
        <w:t>See</w:t>
      </w:r>
      <w:r w:rsidR="00444EC2" w:rsidRPr="00A95FBB">
        <w:t xml:space="preserve"> Section </w:t>
      </w:r>
      <w:proofErr w:type="gramStart"/>
      <w:r w:rsidR="00444EC2" w:rsidRPr="00A95FBB">
        <w:t>IX,</w:t>
      </w:r>
      <w:proofErr w:type="gramEnd"/>
      <w:r w:rsidR="00444EC2" w:rsidRPr="00A95FBB">
        <w:t xml:space="preserve"> above.</w:t>
      </w:r>
      <w:r w:rsidRPr="00A95FBB">
        <w:t xml:space="preserve"> If the defendant is convicted upon retrial, however, the protection against multiple punishment requires that credit be given for any sentence already served. North Carolina v. Pearce, 395 U.S. 711, 719-20 (1969); State v. Jones, 294 N.C. 642, 655 (1978).</w:t>
      </w:r>
      <w:bookmarkStart w:id="114" w:name="_Toc200724696"/>
      <w:bookmarkEnd w:id="113"/>
    </w:p>
    <w:p w14:paraId="20E6B750" w14:textId="5EAF5991" w:rsidR="002667C5" w:rsidRPr="002667C5" w:rsidRDefault="007004FC" w:rsidP="007A1C56">
      <w:pPr>
        <w:pStyle w:val="Heading3"/>
        <w:rPr>
          <w:vanish/>
          <w:specVanish/>
        </w:rPr>
      </w:pPr>
      <w:r w:rsidRPr="00F93FE5">
        <w:t>Sentence Enhancement.</w:t>
      </w:r>
    </w:p>
    <w:p w14:paraId="4B99CF01" w14:textId="77777777" w:rsidR="00D70151" w:rsidRPr="00D70151" w:rsidRDefault="007004FC" w:rsidP="00C02F67">
      <w:pPr>
        <w:pStyle w:val="BodyH3"/>
      </w:pPr>
      <w:r w:rsidRPr="00A95FBB">
        <w:t xml:space="preserve"> A sentence enhancement based on prior convictions is not viewed as an additional penalty for prior conduct but as a stiffened penalty for the latest crime. Monge v. California, 524 U.S. 721, 728 (1998); State v. Marshburn, 173 N.C. App. 749, 752 (2005). Hence, the prohibition on double jeopardy is not violated by:</w:t>
      </w:r>
      <w:bookmarkEnd w:id="114"/>
      <w:r w:rsidR="003213EF" w:rsidRPr="00A95FBB">
        <w:t xml:space="preserve"> </w:t>
      </w:r>
    </w:p>
    <w:p w14:paraId="1E2B1508" w14:textId="66A739CB" w:rsidR="003213EF" w:rsidRPr="00A95FBB" w:rsidRDefault="003213EF" w:rsidP="002667C5">
      <w:pPr>
        <w:pStyle w:val="ListParagraph15"/>
      </w:pPr>
      <w:r w:rsidRPr="00A95FBB">
        <w:t xml:space="preserve">Sentencing a defendant as </w:t>
      </w:r>
      <w:proofErr w:type="gramStart"/>
      <w:r w:rsidRPr="00A95FBB">
        <w:t>an</w:t>
      </w:r>
      <w:proofErr w:type="gramEnd"/>
      <w:r w:rsidRPr="00A95FBB">
        <w:t xml:space="preserve"> habitual felon. State v. Todd, 313 N.C. 110, 117 (1985).</w:t>
      </w:r>
    </w:p>
    <w:p w14:paraId="75D29F82" w14:textId="7D6C53EB" w:rsidR="003213EF" w:rsidRPr="00A95FBB" w:rsidRDefault="003213EF" w:rsidP="002667C5">
      <w:pPr>
        <w:pStyle w:val="ListParagraph15"/>
      </w:pPr>
      <w:r w:rsidRPr="00A95FBB">
        <w:lastRenderedPageBreak/>
        <w:t xml:space="preserve">Using the same prior felony conviction to support a conviction for possession of a firearm by a felony and habitual felon status. State v. Williams, 191 N.C. App. 96, 106 (2008). </w:t>
      </w:r>
    </w:p>
    <w:p w14:paraId="5BC0BDBD" w14:textId="77777777" w:rsidR="00FE52F1" w:rsidRPr="00A95FBB" w:rsidRDefault="003213EF" w:rsidP="002667C5">
      <w:pPr>
        <w:pStyle w:val="ListParagraph15"/>
      </w:pPr>
      <w:r w:rsidRPr="00A95FBB">
        <w:t>Sentencing a defendant for habitual impaired driving. State v. Bradley, 181 N.C. App. 557, 560 (2007).</w:t>
      </w:r>
    </w:p>
    <w:p w14:paraId="533B2F65" w14:textId="27AE10A1" w:rsidR="003213EF" w:rsidRPr="00A95FBB" w:rsidRDefault="003213EF" w:rsidP="002667C5">
      <w:pPr>
        <w:pStyle w:val="ListParagraph15"/>
      </w:pPr>
      <w:r w:rsidRPr="00A95FBB">
        <w:t>Sentencing a defendant for habitual misdemeanor assault. State v. Artis, 181 N.C. App. 601, 604 (2007).</w:t>
      </w:r>
    </w:p>
    <w:p w14:paraId="24AA3893" w14:textId="77777777" w:rsidR="00FE52F1" w:rsidRPr="00A95FBB" w:rsidRDefault="003213EF" w:rsidP="00C02F67">
      <w:pPr>
        <w:pStyle w:val="BodyH3"/>
      </w:pPr>
      <w:r w:rsidRPr="00A95FBB">
        <w:t>The same prior convictions used to enhance one sentence may be used again to enhance another. State v. Creason, 123 N.C. App. 495, 501 (1996), aff'd per curiam, 346 N.C. 165 (1997); State v. Smith, 112 N.C. App. 512, 517 (1993).</w:t>
      </w:r>
      <w:bookmarkStart w:id="115" w:name="_Toc200724697"/>
    </w:p>
    <w:p w14:paraId="118B0993" w14:textId="77777777" w:rsidR="007A1C56" w:rsidRPr="007A1C56" w:rsidRDefault="007004FC" w:rsidP="007933EF">
      <w:pPr>
        <w:pStyle w:val="Heading3"/>
        <w:numPr>
          <w:ilvl w:val="0"/>
          <w:numId w:val="12"/>
        </w:numPr>
        <w:rPr>
          <w:vanish/>
          <w:specVanish/>
        </w:rPr>
      </w:pPr>
      <w:r w:rsidRPr="00A95FBB">
        <w:t>Civil Penalties.</w:t>
      </w:r>
    </w:p>
    <w:p w14:paraId="44BE4BB8" w14:textId="76CC2A98" w:rsidR="007004FC" w:rsidRPr="00A95FBB" w:rsidRDefault="007004FC" w:rsidP="00C02F67">
      <w:pPr>
        <w:pStyle w:val="BodyH3"/>
      </w:pPr>
      <w:r w:rsidRPr="00A95FBB">
        <w:t xml:space="preserve"> In addition, a defendant may be subjected to civil penalties based on the same conduct that gave rise to criminal prosecution. The analysis of whether a penalty is properly deemed civil, and hence outside of double jeopardy protection, mirrors that applicable to civil sanctions imposed prior to criminal prosecution</w:t>
      </w:r>
      <w:r w:rsidR="00444EC2" w:rsidRPr="00A95FBB">
        <w:t xml:space="preserve">. </w:t>
      </w:r>
      <w:r w:rsidR="00444EC2" w:rsidRPr="003F70FD">
        <w:rPr>
          <w:i/>
          <w:iCs/>
        </w:rPr>
        <w:t>See</w:t>
      </w:r>
      <w:r w:rsidR="00444EC2" w:rsidRPr="00A95FBB">
        <w:t xml:space="preserve"> Section IV, above.</w:t>
      </w:r>
      <w:r w:rsidRPr="00A95FBB">
        <w:t xml:space="preserve"> The following penalties have been found not to constitute additional criminal punishment:</w:t>
      </w:r>
      <w:bookmarkEnd w:id="115"/>
    </w:p>
    <w:p w14:paraId="536BABC2" w14:textId="77777777" w:rsidR="007004FC" w:rsidRPr="00A95FBB" w:rsidRDefault="007004FC" w:rsidP="007A1C56">
      <w:pPr>
        <w:pStyle w:val="ListParagraph15"/>
      </w:pPr>
      <w:r w:rsidRPr="00A95FBB">
        <w:t xml:space="preserve">Satellite-based monitoring; G.S. 14-208.40A; State v. Wagoner, 199 N.C. App. 321, 332 (2009), </w:t>
      </w:r>
      <w:r w:rsidRPr="00A95FBB">
        <w:rPr>
          <w:i/>
        </w:rPr>
        <w:t>aff’d per curiam</w:t>
      </w:r>
      <w:r w:rsidRPr="00A95FBB">
        <w:t>, 364 N.C. 422 (2010).</w:t>
      </w:r>
    </w:p>
    <w:p w14:paraId="64A90A1D" w14:textId="77777777" w:rsidR="007004FC" w:rsidRPr="00A95FBB" w:rsidRDefault="007004FC" w:rsidP="007A1C56">
      <w:pPr>
        <w:pStyle w:val="ListParagraph15"/>
      </w:pPr>
      <w:r w:rsidRPr="00A95FBB">
        <w:t>Permanent no contact order for convicted sex offender; G.S. 15A-1340.50; State v. Hunt, 221 N.C. App. 48, 63 (2012).</w:t>
      </w:r>
    </w:p>
    <w:p w14:paraId="43F5F62B" w14:textId="77777777" w:rsidR="007004FC" w:rsidRPr="00A95FBB" w:rsidRDefault="007004FC" w:rsidP="007A1C56">
      <w:pPr>
        <w:pStyle w:val="ListParagraph15"/>
      </w:pPr>
      <w:r w:rsidRPr="00A95FBB">
        <w:t>Civil commitment of sex offenders; Seling v. Young, 531 U.S. 250, 267 (2001); Kansas v. Hendricks, 521 U.S. 346, 369 (1997).</w:t>
      </w:r>
    </w:p>
    <w:p w14:paraId="4DF19E38" w14:textId="77777777" w:rsidR="007004FC" w:rsidRPr="00A95FBB" w:rsidRDefault="007004FC" w:rsidP="007A1C56">
      <w:pPr>
        <w:pStyle w:val="ListParagraph15"/>
      </w:pPr>
      <w:r w:rsidRPr="00A95FBB">
        <w:t>Civil action of abatement and forfeiture of proceeds; G.S. 19-2.1; State v. Arellano, 165 N.C. App. 609, 616–17 (2004).</w:t>
      </w:r>
    </w:p>
    <w:p w14:paraId="494FB8F0" w14:textId="77777777" w:rsidR="007004FC" w:rsidRPr="00A95FBB" w:rsidRDefault="007004FC" w:rsidP="007A1C56">
      <w:pPr>
        <w:pStyle w:val="ListParagraph15"/>
      </w:pPr>
      <w:r w:rsidRPr="00A95FBB">
        <w:t>Driver’s license revocation for willful refusal of chemical test; G.S. 20-16.2; Ferguson v. Killens, 129 N.C. App. 131, 140 (1998).</w:t>
      </w:r>
    </w:p>
    <w:p w14:paraId="6DD4BC7D" w14:textId="02B98192" w:rsidR="007004FC" w:rsidRPr="00A95FBB" w:rsidRDefault="007004FC" w:rsidP="007A1C56">
      <w:pPr>
        <w:pStyle w:val="ListParagraph15"/>
      </w:pPr>
      <w:r w:rsidRPr="00A95FBB">
        <w:t>In rem forfeiture of property. United States v. Ursery, 518 U.S. 346, 369 (1997).</w:t>
      </w:r>
    </w:p>
    <w:p w14:paraId="4610DD5F" w14:textId="1BA13F59" w:rsidR="007A1C56" w:rsidRPr="007A1C56" w:rsidRDefault="007004FC" w:rsidP="007A1C56">
      <w:pPr>
        <w:pStyle w:val="Heading1"/>
        <w:rPr>
          <w:vanish/>
          <w:specVanish/>
        </w:rPr>
      </w:pPr>
      <w:bookmarkStart w:id="116" w:name="_Toc200724698"/>
      <w:bookmarkStart w:id="117" w:name="_Toc203747505"/>
      <w:r w:rsidRPr="00A95FBB">
        <w:t>Collateral Estoppel</w:t>
      </w:r>
      <w:bookmarkEnd w:id="116"/>
      <w:r w:rsidR="00B96226" w:rsidRPr="00A95FBB">
        <w:t>.</w:t>
      </w:r>
      <w:bookmarkEnd w:id="117"/>
    </w:p>
    <w:p w14:paraId="6833C5B2" w14:textId="0865D7B5" w:rsidR="0014296E" w:rsidRPr="00A95FBB" w:rsidRDefault="00B96226" w:rsidP="007A1C56">
      <w:pPr>
        <w:pStyle w:val="BodyH1"/>
      </w:pPr>
      <w:r w:rsidRPr="00A95FBB">
        <w:t xml:space="preserve"> Collateral </w:t>
      </w:r>
      <w:proofErr w:type="gramStart"/>
      <w:r w:rsidRPr="00A95FBB">
        <w:t>estoppel “means</w:t>
      </w:r>
      <w:proofErr w:type="gramEnd"/>
      <w:r w:rsidRPr="00A95FBB">
        <w:t xml:space="preserve"> simply that when an issue of ultimate fact has once been determined by a valid and final judgment, that issue cannot again be litigated between the same parties in any future </w:t>
      </w:r>
      <w:proofErr w:type="gramStart"/>
      <w:r w:rsidRPr="00A95FBB">
        <w:t>lawsuit.”</w:t>
      </w:r>
      <w:proofErr w:type="gramEnd"/>
      <w:r w:rsidR="00030049" w:rsidRPr="00A95FBB">
        <w:t xml:space="preserve"> Ashe v. Swenson, 397 U.S. 436, 443 (1970); </w:t>
      </w:r>
      <w:r w:rsidR="00030049" w:rsidRPr="00A95FBB">
        <w:rPr>
          <w:i/>
          <w:iCs/>
        </w:rPr>
        <w:t>accord</w:t>
      </w:r>
      <w:r w:rsidR="00030049" w:rsidRPr="00A95FBB">
        <w:t xml:space="preserve"> State v. Adams, 347 N.C. 48, 61 (1997); State v. Brooks, 337 N.C. 132, 147 (1994).</w:t>
      </w:r>
    </w:p>
    <w:p w14:paraId="01E46E37" w14:textId="4C87EB2A" w:rsidR="007A1C56" w:rsidRPr="007A1C56" w:rsidRDefault="007004FC" w:rsidP="007933EF">
      <w:pPr>
        <w:pStyle w:val="Heading2"/>
        <w:numPr>
          <w:ilvl w:val="0"/>
          <w:numId w:val="37"/>
        </w:numPr>
        <w:spacing w:before="0"/>
        <w:rPr>
          <w:vanish/>
          <w:specVanish/>
        </w:rPr>
      </w:pPr>
      <w:bookmarkStart w:id="118" w:name="_Toc200724699"/>
      <w:bookmarkStart w:id="119" w:name="_Toc203747506"/>
      <w:r w:rsidRPr="007A1C56">
        <w:t>As Bar to Prosecution.</w:t>
      </w:r>
      <w:bookmarkEnd w:id="118"/>
      <w:bookmarkEnd w:id="119"/>
    </w:p>
    <w:p w14:paraId="2A1C2C77" w14:textId="564A77D8" w:rsidR="00310A0F" w:rsidRPr="00A95FBB" w:rsidRDefault="004234CD" w:rsidP="007A1C56">
      <w:pPr>
        <w:pStyle w:val="BodyH2"/>
      </w:pPr>
      <w:r w:rsidRPr="00A95FBB">
        <w:rPr>
          <w:rStyle w:val="Heading2Char"/>
        </w:rPr>
        <w:t xml:space="preserve"> </w:t>
      </w:r>
      <w:r w:rsidR="007004FC" w:rsidRPr="00A95FBB">
        <w:t>The doctrine of collateral estoppel (i.e., issue preclusion) is embodied in the Fifth Amendment guarantee against double jeopardy. Schiro v. Farley, 510 U.S. 222, 232 (1994); State v. McKenzie, 292 N.C. 170, 174 (1977); State v. Davis, 106 N.C. App. 596, 600 (1992).</w:t>
      </w:r>
      <w:r w:rsidR="0097342A" w:rsidRPr="00A95FBB">
        <w:t xml:space="preserve"> </w:t>
      </w:r>
      <w:r w:rsidR="007004FC" w:rsidRPr="00A95FBB">
        <w:t xml:space="preserve">Hence, an acquittal bars not only a later trial for the same offense, but also a later trial for a different offense, if the later trial requires relitigation of factual issues already resolved in the defendant’s favor in the prior trial. Brown v. Ohio, 432 U.S. 161, 166 n.6 (1977). “Subsequent prosecution is barred,” however, “only if the jury could not rationally have based its verdict on an issue other than the one the defendant seeks to foreclose.” State v. Edwards, 310 N.C. 142, 145 (1984); </w:t>
      </w:r>
      <w:r w:rsidR="007004FC" w:rsidRPr="00A95FBB">
        <w:rPr>
          <w:i/>
          <w:iCs/>
        </w:rPr>
        <w:t>accord</w:t>
      </w:r>
      <w:r w:rsidR="007004FC" w:rsidRPr="00A95FBB">
        <w:t xml:space="preserve"> State v. Jones, 256 N.C. App. 266, 274 (2017).</w:t>
      </w:r>
      <w:r w:rsidR="006E61F9" w:rsidRPr="00A95FBB">
        <w:t xml:space="preserve"> </w:t>
      </w:r>
    </w:p>
    <w:p w14:paraId="320AA4FB" w14:textId="67FB2C24" w:rsidR="007933EF" w:rsidRDefault="007004FC" w:rsidP="007933EF">
      <w:pPr>
        <w:pStyle w:val="BodyH2"/>
      </w:pPr>
      <w:r w:rsidRPr="00A95FBB">
        <w:t xml:space="preserve">It is often difficult to determine on a general verdict whether the issue in question was necessarily decided in the defendant’s favor. State v. McKenzie, 292 N.C. 170, 175 (1977). The determination requires an examination of the entire record of the prior </w:t>
      </w:r>
      <w:proofErr w:type="gramStart"/>
      <w:r w:rsidRPr="00A95FBB">
        <w:t>proceeding</w:t>
      </w:r>
      <w:proofErr w:type="gramEnd"/>
      <w:r w:rsidRPr="00A95FBB">
        <w:t xml:space="preserve">, including the pleadings, evidence, charge, and other relevant </w:t>
      </w:r>
      <w:proofErr w:type="gramStart"/>
      <w:r w:rsidRPr="00A95FBB">
        <w:t>matter</w:t>
      </w:r>
      <w:proofErr w:type="gramEnd"/>
      <w:r w:rsidRPr="00A95FBB">
        <w:t xml:space="preserve">. Schiro v. Farley, 510 U.S. 222, 236 (1994); State v. McKenzie, 292 N.C. 170, 174-75 (1977); State v. Tew, 149 N.C. App. 456, 460 (2002). The determinative </w:t>
      </w:r>
      <w:r w:rsidRPr="00A95FBB">
        <w:lastRenderedPageBreak/>
        <w:t xml:space="preserve">factor is not the introduction of the same evidence, but rather whether it is </w:t>
      </w:r>
      <w:proofErr w:type="gramStart"/>
      <w:r w:rsidRPr="00A95FBB">
        <w:t>absolutely necessary</w:t>
      </w:r>
      <w:proofErr w:type="gramEnd"/>
      <w:r w:rsidRPr="00A95FBB">
        <w:t xml:space="preserve"> to a conviction in the second proceeding that the second jury </w:t>
      </w:r>
      <w:proofErr w:type="gramStart"/>
      <w:r w:rsidRPr="00A95FBB">
        <w:t>find</w:t>
      </w:r>
      <w:proofErr w:type="gramEnd"/>
      <w:r w:rsidRPr="00A95FBB">
        <w:t xml:space="preserve"> against the defendant on an issue upon which the first jury found in </w:t>
      </w:r>
      <w:r w:rsidR="003451B3" w:rsidRPr="00A95FBB">
        <w:t>the defendant’s</w:t>
      </w:r>
      <w:r w:rsidRPr="00A95FBB">
        <w:t xml:space="preserve"> favor. State v. Edwards, 310 N.C. 142, 145 (1984); State v. Alston, 323 N.C. 614, 617 (1988). </w:t>
      </w:r>
      <w:r w:rsidR="003451B3" w:rsidRPr="00A95FBB">
        <w:t>The d</w:t>
      </w:r>
      <w:r w:rsidRPr="00A95FBB">
        <w:t>efendant has the burden of establishing that the issue s</w:t>
      </w:r>
      <w:r w:rsidR="00286B86" w:rsidRPr="00A95FBB">
        <w:t>ought to be foreclosed</w:t>
      </w:r>
      <w:r w:rsidRPr="00A95FBB">
        <w:t xml:space="preserve"> was </w:t>
      </w:r>
      <w:proofErr w:type="gramStart"/>
      <w:r w:rsidRPr="00A95FBB">
        <w:t>actually decided</w:t>
      </w:r>
      <w:proofErr w:type="gramEnd"/>
      <w:r w:rsidRPr="00A95FBB">
        <w:t xml:space="preserve"> in the prior proceeding. State v. Carter, 357 N.C. 345, 355 (2003); State v. Spargo, 187 N.C. App. 115, 119 (2007).</w:t>
      </w:r>
      <w:bookmarkStart w:id="120" w:name="_Toc200724700"/>
    </w:p>
    <w:p w14:paraId="2FC58BEE" w14:textId="74FD7A93" w:rsidR="007A1C56" w:rsidRPr="000A1BAB" w:rsidRDefault="007004FC" w:rsidP="000A1BAB">
      <w:pPr>
        <w:pStyle w:val="Heading3"/>
        <w:numPr>
          <w:ilvl w:val="0"/>
          <w:numId w:val="46"/>
        </w:numPr>
        <w:rPr>
          <w:vanish/>
          <w:specVanish/>
        </w:rPr>
      </w:pPr>
      <w:r w:rsidRPr="00A95FBB">
        <w:t>Identity of Parties and Issues.</w:t>
      </w:r>
      <w:bookmarkEnd w:id="120"/>
    </w:p>
    <w:p w14:paraId="1DE39CB8" w14:textId="0DA5E16B" w:rsidR="00836F35" w:rsidRPr="00A95FBB" w:rsidRDefault="00841981" w:rsidP="00F27D0B">
      <w:pPr>
        <w:pStyle w:val="BodyH3"/>
      </w:pPr>
      <w:r w:rsidRPr="00A95FBB">
        <w:t xml:space="preserve"> </w:t>
      </w:r>
      <w:r w:rsidR="007004FC" w:rsidRPr="00A95FBB">
        <w:t xml:space="preserve">Collateral estoppel requires both (1) an identity of parties and (2) an identity of issues. State v. O'Rourke, 114 N.C. App. 435, 439 (1994). </w:t>
      </w:r>
      <w:proofErr w:type="gramStart"/>
      <w:r w:rsidR="007004FC" w:rsidRPr="00A95FBB">
        <w:t>With regard to</w:t>
      </w:r>
      <w:proofErr w:type="gramEnd"/>
      <w:r w:rsidR="007004FC" w:rsidRPr="00A95FBB">
        <w:t xml:space="preserve"> </w:t>
      </w:r>
      <w:r w:rsidR="00B644DB" w:rsidRPr="00A95FBB">
        <w:t xml:space="preserve">the </w:t>
      </w:r>
      <w:r w:rsidR="007004FC" w:rsidRPr="00A95FBB">
        <w:t xml:space="preserve">parties, there </w:t>
      </w:r>
      <w:proofErr w:type="gramStart"/>
      <w:r w:rsidR="007004FC" w:rsidRPr="00A95FBB">
        <w:t>either must be</w:t>
      </w:r>
      <w:proofErr w:type="gramEnd"/>
      <w:r w:rsidR="007004FC" w:rsidRPr="00A95FBB">
        <w:t xml:space="preserve"> an identity of parties or the party against whom the defense is asserted must have been in privity with a party in the prior</w:t>
      </w:r>
      <w:r w:rsidR="007B2AA1" w:rsidRPr="00A95FBB">
        <w:t xml:space="preserve"> </w:t>
      </w:r>
      <w:r w:rsidR="007004FC" w:rsidRPr="00A95FBB">
        <w:t>proceeding.</w:t>
      </w:r>
      <w:r w:rsidR="007B2AA1" w:rsidRPr="00A95FBB">
        <w:t xml:space="preserve"> </w:t>
      </w:r>
      <w:r w:rsidR="007004FC" w:rsidRPr="00A95FBB">
        <w:t xml:space="preserve">State v. Brooks, 337 N.C. 132, 147 (1994). In general, privity involves a person so identified in interest with another that </w:t>
      </w:r>
      <w:r w:rsidR="00BD5A85" w:rsidRPr="00A95FBB">
        <w:t>the person</w:t>
      </w:r>
      <w:r w:rsidR="007004FC" w:rsidRPr="00A95FBB">
        <w:t xml:space="preserve"> represents the same legal right, and courts will look beyond the nominal party to the real party or parties in interest. State v. Summers, 351 N.C. 620, 623 (2000).</w:t>
      </w:r>
    </w:p>
    <w:p w14:paraId="1701F802" w14:textId="1E7E7F28" w:rsidR="009A5EC0" w:rsidRPr="00A95FBB" w:rsidRDefault="007004FC" w:rsidP="00C02F67">
      <w:pPr>
        <w:pStyle w:val="BodyH3"/>
      </w:pPr>
      <w:proofErr w:type="gramStart"/>
      <w:r w:rsidRPr="00A95FBB">
        <w:t>With regard to</w:t>
      </w:r>
      <w:proofErr w:type="gramEnd"/>
      <w:r w:rsidRPr="00A95FBB">
        <w:t xml:space="preserve"> the issues, the North Carolina Supreme Court has recognized a four-factor test:</w:t>
      </w:r>
      <w:r w:rsidR="001904A2" w:rsidRPr="00A95FBB">
        <w:t xml:space="preserve"> </w:t>
      </w:r>
    </w:p>
    <w:p w14:paraId="4CA3B245" w14:textId="6021EE6D" w:rsidR="001904A2" w:rsidRPr="00A95FBB" w:rsidRDefault="001904A2" w:rsidP="007933EF">
      <w:pPr>
        <w:pStyle w:val="BodyH3"/>
        <w:numPr>
          <w:ilvl w:val="0"/>
          <w:numId w:val="32"/>
        </w:numPr>
        <w:ind w:left="2070"/>
      </w:pPr>
      <w:r w:rsidRPr="00A95FBB">
        <w:t xml:space="preserve">the issues must be the same as those involved in </w:t>
      </w:r>
      <w:proofErr w:type="gramStart"/>
      <w:r w:rsidRPr="00A95FBB">
        <w:t>the prior</w:t>
      </w:r>
      <w:proofErr w:type="gramEnd"/>
      <w:r w:rsidRPr="00A95FBB">
        <w:t xml:space="preserve"> action, </w:t>
      </w:r>
    </w:p>
    <w:p w14:paraId="1BD60AF3" w14:textId="77777777" w:rsidR="001904A2" w:rsidRPr="00A95FBB" w:rsidRDefault="001904A2" w:rsidP="007933EF">
      <w:pPr>
        <w:pStyle w:val="BodyH3"/>
        <w:numPr>
          <w:ilvl w:val="0"/>
          <w:numId w:val="32"/>
        </w:numPr>
        <w:ind w:left="2070"/>
      </w:pPr>
      <w:r w:rsidRPr="00A95FBB">
        <w:t xml:space="preserve">the issues must have been raised and </w:t>
      </w:r>
      <w:proofErr w:type="gramStart"/>
      <w:r w:rsidRPr="00A95FBB">
        <w:t>actually litigated</w:t>
      </w:r>
      <w:proofErr w:type="gramEnd"/>
      <w:r w:rsidRPr="00A95FBB">
        <w:t xml:space="preserve"> in </w:t>
      </w:r>
      <w:proofErr w:type="gramStart"/>
      <w:r w:rsidRPr="00A95FBB">
        <w:t>the prior</w:t>
      </w:r>
      <w:proofErr w:type="gramEnd"/>
      <w:r w:rsidRPr="00A95FBB">
        <w:t xml:space="preserve"> action, </w:t>
      </w:r>
    </w:p>
    <w:p w14:paraId="2951E7AF" w14:textId="77777777" w:rsidR="001904A2" w:rsidRPr="00A95FBB" w:rsidRDefault="001904A2" w:rsidP="007933EF">
      <w:pPr>
        <w:pStyle w:val="BodyH3"/>
        <w:numPr>
          <w:ilvl w:val="0"/>
          <w:numId w:val="32"/>
        </w:numPr>
        <w:ind w:left="2070"/>
      </w:pPr>
      <w:r w:rsidRPr="00A95FBB">
        <w:t xml:space="preserve">the issues must have been material and relevant to the disposition of </w:t>
      </w:r>
      <w:proofErr w:type="gramStart"/>
      <w:r w:rsidRPr="00A95FBB">
        <w:t>the prior</w:t>
      </w:r>
      <w:proofErr w:type="gramEnd"/>
      <w:r w:rsidRPr="00A95FBB">
        <w:t xml:space="preserve"> action, and </w:t>
      </w:r>
    </w:p>
    <w:p w14:paraId="3D480FF2" w14:textId="3DFFE628" w:rsidR="001904A2" w:rsidRPr="00A95FBB" w:rsidRDefault="001904A2" w:rsidP="007933EF">
      <w:pPr>
        <w:pStyle w:val="BodyH3"/>
        <w:numPr>
          <w:ilvl w:val="0"/>
          <w:numId w:val="32"/>
        </w:numPr>
        <w:ind w:left="2070"/>
      </w:pPr>
      <w:proofErr w:type="gramStart"/>
      <w:r w:rsidRPr="00A95FBB">
        <w:t>the</w:t>
      </w:r>
      <w:proofErr w:type="gramEnd"/>
      <w:r w:rsidRPr="00A95FBB">
        <w:t xml:space="preserve"> determination of the issues in the prior action must have been necessary and essential to the resulting judgment. State v. Summers, 351 N.C. 620, 623 (2000); State v. Spargo, 187 N.C. App. 115, 120 (2007).</w:t>
      </w:r>
    </w:p>
    <w:p w14:paraId="696EB828" w14:textId="3D35353C" w:rsidR="0041394C" w:rsidRPr="00A95FBB" w:rsidRDefault="007004FC" w:rsidP="00C02F67">
      <w:pPr>
        <w:pStyle w:val="BodyH3"/>
        <w:ind w:firstLine="0"/>
      </w:pPr>
      <w:r w:rsidRPr="00A95FBB">
        <w:t>When the issues are not identical, subsequent prosecution is not barred. Hence, retrial was permitted in the following circumstances:</w:t>
      </w:r>
    </w:p>
    <w:p w14:paraId="49373C12" w14:textId="52B79F7F" w:rsidR="007004FC" w:rsidRPr="00A95FBB" w:rsidRDefault="007004FC" w:rsidP="00C02F67">
      <w:pPr>
        <w:pStyle w:val="ListParagraph15"/>
      </w:pPr>
      <w:r w:rsidRPr="00A95FBB">
        <w:t>Prior acquittal for possession of a firearm by a felon did not preclude later trial on armed robbery, State v. Alston, 323 N.C. 614, 616 (1988).</w:t>
      </w:r>
    </w:p>
    <w:p w14:paraId="67085BE6" w14:textId="77777777" w:rsidR="007004FC" w:rsidRPr="00A95FBB" w:rsidRDefault="007004FC" w:rsidP="00C02F67">
      <w:pPr>
        <w:pStyle w:val="ListParagraph15"/>
      </w:pPr>
      <w:r w:rsidRPr="00A95FBB">
        <w:t>Prior conviction for manslaughter did not preclude later trial on burglary, State v. Warren, 313 N.C. 254, 264 (1985).</w:t>
      </w:r>
    </w:p>
    <w:p w14:paraId="46BA6CD5" w14:textId="77777777" w:rsidR="007004FC" w:rsidRPr="00A95FBB" w:rsidRDefault="007004FC" w:rsidP="00C02F67">
      <w:pPr>
        <w:pStyle w:val="ListParagraph15"/>
      </w:pPr>
      <w:r w:rsidRPr="00A95FBB">
        <w:t>Prior acquittal of false pretenses did not preclude later trial for false pretenses occurring at a different time, State v. Spargo, 187 N.C. App. 115, 122 (2007).</w:t>
      </w:r>
    </w:p>
    <w:p w14:paraId="78EDFEE4" w14:textId="77777777" w:rsidR="007004FC" w:rsidRPr="00A95FBB" w:rsidRDefault="007004FC" w:rsidP="00C02F67">
      <w:pPr>
        <w:pStyle w:val="ListParagraph15"/>
      </w:pPr>
      <w:r w:rsidRPr="00A95FBB">
        <w:t>Prior acquittal for assault on a government official did not preclude later trial for resist, delay, or obstruct, State v. Newman, 186 N.C. App. 382, 389 (2007).</w:t>
      </w:r>
    </w:p>
    <w:p w14:paraId="45B8D513" w14:textId="77777777" w:rsidR="00A32547" w:rsidRPr="00A95FBB" w:rsidRDefault="007004FC" w:rsidP="00C02F67">
      <w:pPr>
        <w:pStyle w:val="ListParagraph15"/>
      </w:pPr>
      <w:r w:rsidRPr="00A95FBB">
        <w:t>Prior acquittal for attempted murder did not preclude later trial on assault with intent to kill. State v. Tew, 149 N.C. App. 456, 461 (2002).</w:t>
      </w:r>
    </w:p>
    <w:p w14:paraId="27F5364E" w14:textId="7BCFFA46" w:rsidR="00010FFF" w:rsidRPr="00A95FBB" w:rsidRDefault="007004FC" w:rsidP="00C02F67">
      <w:pPr>
        <w:pStyle w:val="ListParagraph15"/>
      </w:pPr>
      <w:r w:rsidRPr="00A95FBB">
        <w:t>Prior acquittal of armed robbery did not preclude later trial on accessory after the fact, State v. Cox, 37 N.C. App. 356, 360 (1978).</w:t>
      </w:r>
      <w:bookmarkStart w:id="121" w:name="_Toc200724701"/>
    </w:p>
    <w:p w14:paraId="4467C2AB" w14:textId="462E2B7F" w:rsidR="00C02F67" w:rsidRPr="000A1BAB" w:rsidRDefault="007004FC" w:rsidP="000A1BAB">
      <w:pPr>
        <w:pStyle w:val="Heading3"/>
        <w:numPr>
          <w:ilvl w:val="0"/>
          <w:numId w:val="45"/>
        </w:numPr>
        <w:rPr>
          <w:vanish/>
          <w:specVanish/>
        </w:rPr>
      </w:pPr>
      <w:r w:rsidRPr="00F93FE5">
        <w:t>Codification.</w:t>
      </w:r>
    </w:p>
    <w:p w14:paraId="4E92AFAF" w14:textId="74478EC2" w:rsidR="00CC3C3F" w:rsidRPr="00A95FBB" w:rsidRDefault="00C02F67" w:rsidP="00C02F67">
      <w:pPr>
        <w:pStyle w:val="BodyH3"/>
      </w:pPr>
      <w:r>
        <w:t xml:space="preserve"> </w:t>
      </w:r>
      <w:r w:rsidR="007004FC" w:rsidRPr="00A95FBB">
        <w:t>By statute, a defendant upon motion is entitled to a dismissal of charges if the trial court determines that “[a]n issue of fact or law essential to a successful prosecution has been previously adjudicated in favor of the defendant in a prior action between the parties.” G.S. 15A-954(a)(7). This is a codification of the common law principle of collateral estoppel as applied in criminal cases. State v. Spargo, 187 N.C. App. 115, 119 (2007).</w:t>
      </w:r>
      <w:bookmarkStart w:id="122" w:name="_Toc200724702"/>
      <w:bookmarkEnd w:id="121"/>
    </w:p>
    <w:p w14:paraId="4B537F32" w14:textId="77777777" w:rsidR="00C02F67" w:rsidRPr="00C02F67" w:rsidRDefault="007004FC" w:rsidP="007933EF">
      <w:pPr>
        <w:pStyle w:val="Heading3"/>
        <w:numPr>
          <w:ilvl w:val="0"/>
          <w:numId w:val="12"/>
        </w:numPr>
        <w:rPr>
          <w:vanish/>
          <w:specVanish/>
        </w:rPr>
      </w:pPr>
      <w:r w:rsidRPr="00A95FBB">
        <w:t>Limitations</w:t>
      </w:r>
      <w:r w:rsidRPr="007A1C56">
        <w:rPr>
          <w:bCs/>
        </w:rPr>
        <w:t>.</w:t>
      </w:r>
    </w:p>
    <w:p w14:paraId="1D1F4416" w14:textId="783CB0B1" w:rsidR="00A245FD" w:rsidRPr="00A95FBB" w:rsidRDefault="007004FC" w:rsidP="00C02F67">
      <w:pPr>
        <w:pStyle w:val="BodyH3"/>
      </w:pPr>
      <w:r w:rsidRPr="00A95FBB">
        <w:t xml:space="preserve"> “[T]he doctrine of collateral estoppel applies only to an issue of ultimate fact determined by a final judgment.” State v. Macon, 227 N.C. App. 152, 157 (2013). Hence, after a mistrial, the judge is not bound by prior evidentiary rulings. State v. Knight, 245 N.C. App. 532, 539 (2016), aff'd as modified, 369 </w:t>
      </w:r>
      <w:r w:rsidRPr="00A95FBB">
        <w:lastRenderedPageBreak/>
        <w:t>N.C. 640 (2017); State v. Macon, 227 N.C. App. 152, 158-59 (2013); State v. Harris, 198 N.C. App. 371, 377 (2009). Absent a mistrial, at least one case has found no error in the trial court’s denying a defendant’s second motion to suppress based on collateral estoppel. State v. Williams, 252 N.C. App. 231, 236 (2017).</w:t>
      </w:r>
      <w:bookmarkEnd w:id="122"/>
    </w:p>
    <w:p w14:paraId="3B767E4D" w14:textId="3A3958FB" w:rsidR="006039AC" w:rsidRPr="00A95FBB" w:rsidRDefault="007004FC" w:rsidP="00C02F67">
      <w:pPr>
        <w:pStyle w:val="BodyH3"/>
      </w:pPr>
      <w:r w:rsidRPr="00A95FBB">
        <w:t>Failure to return a verdict does not have collateral estoppel effect</w:t>
      </w:r>
      <w:r w:rsidR="00F72A73" w:rsidRPr="00A95FBB">
        <w:t xml:space="preserve"> </w:t>
      </w:r>
      <w:r w:rsidRPr="00A95FBB">
        <w:t>unless the record establishes that the issue was actually and necessarily decided in the defendant’s favor. Schiro v. Farley, 510 U.S. 222, 236 (1994); State v. Allen, 360 N.C. 297, 313 (2006); State v. Herndon, 177 N.C. App. 353, 364 (2006). Further, collateral estoppel does not apply when the defendant, rather than the prosecution, is responsible for related charges not being tried together in a single trial. Currier v. Virginia, 585 U.S. 493, 501 (2018); Ohio v. Johnson, 467 U.S. 493, 500 n.9 (1984).</w:t>
      </w:r>
    </w:p>
    <w:p w14:paraId="02DA547F" w14:textId="0244D678" w:rsidR="00C02F67" w:rsidRPr="00446469" w:rsidRDefault="007004FC" w:rsidP="00446469">
      <w:pPr>
        <w:pStyle w:val="Heading2"/>
        <w:numPr>
          <w:ilvl w:val="0"/>
          <w:numId w:val="48"/>
        </w:numPr>
        <w:rPr>
          <w:vanish/>
          <w:specVanish/>
        </w:rPr>
      </w:pPr>
      <w:bookmarkStart w:id="123" w:name="_Toc203747507"/>
      <w:r w:rsidRPr="00A95FBB">
        <w:t>As Exclusionary Rule.</w:t>
      </w:r>
      <w:bookmarkStart w:id="124" w:name="_Toc200724703"/>
      <w:bookmarkEnd w:id="123"/>
    </w:p>
    <w:p w14:paraId="7B628140" w14:textId="70697186" w:rsidR="00D70151" w:rsidRPr="00D70151" w:rsidRDefault="000E55C4" w:rsidP="007A1C56">
      <w:pPr>
        <w:pStyle w:val="BodyH2"/>
        <w:rPr>
          <w:bCs/>
        </w:rPr>
      </w:pPr>
      <w:r>
        <w:t xml:space="preserve"> </w:t>
      </w:r>
      <w:r w:rsidR="007004FC" w:rsidRPr="00A95FBB">
        <w:t xml:space="preserve">When collateral estoppel does not bar </w:t>
      </w:r>
      <w:proofErr w:type="gramStart"/>
      <w:r w:rsidR="007004FC" w:rsidRPr="00A95FBB">
        <w:t>retrial</w:t>
      </w:r>
      <w:proofErr w:type="gramEnd"/>
      <w:r w:rsidR="007004FC" w:rsidRPr="00A95FBB">
        <w:t xml:space="preserve">, it also does not require an exclusion of evidence. Dowling v. United States, 493 U.S. 342, 348 (1990); State v. Agee, 326 N.C. 542, 551 (1990); State v. Lippard, 223 N.C. 167, 170 (1943). Stated differently, evidence is inadmissible under the Double Jeopardy Clause only when it falls within the scope of the collateral estoppel doctrine. State v. Bell, 164 N.C. App. 83, 89 (2004). Accordingly, a prior determination that the defendant did not willfully refuse to submit to a breath test precluded relitigation of the issue in a subsequent trial for impaired driving. State v. Summers, 351 N.C. 620, 626 (2000). A prior acquittal will not, however, </w:t>
      </w:r>
      <w:proofErr w:type="gramStart"/>
      <w:r w:rsidR="007004FC" w:rsidRPr="00A95FBB">
        <w:t>bar</w:t>
      </w:r>
      <w:proofErr w:type="gramEnd"/>
      <w:r w:rsidR="007004FC" w:rsidRPr="00A95FBB">
        <w:t xml:space="preserve"> the admission of evidence of the underlying conduct when the evidence is introduced at a later trial </w:t>
      </w:r>
      <w:proofErr w:type="gramStart"/>
      <w:r w:rsidR="007004FC" w:rsidRPr="00A95FBB">
        <w:t>in order to</w:t>
      </w:r>
      <w:proofErr w:type="gramEnd"/>
      <w:r w:rsidR="007004FC" w:rsidRPr="00A95FBB">
        <w:t xml:space="preserve"> establish the context or chain of circumstances of a different offense. State v. Agee, 326 N.C. 542, 551-52 (1990); State v. Jones, 256 N.C. App. 266, 274 (2017); State v. Solomon, 117 N.C. App. 701, 706 (1995);</w:t>
      </w:r>
      <w:r w:rsidR="007004FC" w:rsidRPr="008A74D0">
        <w:rPr>
          <w:rStyle w:val="Italic"/>
        </w:rPr>
        <w:t xml:space="preserve"> see</w:t>
      </w:r>
      <w:r w:rsidR="007004FC" w:rsidRPr="00A95FBB">
        <w:t xml:space="preserve"> also Joseph L. Hyde, </w:t>
      </w:r>
      <w:hyperlink r:id="rId13" w:history="1">
        <w:r w:rsidR="00E973D1" w:rsidRPr="00E973D1">
          <w:rPr>
            <w:rStyle w:val="Hyperlink"/>
            <w:rFonts w:cs="Arial"/>
          </w:rPr>
          <w:t>When is Double Jeopardy a Rule of Evidence?</w:t>
        </w:r>
      </w:hyperlink>
      <w:r w:rsidR="00E973D1">
        <w:t xml:space="preserve">, </w:t>
      </w:r>
      <w:r w:rsidR="007004FC" w:rsidRPr="00200DF4">
        <w:rPr>
          <w:smallCaps/>
        </w:rPr>
        <w:t>N</w:t>
      </w:r>
      <w:r w:rsidR="000B2850">
        <w:rPr>
          <w:smallCaps/>
        </w:rPr>
        <w:t>.</w:t>
      </w:r>
      <w:r w:rsidR="007004FC" w:rsidRPr="00200DF4">
        <w:rPr>
          <w:smallCaps/>
        </w:rPr>
        <w:t xml:space="preserve"> C</w:t>
      </w:r>
      <w:r w:rsidR="000B2850">
        <w:rPr>
          <w:smallCaps/>
        </w:rPr>
        <w:t>.</w:t>
      </w:r>
      <w:r w:rsidR="007004FC" w:rsidRPr="00200DF4">
        <w:rPr>
          <w:smallCaps/>
        </w:rPr>
        <w:t xml:space="preserve"> Crim</w:t>
      </w:r>
      <w:r w:rsidR="000B2850">
        <w:rPr>
          <w:smallCaps/>
        </w:rPr>
        <w:t>.</w:t>
      </w:r>
      <w:r w:rsidR="007004FC" w:rsidRPr="00200DF4">
        <w:rPr>
          <w:smallCaps/>
        </w:rPr>
        <w:t xml:space="preserve"> L</w:t>
      </w:r>
      <w:r w:rsidR="000B2850">
        <w:rPr>
          <w:smallCaps/>
        </w:rPr>
        <w:t xml:space="preserve">., UNC Sch. of Gov’t Blog </w:t>
      </w:r>
      <w:r w:rsidR="007004FC" w:rsidRPr="00A95FBB">
        <w:t>(March 11, 2025).</w:t>
      </w:r>
      <w:bookmarkStart w:id="125" w:name="_Toc200724704"/>
      <w:bookmarkEnd w:id="124"/>
    </w:p>
    <w:p w14:paraId="4D856301" w14:textId="362CCB5F" w:rsidR="000E55C4" w:rsidRPr="000E55C4" w:rsidRDefault="007004FC" w:rsidP="000E55C4">
      <w:pPr>
        <w:pStyle w:val="Heading2"/>
        <w:rPr>
          <w:vanish/>
          <w:specVanish/>
        </w:rPr>
      </w:pPr>
      <w:bookmarkStart w:id="126" w:name="_Toc203747508"/>
      <w:r w:rsidRPr="000E55C4">
        <w:t>Offensive Collateral Estoppel.</w:t>
      </w:r>
      <w:bookmarkEnd w:id="125"/>
      <w:bookmarkEnd w:id="126"/>
    </w:p>
    <w:p w14:paraId="498AB8D6" w14:textId="18084C3B" w:rsidR="00D70151" w:rsidRPr="00D70151" w:rsidRDefault="000E55C4" w:rsidP="000E55C4">
      <w:pPr>
        <w:pStyle w:val="BodyH2"/>
        <w:rPr>
          <w:bCs/>
        </w:rPr>
      </w:pPr>
      <w:r>
        <w:t xml:space="preserve"> </w:t>
      </w:r>
      <w:r w:rsidR="007004FC" w:rsidRPr="00A95FBB">
        <w:t>The United States Supreme Court has not directly addressed the use of collateral estoppel by the prosecution.</w:t>
      </w:r>
      <w:r w:rsidR="007004FC" w:rsidRPr="00A95FBB">
        <w:rPr>
          <w:i/>
          <w:iCs/>
        </w:rPr>
        <w:t xml:space="preserve"> Cf.</w:t>
      </w:r>
      <w:r w:rsidR="007004FC" w:rsidRPr="00A95FBB">
        <w:t xml:space="preserve"> United States v. Dixon, 509 U.S. 688 n.15 (1993) (noting in dicta that “a conviction in the first prosecution would not excuse the Government from proving the same facts the second time”). But several North Carolina cases have allowed the State to preclude relitigation in a later trial of an issue previously decided in the State’s favor. </w:t>
      </w:r>
      <w:r w:rsidR="008670D9" w:rsidRPr="00A95FBB">
        <w:rPr>
          <w:rStyle w:val="Italic"/>
        </w:rPr>
        <w:t>See</w:t>
      </w:r>
      <w:r w:rsidR="008670D9" w:rsidRPr="00A95FBB">
        <w:t xml:space="preserve"> </w:t>
      </w:r>
      <w:r w:rsidR="00E973D1" w:rsidRPr="00E973D1">
        <w:rPr>
          <w:i/>
          <w:iCs/>
        </w:rPr>
        <w:t>e.g.</w:t>
      </w:r>
      <w:r w:rsidR="00E973D1">
        <w:t xml:space="preserve">, </w:t>
      </w:r>
      <w:r w:rsidR="007004FC" w:rsidRPr="00A95FBB">
        <w:t>State v. Cornelius, 219 N.C. App. 329, 338 (2012) (no error in instruction that defendant had already been convicted of underlying felony); State v. Dial, 122 N.C. App. 298, 306 (1996) (no error in accepting prior finding of territorial jurisdiction).</w:t>
      </w:r>
      <w:bookmarkStart w:id="127" w:name="_Toc200724705"/>
    </w:p>
    <w:p w14:paraId="4537F78F" w14:textId="69E1C142" w:rsidR="000E55C4" w:rsidRPr="000E55C4" w:rsidRDefault="007004FC" w:rsidP="00ED3943">
      <w:pPr>
        <w:pStyle w:val="Heading1"/>
        <w:rPr>
          <w:rStyle w:val="Heading1Char"/>
          <w:bCs/>
          <w:vanish/>
          <w:specVanish/>
        </w:rPr>
      </w:pPr>
      <w:bookmarkStart w:id="128" w:name="_Toc203747509"/>
      <w:r w:rsidRPr="00A95FBB">
        <w:rPr>
          <w:rStyle w:val="Heading1Char"/>
          <w:b/>
          <w:bCs/>
        </w:rPr>
        <w:t>Separate Sovereigns</w:t>
      </w:r>
      <w:r w:rsidR="002C4DA9" w:rsidRPr="00A95FBB">
        <w:rPr>
          <w:rStyle w:val="Heading1Char"/>
          <w:b/>
          <w:bCs/>
        </w:rPr>
        <w:t>.</w:t>
      </w:r>
      <w:bookmarkEnd w:id="128"/>
    </w:p>
    <w:p w14:paraId="6B2F3416" w14:textId="53CCF7A5" w:rsidR="000E55C4" w:rsidRDefault="002C4DA9" w:rsidP="000E55C4">
      <w:pPr>
        <w:pStyle w:val="BodyH1"/>
      </w:pPr>
      <w:r w:rsidRPr="00A95FBB">
        <w:t xml:space="preserve"> </w:t>
      </w:r>
      <w:r w:rsidR="007004FC" w:rsidRPr="00A95FBB">
        <w:t>Under the dual sovereignty doctrine, a defendant may be prosecuted for the same offense by both federal and state authorities, by two different states, or by state and tribal authorities without violating constitutional prohibitions on double jeopardy.</w:t>
      </w:r>
      <w:r w:rsidR="007004FC" w:rsidRPr="00A95FBB">
        <w:rPr>
          <w:i/>
          <w:iCs/>
        </w:rPr>
        <w:t xml:space="preserve"> See</w:t>
      </w:r>
      <w:r w:rsidR="007004FC" w:rsidRPr="00A95FBB">
        <w:t xml:space="preserve"> Gamble v. United States, 587 U.S. 678, 681 (2019); Heath v. Alabama, 474 U.S. 82, 88 (1985); State v. Myers, 82 N.C. App. 299, 299-300 (1986). As a result, state prosecutors are not bound by a defendant’s plea agreement with federal prosecutors. State v. Midgett, 78 N.C. App. 387, 389 (1985). For the same reason, a defendant is not entitled to credit against </w:t>
      </w:r>
      <w:r w:rsidR="0077537A" w:rsidRPr="00A95FBB">
        <w:t>a</w:t>
      </w:r>
      <w:r w:rsidR="007004FC" w:rsidRPr="00A95FBB">
        <w:t xml:space="preserve"> state sentence for time spent in federal custody. State v. Lewis, 231 N.C. App. 438, 445 (2013). Similarly, collateral estoppel does not apply where separate sovereigns are involved. State v. Brooks, 337 N.C. 132, 146 (1994).</w:t>
      </w:r>
      <w:bookmarkEnd w:id="127"/>
    </w:p>
    <w:p w14:paraId="0184DB93" w14:textId="6B099F3F" w:rsidR="00436CD9" w:rsidRPr="00A95FBB" w:rsidRDefault="007004FC" w:rsidP="000E55C4">
      <w:pPr>
        <w:pStyle w:val="BodyH1"/>
        <w:spacing w:before="0"/>
      </w:pPr>
      <w:r w:rsidRPr="00A95FBB">
        <w:lastRenderedPageBreak/>
        <w:t>As noted above, however, several statutes provide greater protection than is required by the Fifth Amendment.</w:t>
      </w:r>
      <w:r w:rsidR="003F53BF" w:rsidRPr="00A95FBB">
        <w:rPr>
          <w:b/>
          <w:bCs/>
        </w:rPr>
        <w:t xml:space="preserve"> </w:t>
      </w:r>
      <w:r w:rsidR="003F53BF" w:rsidRPr="00A95FBB">
        <w:rPr>
          <w:i/>
        </w:rPr>
        <w:t xml:space="preserve">See </w:t>
      </w:r>
      <w:r w:rsidR="003F53BF" w:rsidRPr="00A95FBB">
        <w:t>Section II, above.</w:t>
      </w:r>
      <w:r w:rsidRPr="00A95FBB">
        <w:t xml:space="preserve"> </w:t>
      </w:r>
      <w:proofErr w:type="gramStart"/>
      <w:r w:rsidRPr="00A95FBB">
        <w:t>In particular, if</w:t>
      </w:r>
      <w:proofErr w:type="gramEnd"/>
      <w:r w:rsidRPr="00A95FBB">
        <w:t xml:space="preserve"> an offense occurred in part within and in part outside North Carolina, a person charged with that offense “may be tried in this State if he has not been placed in jeopardy for the identical offense in another state.” G.S. 15A-134; State v. Christian, 288 N.C. App. 50, 52 (2023). And for drug offenses (i.e., violations of </w:t>
      </w:r>
      <w:r w:rsidR="00922854" w:rsidRPr="00A95FBB">
        <w:t xml:space="preserve">G.S. </w:t>
      </w:r>
      <w:r w:rsidRPr="00A95FBB">
        <w:t>Chapter 90</w:t>
      </w:r>
      <w:r w:rsidR="007C71DC" w:rsidRPr="00A95FBB">
        <w:t xml:space="preserve">, </w:t>
      </w:r>
      <w:r w:rsidR="00684A64" w:rsidRPr="00A95FBB">
        <w:t>Art</w:t>
      </w:r>
      <w:r w:rsidR="00922854" w:rsidRPr="00A95FBB">
        <w:t>icle</w:t>
      </w:r>
      <w:r w:rsidR="007C71DC" w:rsidRPr="00A95FBB">
        <w:t xml:space="preserve"> 5</w:t>
      </w:r>
      <w:r w:rsidRPr="00A95FBB">
        <w:t>), “a conviction or acquittal under federal law or the law of another state for the same act is a bar to prosecution in this State.” G.S. 90-97; State v. Brunson, 165 N.C. App. 667, 671 (2004).</w:t>
      </w:r>
    </w:p>
    <w:p w14:paraId="7216C1AB" w14:textId="3872ED5D" w:rsidR="001B16A3" w:rsidRPr="00A95FBB" w:rsidRDefault="007004FC" w:rsidP="00364F84">
      <w:pPr>
        <w:pStyle w:val="Heading1"/>
        <w:keepNext/>
        <w:rPr>
          <w:b w:val="0"/>
          <w:bCs/>
        </w:rPr>
      </w:pPr>
      <w:bookmarkStart w:id="129" w:name="_Toc203747510"/>
      <w:r w:rsidRPr="00A95FBB">
        <w:t>Joinder</w:t>
      </w:r>
      <w:r w:rsidR="002C4DA9" w:rsidRPr="00A95FBB">
        <w:t>.</w:t>
      </w:r>
      <w:bookmarkEnd w:id="129"/>
    </w:p>
    <w:p w14:paraId="5393436B" w14:textId="6E3D51F5" w:rsidR="000E55C4" w:rsidRPr="000E55C4" w:rsidRDefault="001B16A3" w:rsidP="007933EF">
      <w:pPr>
        <w:pStyle w:val="Heading2"/>
        <w:numPr>
          <w:ilvl w:val="0"/>
          <w:numId w:val="33"/>
        </w:numPr>
        <w:spacing w:before="0"/>
        <w:rPr>
          <w:vanish/>
          <w:specVanish/>
        </w:rPr>
      </w:pPr>
      <w:bookmarkStart w:id="130" w:name="_Toc203747511"/>
      <w:r w:rsidRPr="00A95FBB">
        <w:t>Application</w:t>
      </w:r>
      <w:r w:rsidRPr="002E359A">
        <w:t>.</w:t>
      </w:r>
      <w:bookmarkStart w:id="131" w:name="_Toc200724706"/>
      <w:bookmarkEnd w:id="130"/>
    </w:p>
    <w:p w14:paraId="1520F959" w14:textId="5385EAF3" w:rsidR="007004FC" w:rsidRPr="008A74D0" w:rsidRDefault="001B16A3" w:rsidP="007A1C56">
      <w:pPr>
        <w:pStyle w:val="BodyH2"/>
        <w:rPr>
          <w:b/>
          <w:bCs/>
        </w:rPr>
      </w:pPr>
      <w:r w:rsidRPr="00A95FBB">
        <w:t xml:space="preserve"> </w:t>
      </w:r>
      <w:r w:rsidR="007004FC" w:rsidRPr="00A95FBB">
        <w:t>By statute, two or more offenses may be joined for trial when the offenses are based on the same act or transaction</w:t>
      </w:r>
      <w:r w:rsidR="005D3C95" w:rsidRPr="00A95FBB">
        <w:t xml:space="preserve">. </w:t>
      </w:r>
      <w:r w:rsidR="007004FC" w:rsidRPr="00A95FBB">
        <w:t>G.S. 15A-926(a)</w:t>
      </w:r>
      <w:r w:rsidR="00D11C8A" w:rsidRPr="00A95FBB">
        <w:t xml:space="preserve">; </w:t>
      </w:r>
      <w:r w:rsidR="00FF6096" w:rsidRPr="00A95FBB">
        <w:t xml:space="preserve">State v. Moses, 350 N.C. 741, 750 (1999). </w:t>
      </w:r>
      <w:r w:rsidR="007004FC" w:rsidRPr="00A95FBB">
        <w:t xml:space="preserve">When a defendant is charged with joinable offenses, </w:t>
      </w:r>
      <w:r w:rsidR="003D05A5" w:rsidRPr="00A95FBB">
        <w:t>the defendant’s</w:t>
      </w:r>
      <w:r w:rsidR="007004FC" w:rsidRPr="00A95FBB">
        <w:t xml:space="preserve"> motion for joinder must be granted unless the court finds</w:t>
      </w:r>
      <w:r w:rsidR="005D3C95" w:rsidRPr="00A95FBB">
        <w:t xml:space="preserve"> </w:t>
      </w:r>
      <w:r w:rsidR="00476DEC" w:rsidRPr="00A95FBB">
        <w:t xml:space="preserve">that </w:t>
      </w:r>
      <w:r w:rsidR="007004FC" w:rsidRPr="00A95FBB">
        <w:t>the ends of justice</w:t>
      </w:r>
      <w:r w:rsidR="003117C2" w:rsidRPr="00A95FBB">
        <w:t xml:space="preserve"> </w:t>
      </w:r>
      <w:r w:rsidR="005A6A39" w:rsidRPr="00A95FBB">
        <w:t>will</w:t>
      </w:r>
      <w:r w:rsidR="003117C2" w:rsidRPr="00A95FBB">
        <w:t xml:space="preserve"> be defeated if the motion is granted</w:t>
      </w:r>
      <w:r w:rsidR="007004FC" w:rsidRPr="00A95FBB">
        <w:t xml:space="preserve">. </w:t>
      </w:r>
      <w:r w:rsidR="00FF6096" w:rsidRPr="00A95FBB">
        <w:t>G.S. 15A-926</w:t>
      </w:r>
      <w:r w:rsidR="007004FC" w:rsidRPr="00A95FBB">
        <w:t xml:space="preserve">(c)(1). A defendant who has been tried for one offense may </w:t>
      </w:r>
      <w:r w:rsidR="005F2D6E" w:rsidRPr="00A95FBB">
        <w:t xml:space="preserve">thereafter </w:t>
      </w:r>
      <w:r w:rsidR="007004FC" w:rsidRPr="00A95FBB">
        <w:t>move to dismiss a joinable offense</w:t>
      </w:r>
      <w:r w:rsidR="005F2D6E" w:rsidRPr="00A95FBB">
        <w:t xml:space="preserve">. </w:t>
      </w:r>
      <w:r w:rsidR="007004FC" w:rsidRPr="00A95FBB">
        <w:t>The motion must be made prior to the second trial and must be granted unless</w:t>
      </w:r>
      <w:bookmarkEnd w:id="131"/>
    </w:p>
    <w:p w14:paraId="6BA59A43" w14:textId="3ACD1467" w:rsidR="005F2D6E" w:rsidRPr="00A95FBB" w:rsidRDefault="00BA499A" w:rsidP="000E55C4">
      <w:pPr>
        <w:pStyle w:val="BodyIndent1"/>
      </w:pPr>
      <w:r>
        <w:t xml:space="preserve">“a. </w:t>
      </w:r>
      <w:r w:rsidR="007004FC" w:rsidRPr="00A95FBB">
        <w:t>A motion for join</w:t>
      </w:r>
      <w:r w:rsidR="00DA49C3">
        <w:t>d</w:t>
      </w:r>
      <w:r w:rsidR="007004FC" w:rsidRPr="00A95FBB">
        <w:t xml:space="preserve">er </w:t>
      </w:r>
      <w:r w:rsidR="005F2D6E" w:rsidRPr="00A95FBB">
        <w:t xml:space="preserve">of these offenses </w:t>
      </w:r>
      <w:r w:rsidR="007004FC" w:rsidRPr="00A95FBB">
        <w:t>was previously denied,</w:t>
      </w:r>
      <w:r w:rsidR="005F2D6E" w:rsidRPr="00A95FBB">
        <w:t xml:space="preserve"> or</w:t>
      </w:r>
    </w:p>
    <w:p w14:paraId="355C5B7E" w14:textId="607032A2" w:rsidR="005F2D6E" w:rsidRPr="00A95FBB" w:rsidRDefault="00BA499A" w:rsidP="000E55C4">
      <w:pPr>
        <w:pStyle w:val="BodyIndent1"/>
      </w:pPr>
      <w:r>
        <w:t xml:space="preserve">“b. </w:t>
      </w:r>
      <w:r w:rsidR="007004FC" w:rsidRPr="00A95FBB">
        <w:t>The court finds that the right of joinder has been waived, or</w:t>
      </w:r>
    </w:p>
    <w:p w14:paraId="3BD9E5EC" w14:textId="5D10B242" w:rsidR="006F0ADB" w:rsidRPr="00A95FBB" w:rsidRDefault="00BA499A" w:rsidP="000E55C4">
      <w:pPr>
        <w:pStyle w:val="BodyIndent1"/>
      </w:pPr>
      <w:r>
        <w:t xml:space="preserve">“c. </w:t>
      </w:r>
      <w:r w:rsidR="007004FC" w:rsidRPr="00A95FBB">
        <w:t>The court finds that because the prosecutor did not have sufficient evidence to warrant trying this offense at the time of the first trial, or because of some other reason, the ends of justice would be defeated if the motion were granted.</w:t>
      </w:r>
      <w:r>
        <w:t>”</w:t>
      </w:r>
      <w:r w:rsidR="00C91FA7" w:rsidRPr="00A95FBB">
        <w:t xml:space="preserve"> </w:t>
      </w:r>
      <w:r w:rsidR="00306F41" w:rsidRPr="00A95FBB">
        <w:t>G.S. 15A-926(c)(2).</w:t>
      </w:r>
      <w:bookmarkStart w:id="132" w:name="_Toc200724707"/>
    </w:p>
    <w:p w14:paraId="5717D86D" w14:textId="77777777" w:rsidR="000E55C4" w:rsidRPr="000E55C4" w:rsidRDefault="007004FC" w:rsidP="000E55C4">
      <w:pPr>
        <w:pStyle w:val="Heading2"/>
        <w:rPr>
          <w:bCs/>
          <w:vanish/>
          <w:specVanish/>
        </w:rPr>
      </w:pPr>
      <w:bookmarkStart w:id="133" w:name="_Toc203747512"/>
      <w:r w:rsidRPr="00A95FBB">
        <w:t>Limitations.</w:t>
      </w:r>
      <w:bookmarkEnd w:id="133"/>
    </w:p>
    <w:p w14:paraId="7B78A0DB" w14:textId="2C626DB7" w:rsidR="0045110E" w:rsidRPr="000E55C4" w:rsidRDefault="007004FC" w:rsidP="000E55C4">
      <w:pPr>
        <w:pStyle w:val="BodyH2"/>
      </w:pPr>
      <w:r w:rsidRPr="00A95FBB">
        <w:t xml:space="preserve"> The right to joinder is inapplicable if the defendant pled guilty to the previous charge. G.S. 15A-926(c)(3). In addition, a defendant is not entitled to dismissal for failure to join offenses if the defendant had not been indicted on the additional charges at the time of the first trial, State v. Furr, 292 N.C. 711, 724 (1977), unless the defendant can show that the prosecution withheld additional charges solely to circumvent joinder requirements. State v. Schalow, 379 N.C. 639, 651 (2021); State v. Warren, 313 N.C. 254, 260 (1985). </w:t>
      </w:r>
      <w:r w:rsidR="00621CF0" w:rsidRPr="00A95FBB">
        <w:t>The North Carolina</w:t>
      </w:r>
      <w:r w:rsidRPr="00A95FBB">
        <w:t xml:space="preserve"> Supreme Court has recognized two circumstances that would support but not compel a determination that the prosecutor withheld charges to circumvent joinder requirements:</w:t>
      </w:r>
      <w:bookmarkEnd w:id="132"/>
      <w:r w:rsidR="0045110E" w:rsidRPr="00A95FBB">
        <w:t xml:space="preserve"> </w:t>
      </w:r>
    </w:p>
    <w:p w14:paraId="11A79EE1" w14:textId="76FC3139" w:rsidR="0045110E" w:rsidRPr="000E55C4" w:rsidRDefault="0045110E" w:rsidP="007933EF">
      <w:pPr>
        <w:pStyle w:val="BodyH2"/>
        <w:numPr>
          <w:ilvl w:val="0"/>
          <w:numId w:val="34"/>
        </w:numPr>
        <w:ind w:left="1800"/>
        <w:rPr>
          <w:bCs/>
        </w:rPr>
      </w:pPr>
      <w:r w:rsidRPr="00A95FBB">
        <w:t xml:space="preserve">A showing that during the first trial the prosecutor was aware of substantial evidence that the defendant had committed the crimes for which </w:t>
      </w:r>
      <w:r w:rsidR="00286B86" w:rsidRPr="00A95FBB">
        <w:t>the defendant</w:t>
      </w:r>
      <w:r w:rsidRPr="00A95FBB">
        <w:t xml:space="preserve"> was later indicted; and </w:t>
      </w:r>
    </w:p>
    <w:p w14:paraId="1FA53641" w14:textId="77777777" w:rsidR="00D70151" w:rsidRPr="00D70151" w:rsidRDefault="0045110E" w:rsidP="007933EF">
      <w:pPr>
        <w:pStyle w:val="BodyH2"/>
        <w:numPr>
          <w:ilvl w:val="0"/>
          <w:numId w:val="34"/>
        </w:numPr>
        <w:ind w:left="1800"/>
      </w:pPr>
      <w:r w:rsidRPr="00A95FBB">
        <w:t xml:space="preserve">A showing that the State’s evidence at the second trial would be the same as the evidence presented at the first. State v. Warren, 313 N.C. 254, 260 (1985); </w:t>
      </w:r>
      <w:r w:rsidRPr="003F70FD">
        <w:rPr>
          <w:i/>
          <w:iCs/>
        </w:rPr>
        <w:t>see also</w:t>
      </w:r>
      <w:r w:rsidRPr="00A95FBB">
        <w:t xml:space="preserve"> State v. Tew, 149 N.C. App. 456, 460 (2002). </w:t>
      </w:r>
    </w:p>
    <w:p w14:paraId="6BF42F10" w14:textId="201F257F" w:rsidR="007004FC" w:rsidRDefault="007004FC" w:rsidP="00536834">
      <w:pPr>
        <w:pStyle w:val="BodyH2"/>
        <w:keepNext/>
        <w:keepLines/>
        <w:ind w:firstLine="0"/>
      </w:pPr>
      <w:r w:rsidRPr="00A95FBB">
        <w:t>In assessing a claim that the prosecution withheld additional charges to circumvent the statute, “the court must assess the justification offered by the State and determine if legitimate prosecutorial reasons supported the conduct.” State v. Schalow, 379 N.C. 639,</w:t>
      </w:r>
      <w:r w:rsidR="009B4A9D" w:rsidRPr="00A95FBB">
        <w:t xml:space="preserve"> 652 (2021).</w:t>
      </w:r>
    </w:p>
    <w:p w14:paraId="4EE90A55" w14:textId="7A3177C2" w:rsidR="00536834" w:rsidRPr="00A95FBB" w:rsidRDefault="00281F0D" w:rsidP="00536834">
      <w:pPr>
        <w:pStyle w:val="BodyH2"/>
        <w:keepNext/>
        <w:keepLines/>
        <w:ind w:firstLine="0"/>
        <w:rPr>
          <w:b/>
        </w:rPr>
      </w:pPr>
      <w:r>
        <w:rPr>
          <w:noProof/>
        </w:rPr>
        <mc:AlternateContent>
          <mc:Choice Requires="wps">
            <w:drawing>
              <wp:anchor distT="45720" distB="45720" distL="114300" distR="114300" simplePos="0" relativeHeight="251659264" behindDoc="0" locked="0" layoutInCell="1" allowOverlap="0" wp14:anchorId="1519704F" wp14:editId="6CC91B84">
                <wp:simplePos x="0" y="0"/>
                <wp:positionH relativeFrom="margin">
                  <wp:align>center</wp:align>
                </wp:positionH>
                <wp:positionV relativeFrom="margin">
                  <wp:align>bottom</wp:align>
                </wp:positionV>
                <wp:extent cx="5029835" cy="934720"/>
                <wp:effectExtent l="0" t="0" r="0" b="0"/>
                <wp:wrapNone/>
                <wp:docPr id="624518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8D440" w14:textId="7A34916C" w:rsidR="00536834" w:rsidRDefault="00536834" w:rsidP="00536834">
                            <w:pPr>
                              <w:pStyle w:val="copyright"/>
                            </w:pPr>
                            <w:r w:rsidRPr="00A95FBB">
                              <w:t xml:space="preserve">© 2025 School of Government. The University of North Carolina at Chapel Hill Use of this publication for commercial purposes or without acknowledgment of its source is prohibited. Reproducing, distributing, or otherwise making available to a </w:t>
                            </w:r>
                            <w:proofErr w:type="spellStart"/>
                            <w:r w:rsidRPr="00A95FBB">
                              <w:t>nonpurchaser</w:t>
                            </w:r>
                            <w:proofErr w:type="spellEnd"/>
                            <w:r w:rsidRPr="00A95FBB">
                              <w:t xml:space="preserve"> the entire publication, or a substantial portion of it, without express permission, is prohibited. For permissions questions or requests, email the School of Government at copyright_permissions@sog.unc.edu.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9704F" id="_x0000_t202" coordsize="21600,21600" o:spt="202" path="m,l,21600r21600,l21600,xe">
                <v:stroke joinstyle="miter"/>
                <v:path gradientshapeok="t" o:connecttype="rect"/>
              </v:shapetype>
              <v:shape id="Text Box 2" o:spid="_x0000_s1026" type="#_x0000_t202" style="position:absolute;left:0;text-align:left;margin-left:0;margin-top:0;width:396.05pt;height:73.6pt;z-index:251659264;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" o:allowoverlap="f" stroked="f">
                <v:textbox>
                  <w:txbxContent>
                    <w:p w14:paraId="7278D440" w14:textId="7A34916C" w:rsidR="00536834" w:rsidRDefault="00536834" w:rsidP="00536834">
                      <w:pPr>
                        <w:pStyle w:val="copyright"/>
                      </w:pPr>
                      <w:r w:rsidRPr="00A95FBB">
                        <w:t xml:space="preserve">© 2025 School of Government. The University of North Carolina at Chapel Hill Use of this publication for commercial purposes or without acknowledgment of its source is prohibited. Reproducing, distributing, or otherwise making available to a </w:t>
                      </w:r>
                      <w:proofErr w:type="spellStart"/>
                      <w:r w:rsidRPr="00A95FBB">
                        <w:t>nonpurchaser</w:t>
                      </w:r>
                      <w:proofErr w:type="spellEnd"/>
                      <w:r w:rsidRPr="00A95FBB">
                        <w:t xml:space="preserve"> the entire publication, or a substantial portion of it, without express permission, is prohibited. For permissions questions or requests, email the School of Government at copyright_permissions@sog.unc.edu.</w:t>
                      </w:r>
                    </w:p>
                  </w:txbxContent>
                </v:textbox>
                <w10:wrap anchorx="margin" anchory="margin"/>
              </v:shape>
            </w:pict>
          </mc:Fallback>
        </mc:AlternateContent>
      </w:r>
    </w:p>
    <w:sectPr w:rsidR="00536834" w:rsidRPr="00A95FBB" w:rsidSect="00F37B4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27C8" w14:textId="77777777" w:rsidR="00642BE3" w:rsidRDefault="00642BE3" w:rsidP="0041160F">
      <w:pPr>
        <w:spacing w:after="0" w:line="240" w:lineRule="auto"/>
      </w:pPr>
      <w:r>
        <w:separator/>
      </w:r>
    </w:p>
    <w:p w14:paraId="7B491146" w14:textId="77777777" w:rsidR="00642BE3" w:rsidRDefault="00642BE3"/>
    <w:p w14:paraId="3D28A0AB" w14:textId="77777777" w:rsidR="00642BE3" w:rsidRDefault="00642BE3" w:rsidP="001670F8"/>
  </w:endnote>
  <w:endnote w:type="continuationSeparator" w:id="0">
    <w:p w14:paraId="0F0ADC5B" w14:textId="77777777" w:rsidR="00642BE3" w:rsidRDefault="00642BE3" w:rsidP="0041160F">
      <w:pPr>
        <w:spacing w:after="0" w:line="240" w:lineRule="auto"/>
      </w:pPr>
      <w:r>
        <w:continuationSeparator/>
      </w:r>
    </w:p>
    <w:p w14:paraId="2EB44994" w14:textId="77777777" w:rsidR="00642BE3" w:rsidRDefault="00642BE3"/>
    <w:p w14:paraId="55778749" w14:textId="77777777" w:rsidR="00642BE3" w:rsidRDefault="00642BE3" w:rsidP="0016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CAC5" w14:textId="0A13B900" w:rsidR="00E912C1" w:rsidRDefault="00154DC9" w:rsidP="00B34B99">
    <w:pPr>
      <w:pStyle w:val="Footer"/>
      <w:jc w:val="center"/>
    </w:pPr>
    <w:r>
      <w:rPr>
        <w:rFonts w:ascii="Arial" w:hAnsi="Arial" w:cs="Arial"/>
        <w:sz w:val="20"/>
        <w:szCs w:val="20"/>
      </w:rPr>
      <w:t>Double Jeopardy</w:t>
    </w:r>
    <w:r w:rsidR="002418EF" w:rsidRPr="00493769">
      <w:rPr>
        <w:rFonts w:ascii="Arial" w:hAnsi="Arial" w:cs="Arial"/>
        <w:sz w:val="20"/>
        <w:szCs w:val="20"/>
      </w:rPr>
      <w:t xml:space="preserve"> - </w:t>
    </w:r>
    <w:r w:rsidR="00F253F0" w:rsidRPr="00493769">
      <w:rPr>
        <w:rFonts w:ascii="Arial" w:hAnsi="Arial" w:cs="Arial"/>
        <w:sz w:val="20"/>
        <w:szCs w:val="20"/>
      </w:rPr>
      <w:fldChar w:fldCharType="begin"/>
    </w:r>
    <w:r w:rsidR="002418EF" w:rsidRPr="00493769">
      <w:rPr>
        <w:rFonts w:ascii="Arial" w:hAnsi="Arial" w:cs="Arial"/>
        <w:sz w:val="20"/>
        <w:szCs w:val="20"/>
      </w:rPr>
      <w:instrText xml:space="preserve"> PAGE   \* MERGEFORMAT </w:instrText>
    </w:r>
    <w:r w:rsidR="00F253F0" w:rsidRPr="00493769">
      <w:rPr>
        <w:rFonts w:ascii="Arial" w:hAnsi="Arial" w:cs="Arial"/>
        <w:sz w:val="20"/>
        <w:szCs w:val="20"/>
      </w:rPr>
      <w:fldChar w:fldCharType="separate"/>
    </w:r>
    <w:r w:rsidR="006D3E6F">
      <w:rPr>
        <w:rFonts w:ascii="Arial" w:hAnsi="Arial" w:cs="Arial"/>
        <w:noProof/>
        <w:sz w:val="20"/>
        <w:szCs w:val="20"/>
      </w:rPr>
      <w:t>2</w:t>
    </w:r>
    <w:r w:rsidR="00F253F0" w:rsidRPr="00493769">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61D0" w14:textId="77777777" w:rsidR="00642BE3" w:rsidRDefault="00642BE3" w:rsidP="0041160F">
      <w:pPr>
        <w:spacing w:after="0" w:line="240" w:lineRule="auto"/>
      </w:pPr>
      <w:r>
        <w:separator/>
      </w:r>
    </w:p>
    <w:p w14:paraId="3C1D64B8" w14:textId="77777777" w:rsidR="00642BE3" w:rsidRDefault="00642BE3"/>
    <w:p w14:paraId="4EADBFDC" w14:textId="77777777" w:rsidR="00642BE3" w:rsidRDefault="00642BE3" w:rsidP="001670F8"/>
  </w:footnote>
  <w:footnote w:type="continuationSeparator" w:id="0">
    <w:p w14:paraId="540C7C7A" w14:textId="77777777" w:rsidR="00642BE3" w:rsidRDefault="00642BE3" w:rsidP="0041160F">
      <w:pPr>
        <w:spacing w:after="0" w:line="240" w:lineRule="auto"/>
      </w:pPr>
      <w:r>
        <w:continuationSeparator/>
      </w:r>
    </w:p>
    <w:p w14:paraId="7E1044EF" w14:textId="77777777" w:rsidR="00642BE3" w:rsidRDefault="00642BE3"/>
    <w:p w14:paraId="51318540" w14:textId="77777777" w:rsidR="00642BE3" w:rsidRDefault="00642BE3" w:rsidP="00167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441C" w14:textId="77777777" w:rsidR="007151B3" w:rsidRDefault="007151B3">
    <w:pPr>
      <w:pStyle w:val="Header"/>
    </w:pPr>
    <w:r w:rsidRPr="007151B3">
      <w:rPr>
        <w:noProof/>
      </w:rPr>
      <w:drawing>
        <wp:anchor distT="0" distB="0" distL="114300" distR="114300" simplePos="0" relativeHeight="251658240" behindDoc="0" locked="0" layoutInCell="1" allowOverlap="0" wp14:anchorId="3214F757" wp14:editId="6961A077">
          <wp:simplePos x="0" y="0"/>
          <wp:positionH relativeFrom="page">
            <wp:posOffset>150125</wp:posOffset>
          </wp:positionH>
          <wp:positionV relativeFrom="page">
            <wp:posOffset>150125</wp:posOffset>
          </wp:positionV>
          <wp:extent cx="7779224" cy="342142"/>
          <wp:effectExtent l="0" t="0" r="0" b="12700"/>
          <wp:wrapNone/>
          <wp:docPr id="13297511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741EC7CD" w14:textId="77777777" w:rsidR="007151B3" w:rsidRDefault="00715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522"/>
    <w:multiLevelType w:val="hybridMultilevel"/>
    <w:tmpl w:val="CA8E2266"/>
    <w:lvl w:ilvl="0" w:tplc="15C6AE9A">
      <w:start w:val="1"/>
      <w:numFmt w:val="upperRoman"/>
      <w:pStyle w:val="Heading1"/>
      <w:lvlText w:val="%1."/>
      <w:lvlJc w:val="right"/>
      <w:pPr>
        <w:ind w:left="720" w:hanging="72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878F4"/>
    <w:multiLevelType w:val="hybridMultilevel"/>
    <w:tmpl w:val="8FEEFF82"/>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0B030C"/>
    <w:multiLevelType w:val="hybridMultilevel"/>
    <w:tmpl w:val="97C86E7E"/>
    <w:lvl w:ilvl="0" w:tplc="6F600D6C">
      <w:start w:val="1"/>
      <w:numFmt w:val="decimal"/>
      <w:lvlText w:val="(%1)"/>
      <w:lvlJc w:val="righ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250C8F"/>
    <w:multiLevelType w:val="multilevel"/>
    <w:tmpl w:val="1D4C6D5E"/>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8D29DB"/>
    <w:multiLevelType w:val="multilevel"/>
    <w:tmpl w:val="C5B2EDAE"/>
    <w:styleLink w:val="CurrentList3"/>
    <w:lvl w:ilvl="0">
      <w:start w:val="1"/>
      <w:numFmt w:val="decimal"/>
      <w:lvlText w:val="%1."/>
      <w:lvlJc w:val="left"/>
      <w:pPr>
        <w:ind w:left="2160" w:hanging="360"/>
      </w:pPr>
      <w:rPr>
        <w:rFonts w:ascii="Arial" w:eastAsia="Calibri" w:hAnsi="Arial" w:cs="Arial" w:hint="default"/>
        <w:b/>
        <w:bC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F6C3B7A"/>
    <w:multiLevelType w:val="hybridMultilevel"/>
    <w:tmpl w:val="E15627F2"/>
    <w:lvl w:ilvl="0" w:tplc="D2C42278">
      <w:start w:val="1"/>
      <w:numFmt w:val="bullet"/>
      <w:pStyle w:val="ListParagraph15"/>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572429"/>
    <w:multiLevelType w:val="multilevel"/>
    <w:tmpl w:val="D91CA690"/>
    <w:styleLink w:val="CurrentList4"/>
    <w:lvl w:ilvl="0">
      <w:start w:val="2"/>
      <w:numFmt w:val="upperLetter"/>
      <w:lvlText w:val="%1."/>
      <w:lvlJc w:val="left"/>
      <w:pPr>
        <w:ind w:left="144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8E319C"/>
    <w:multiLevelType w:val="hybridMultilevel"/>
    <w:tmpl w:val="D4D6AEB2"/>
    <w:lvl w:ilvl="0" w:tplc="352082F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F0709"/>
    <w:multiLevelType w:val="hybridMultilevel"/>
    <w:tmpl w:val="4302F8B0"/>
    <w:lvl w:ilvl="0" w:tplc="BC76855C">
      <w:start w:val="1"/>
      <w:numFmt w:val="decimal"/>
      <w:lvlText w:val="(%1)"/>
      <w:lvlJc w:val="right"/>
      <w:pPr>
        <w:ind w:left="2160" w:hanging="360"/>
      </w:pPr>
      <w:rPr>
        <w:rFonts w:hint="default"/>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1183388"/>
    <w:multiLevelType w:val="hybridMultilevel"/>
    <w:tmpl w:val="44C825F0"/>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42706BA"/>
    <w:multiLevelType w:val="hybridMultilevel"/>
    <w:tmpl w:val="5358E5A2"/>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643577F"/>
    <w:multiLevelType w:val="hybridMultilevel"/>
    <w:tmpl w:val="F4A60946"/>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C466DD"/>
    <w:multiLevelType w:val="hybridMultilevel"/>
    <w:tmpl w:val="D1EAA51A"/>
    <w:lvl w:ilvl="0" w:tplc="68B6A986">
      <w:start w:val="1"/>
      <w:numFmt w:val="upperLetter"/>
      <w:pStyle w:val="Heading2"/>
      <w:lvlText w:val="%1."/>
      <w:lvlJc w:val="left"/>
      <w:pPr>
        <w:ind w:left="1080" w:hanging="360"/>
      </w:pPr>
      <w:rPr>
        <w:rFonts w:hint="default"/>
      </w:rPr>
    </w:lvl>
    <w:lvl w:ilvl="1" w:tplc="DFCE8170">
      <w:start w:val="1"/>
      <w:numFmt w:val="decimal"/>
      <w:lvlText w:val="%2."/>
      <w:lvlJc w:val="left"/>
      <w:pPr>
        <w:ind w:left="2520" w:hanging="720"/>
      </w:pPr>
      <w:rPr>
        <w:rFonts w:ascii="Arial" w:eastAsia="Calibri" w:hAnsi="Arial" w:cs="Arial" w:hint="default"/>
        <w:b w:val="0"/>
        <w:bCs w:val="0"/>
      </w:rPr>
    </w:lvl>
    <w:lvl w:ilvl="2" w:tplc="04090019">
      <w:start w:val="1"/>
      <w:numFmt w:val="lowerLetter"/>
      <w:lvlText w:val="%3."/>
      <w:lvlJc w:val="left"/>
      <w:pPr>
        <w:ind w:left="2700" w:hanging="360"/>
      </w:pPr>
    </w:lvl>
    <w:lvl w:ilvl="3" w:tplc="035AD484">
      <w:start w:val="1"/>
      <w:numFmt w:val="lowerLetter"/>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354BBB"/>
    <w:multiLevelType w:val="hybridMultilevel"/>
    <w:tmpl w:val="369A4426"/>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4A1B81"/>
    <w:multiLevelType w:val="hybridMultilevel"/>
    <w:tmpl w:val="B80407C4"/>
    <w:lvl w:ilvl="0" w:tplc="1C04308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65DC0"/>
    <w:multiLevelType w:val="multilevel"/>
    <w:tmpl w:val="0E9829BC"/>
    <w:styleLink w:val="CurrentList2"/>
    <w:lvl w:ilvl="0">
      <w:start w:val="1"/>
      <w:numFmt w:val="upperLetter"/>
      <w:lvlText w:val="%1."/>
      <w:lvlJc w:val="left"/>
      <w:pPr>
        <w:ind w:left="720" w:hanging="360"/>
      </w:pPr>
      <w:rPr>
        <w:rFonts w:hint="default"/>
        <w:b/>
      </w:rPr>
    </w:lvl>
    <w:lvl w:ilvl="1">
      <w:start w:val="1"/>
      <w:numFmt w:val="decimal"/>
      <w:lvlText w:val="%2."/>
      <w:lvlJc w:val="left"/>
      <w:pPr>
        <w:ind w:left="2160" w:hanging="201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4F4445"/>
    <w:multiLevelType w:val="hybridMultilevel"/>
    <w:tmpl w:val="3FFE3CDA"/>
    <w:lvl w:ilvl="0" w:tplc="E620F3B0">
      <w:start w:val="1"/>
      <w:numFmt w:val="bullet"/>
      <w:pStyle w:val="ListParagraph2"/>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4EA5461F"/>
    <w:multiLevelType w:val="hybridMultilevel"/>
    <w:tmpl w:val="D0B40974"/>
    <w:lvl w:ilvl="0" w:tplc="86BEAB1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62168"/>
    <w:multiLevelType w:val="hybridMultilevel"/>
    <w:tmpl w:val="A91C26E0"/>
    <w:lvl w:ilvl="0" w:tplc="A9268E7E">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E547D45"/>
    <w:multiLevelType w:val="hybridMultilevel"/>
    <w:tmpl w:val="F4A60946"/>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69F40BC"/>
    <w:multiLevelType w:val="hybridMultilevel"/>
    <w:tmpl w:val="7B922CA6"/>
    <w:lvl w:ilvl="0" w:tplc="5BE4AD50">
      <w:start w:val="1"/>
      <w:numFmt w:val="bullet"/>
      <w:pStyle w:val="ListParagraph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1D5B25"/>
    <w:multiLevelType w:val="hybridMultilevel"/>
    <w:tmpl w:val="D2AA6C46"/>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E883166"/>
    <w:multiLevelType w:val="hybridMultilevel"/>
    <w:tmpl w:val="5956D436"/>
    <w:lvl w:ilvl="0" w:tplc="A2AAC662">
      <w:start w:val="1"/>
      <w:numFmt w:val="lowerLetter"/>
      <w:pStyle w:val="Heading4"/>
      <w:lvlText w:val="%1."/>
      <w:lvlJc w:val="left"/>
      <w:pPr>
        <w:ind w:left="1800" w:hanging="360"/>
      </w:pPr>
      <w:rPr>
        <w:rFonts w:hint="default"/>
        <w:b/>
        <w:i w:val="0"/>
        <w:sz w:val="22"/>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23" w15:restartNumberingAfterBreak="0">
    <w:nsid w:val="72E9165C"/>
    <w:multiLevelType w:val="hybridMultilevel"/>
    <w:tmpl w:val="6972CC0E"/>
    <w:lvl w:ilvl="0" w:tplc="FFFFFFFF">
      <w:start w:val="1"/>
      <w:numFmt w:val="upperLetter"/>
      <w:lvlText w:val="%1."/>
      <w:lvlJc w:val="left"/>
      <w:pPr>
        <w:ind w:left="1080" w:hanging="360"/>
      </w:pPr>
    </w:lvl>
    <w:lvl w:ilvl="1" w:tplc="FFFFFFFF">
      <w:start w:val="1"/>
      <w:numFmt w:val="decimal"/>
      <w:lvlText w:val="%2."/>
      <w:lvlJc w:val="left"/>
      <w:pPr>
        <w:ind w:left="2520" w:hanging="720"/>
      </w:pPr>
      <w:rPr>
        <w:rFonts w:ascii="Arial" w:eastAsia="Calibri" w:hAnsi="Arial" w:cs="Arial" w:hint="default"/>
        <w:b w:val="0"/>
        <w:bCs w:val="0"/>
      </w:rPr>
    </w:lvl>
    <w:lvl w:ilvl="2" w:tplc="FFFFFFFF">
      <w:start w:val="1"/>
      <w:numFmt w:val="lowerLetter"/>
      <w:lvlText w:val="%3."/>
      <w:lvlJc w:val="left"/>
      <w:pPr>
        <w:ind w:left="2700" w:hanging="360"/>
      </w:pPr>
    </w:lvl>
    <w:lvl w:ilvl="3" w:tplc="FFFFFFFF">
      <w:start w:val="1"/>
      <w:numFmt w:val="lowerLetter"/>
      <w:lvlText w:val="%4."/>
      <w:lvlJc w:val="left"/>
      <w:pPr>
        <w:ind w:left="3240" w:hanging="360"/>
      </w:pPr>
      <w:rPr>
        <w:rFonts w:hint="default"/>
        <w:b/>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54C28E0"/>
    <w:multiLevelType w:val="hybridMultilevel"/>
    <w:tmpl w:val="0632E8EE"/>
    <w:lvl w:ilvl="0" w:tplc="E59072C8">
      <w:start w:val="1"/>
      <w:numFmt w:val="decimal"/>
      <w:pStyle w:val="Heading3"/>
      <w:lvlText w:val="%1."/>
      <w:lvlJc w:val="left"/>
      <w:pPr>
        <w:ind w:left="1440" w:hanging="360"/>
      </w:pPr>
      <w:rPr>
        <w:rFonts w:ascii="Arial" w:hAnsi="Arial" w:cs="Arial" w:hint="default"/>
        <w:b/>
        <w:bCs w:val="0"/>
        <w:i w:val="0"/>
        <w:i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46064E"/>
    <w:multiLevelType w:val="hybridMultilevel"/>
    <w:tmpl w:val="21A0677C"/>
    <w:lvl w:ilvl="0" w:tplc="F8405150">
      <w:start w:val="1"/>
      <w:numFmt w:val="decimal"/>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60780663">
    <w:abstractNumId w:val="0"/>
  </w:num>
  <w:num w:numId="2" w16cid:durableId="1860582865">
    <w:abstractNumId w:val="3"/>
  </w:num>
  <w:num w:numId="3" w16cid:durableId="1293057395">
    <w:abstractNumId w:val="15"/>
  </w:num>
  <w:num w:numId="4" w16cid:durableId="1644852598">
    <w:abstractNumId w:val="4"/>
  </w:num>
  <w:num w:numId="5" w16cid:durableId="46954838">
    <w:abstractNumId w:val="6"/>
  </w:num>
  <w:num w:numId="6" w16cid:durableId="1195845075">
    <w:abstractNumId w:val="16"/>
  </w:num>
  <w:num w:numId="7" w16cid:durableId="390421789">
    <w:abstractNumId w:val="20"/>
  </w:num>
  <w:num w:numId="8" w16cid:durableId="1402865901">
    <w:abstractNumId w:val="5"/>
  </w:num>
  <w:num w:numId="9" w16cid:durableId="1063219864">
    <w:abstractNumId w:val="24"/>
    <w:lvlOverride w:ilvl="0">
      <w:startOverride w:val="1"/>
    </w:lvlOverride>
  </w:num>
  <w:num w:numId="10" w16cid:durableId="258803888">
    <w:abstractNumId w:val="24"/>
    <w:lvlOverride w:ilvl="0">
      <w:startOverride w:val="1"/>
    </w:lvlOverride>
  </w:num>
  <w:num w:numId="11" w16cid:durableId="1660617570">
    <w:abstractNumId w:val="22"/>
  </w:num>
  <w:num w:numId="12" w16cid:durableId="404645280">
    <w:abstractNumId w:val="24"/>
    <w:lvlOverride w:ilvl="0">
      <w:startOverride w:val="1"/>
    </w:lvlOverride>
  </w:num>
  <w:num w:numId="13" w16cid:durableId="2101756573">
    <w:abstractNumId w:val="24"/>
    <w:lvlOverride w:ilvl="0">
      <w:startOverride w:val="1"/>
    </w:lvlOverride>
  </w:num>
  <w:num w:numId="14" w16cid:durableId="1910458782">
    <w:abstractNumId w:val="22"/>
    <w:lvlOverride w:ilvl="0">
      <w:startOverride w:val="1"/>
    </w:lvlOverride>
  </w:num>
  <w:num w:numId="15" w16cid:durableId="2036930087">
    <w:abstractNumId w:val="1"/>
  </w:num>
  <w:num w:numId="16" w16cid:durableId="60568363">
    <w:abstractNumId w:val="23"/>
  </w:num>
  <w:num w:numId="17" w16cid:durableId="675885093">
    <w:abstractNumId w:val="14"/>
  </w:num>
  <w:num w:numId="18" w16cid:durableId="119148925">
    <w:abstractNumId w:val="13"/>
  </w:num>
  <w:num w:numId="19" w16cid:durableId="2138135705">
    <w:abstractNumId w:val="7"/>
  </w:num>
  <w:num w:numId="20" w16cid:durableId="1258295095">
    <w:abstractNumId w:val="10"/>
  </w:num>
  <w:num w:numId="21" w16cid:durableId="1409883060">
    <w:abstractNumId w:val="21"/>
  </w:num>
  <w:num w:numId="22" w16cid:durableId="780227981">
    <w:abstractNumId w:val="9"/>
  </w:num>
  <w:num w:numId="23" w16cid:durableId="1617365182">
    <w:abstractNumId w:val="24"/>
  </w:num>
  <w:num w:numId="24" w16cid:durableId="176311360">
    <w:abstractNumId w:val="24"/>
    <w:lvlOverride w:ilvl="0">
      <w:startOverride w:val="1"/>
    </w:lvlOverride>
  </w:num>
  <w:num w:numId="25" w16cid:durableId="1833108267">
    <w:abstractNumId w:val="22"/>
    <w:lvlOverride w:ilvl="0">
      <w:startOverride w:val="1"/>
    </w:lvlOverride>
  </w:num>
  <w:num w:numId="26" w16cid:durableId="602878568">
    <w:abstractNumId w:val="19"/>
  </w:num>
  <w:num w:numId="27" w16cid:durableId="714964562">
    <w:abstractNumId w:val="24"/>
    <w:lvlOverride w:ilvl="0">
      <w:startOverride w:val="1"/>
    </w:lvlOverride>
  </w:num>
  <w:num w:numId="28" w16cid:durableId="994182455">
    <w:abstractNumId w:val="17"/>
  </w:num>
  <w:num w:numId="29" w16cid:durableId="85083095">
    <w:abstractNumId w:val="12"/>
    <w:lvlOverride w:ilvl="0">
      <w:startOverride w:val="3"/>
    </w:lvlOverride>
  </w:num>
  <w:num w:numId="30" w16cid:durableId="174805212">
    <w:abstractNumId w:val="18"/>
  </w:num>
  <w:num w:numId="31" w16cid:durableId="1788114824">
    <w:abstractNumId w:val="24"/>
    <w:lvlOverride w:ilvl="0">
      <w:startOverride w:val="1"/>
    </w:lvlOverride>
  </w:num>
  <w:num w:numId="32" w16cid:durableId="13851366">
    <w:abstractNumId w:val="25"/>
  </w:num>
  <w:num w:numId="33" w16cid:durableId="88308836">
    <w:abstractNumId w:val="12"/>
    <w:lvlOverride w:ilvl="0">
      <w:startOverride w:val="1"/>
    </w:lvlOverride>
  </w:num>
  <w:num w:numId="34" w16cid:durableId="387996304">
    <w:abstractNumId w:val="2"/>
  </w:num>
  <w:num w:numId="35" w16cid:durableId="1945844562">
    <w:abstractNumId w:val="12"/>
    <w:lvlOverride w:ilvl="0">
      <w:startOverride w:val="2"/>
    </w:lvlOverride>
  </w:num>
  <w:num w:numId="36" w16cid:durableId="624699938">
    <w:abstractNumId w:val="8"/>
  </w:num>
  <w:num w:numId="37" w16cid:durableId="1746801405">
    <w:abstractNumId w:val="11"/>
  </w:num>
  <w:num w:numId="38" w16cid:durableId="1451171133">
    <w:abstractNumId w:val="12"/>
  </w:num>
  <w:num w:numId="39" w16cid:durableId="1405643620">
    <w:abstractNumId w:val="24"/>
    <w:lvlOverride w:ilvl="0">
      <w:startOverride w:val="1"/>
    </w:lvlOverride>
  </w:num>
  <w:num w:numId="40" w16cid:durableId="907884583">
    <w:abstractNumId w:val="12"/>
    <w:lvlOverride w:ilvl="0">
      <w:startOverride w:val="2"/>
    </w:lvlOverride>
  </w:num>
  <w:num w:numId="41" w16cid:durableId="342125553">
    <w:abstractNumId w:val="24"/>
  </w:num>
  <w:num w:numId="42" w16cid:durableId="1521237291">
    <w:abstractNumId w:val="24"/>
    <w:lvlOverride w:ilvl="0">
      <w:startOverride w:val="4"/>
    </w:lvlOverride>
  </w:num>
  <w:num w:numId="43" w16cid:durableId="45378438">
    <w:abstractNumId w:val="24"/>
  </w:num>
  <w:num w:numId="44" w16cid:durableId="1885943776">
    <w:abstractNumId w:val="24"/>
    <w:lvlOverride w:ilvl="0">
      <w:startOverride w:val="4"/>
    </w:lvlOverride>
  </w:num>
  <w:num w:numId="45" w16cid:durableId="1504510459">
    <w:abstractNumId w:val="24"/>
    <w:lvlOverride w:ilvl="0">
      <w:startOverride w:val="2"/>
    </w:lvlOverride>
  </w:num>
  <w:num w:numId="46" w16cid:durableId="355348296">
    <w:abstractNumId w:val="24"/>
    <w:lvlOverride w:ilvl="0">
      <w:startOverride w:val="1"/>
    </w:lvlOverride>
  </w:num>
  <w:num w:numId="47" w16cid:durableId="943418441">
    <w:abstractNumId w:val="12"/>
    <w:lvlOverride w:ilvl="0">
      <w:startOverride w:val="1"/>
    </w:lvlOverride>
  </w:num>
  <w:num w:numId="48" w16cid:durableId="902251183">
    <w:abstractNumId w:val="12"/>
    <w:lvlOverride w:ilvl="0">
      <w:startOverride w:val="2"/>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0E9833-C362-4576-8B62-08711CE0AFD9}"/>
    <w:docVar w:name="dgnword-eventsink" w:val="511325744"/>
  </w:docVars>
  <w:rsids>
    <w:rsidRoot w:val="00317334"/>
    <w:rsid w:val="00003D3C"/>
    <w:rsid w:val="000046B2"/>
    <w:rsid w:val="000059E7"/>
    <w:rsid w:val="00005E47"/>
    <w:rsid w:val="00007459"/>
    <w:rsid w:val="00010FFF"/>
    <w:rsid w:val="00012595"/>
    <w:rsid w:val="00020902"/>
    <w:rsid w:val="000215AC"/>
    <w:rsid w:val="00021AF8"/>
    <w:rsid w:val="000246D3"/>
    <w:rsid w:val="00024C69"/>
    <w:rsid w:val="00030049"/>
    <w:rsid w:val="000300D5"/>
    <w:rsid w:val="00031472"/>
    <w:rsid w:val="000317D7"/>
    <w:rsid w:val="00032075"/>
    <w:rsid w:val="00032CA1"/>
    <w:rsid w:val="0003352B"/>
    <w:rsid w:val="0003720D"/>
    <w:rsid w:val="00041A4B"/>
    <w:rsid w:val="00044493"/>
    <w:rsid w:val="00044558"/>
    <w:rsid w:val="00044709"/>
    <w:rsid w:val="00044AE2"/>
    <w:rsid w:val="000473DE"/>
    <w:rsid w:val="00047D00"/>
    <w:rsid w:val="00051E57"/>
    <w:rsid w:val="0005241A"/>
    <w:rsid w:val="000525D3"/>
    <w:rsid w:val="00053BA1"/>
    <w:rsid w:val="00053D75"/>
    <w:rsid w:val="000571E6"/>
    <w:rsid w:val="00062CE5"/>
    <w:rsid w:val="000632C6"/>
    <w:rsid w:val="00063D23"/>
    <w:rsid w:val="00064C14"/>
    <w:rsid w:val="00066201"/>
    <w:rsid w:val="000711BD"/>
    <w:rsid w:val="00076C9A"/>
    <w:rsid w:val="00076E68"/>
    <w:rsid w:val="00076EED"/>
    <w:rsid w:val="00077398"/>
    <w:rsid w:val="00081D58"/>
    <w:rsid w:val="00082246"/>
    <w:rsid w:val="000830EF"/>
    <w:rsid w:val="00084497"/>
    <w:rsid w:val="0008567C"/>
    <w:rsid w:val="00087983"/>
    <w:rsid w:val="00087A70"/>
    <w:rsid w:val="000907D0"/>
    <w:rsid w:val="00090E03"/>
    <w:rsid w:val="00091678"/>
    <w:rsid w:val="00091E7E"/>
    <w:rsid w:val="00091ED2"/>
    <w:rsid w:val="00092C7E"/>
    <w:rsid w:val="00095AE0"/>
    <w:rsid w:val="00097252"/>
    <w:rsid w:val="00097BAA"/>
    <w:rsid w:val="000A0F74"/>
    <w:rsid w:val="000A1BAB"/>
    <w:rsid w:val="000A6603"/>
    <w:rsid w:val="000A7BAE"/>
    <w:rsid w:val="000B00DB"/>
    <w:rsid w:val="000B1B34"/>
    <w:rsid w:val="000B2850"/>
    <w:rsid w:val="000B3B94"/>
    <w:rsid w:val="000B40BE"/>
    <w:rsid w:val="000B4E5B"/>
    <w:rsid w:val="000C16A6"/>
    <w:rsid w:val="000C16D4"/>
    <w:rsid w:val="000C283F"/>
    <w:rsid w:val="000C4573"/>
    <w:rsid w:val="000D00BA"/>
    <w:rsid w:val="000D39D1"/>
    <w:rsid w:val="000D3CE1"/>
    <w:rsid w:val="000D4662"/>
    <w:rsid w:val="000D5598"/>
    <w:rsid w:val="000D5911"/>
    <w:rsid w:val="000D76C0"/>
    <w:rsid w:val="000D7890"/>
    <w:rsid w:val="000E0F9D"/>
    <w:rsid w:val="000E1CAB"/>
    <w:rsid w:val="000E1DAE"/>
    <w:rsid w:val="000E4490"/>
    <w:rsid w:val="000E55C4"/>
    <w:rsid w:val="000E5610"/>
    <w:rsid w:val="000E63DA"/>
    <w:rsid w:val="000E665F"/>
    <w:rsid w:val="000E683C"/>
    <w:rsid w:val="000F079C"/>
    <w:rsid w:val="000F4C21"/>
    <w:rsid w:val="000F5C2B"/>
    <w:rsid w:val="00100A08"/>
    <w:rsid w:val="00102D24"/>
    <w:rsid w:val="00105435"/>
    <w:rsid w:val="001061A1"/>
    <w:rsid w:val="001119AD"/>
    <w:rsid w:val="001128DD"/>
    <w:rsid w:val="00112F97"/>
    <w:rsid w:val="00113ABA"/>
    <w:rsid w:val="00116FA0"/>
    <w:rsid w:val="00117E41"/>
    <w:rsid w:val="00121C33"/>
    <w:rsid w:val="00122F34"/>
    <w:rsid w:val="00123781"/>
    <w:rsid w:val="0012396C"/>
    <w:rsid w:val="001245D3"/>
    <w:rsid w:val="001302F3"/>
    <w:rsid w:val="0013154B"/>
    <w:rsid w:val="00131AB6"/>
    <w:rsid w:val="00133A98"/>
    <w:rsid w:val="00133B2C"/>
    <w:rsid w:val="00133C04"/>
    <w:rsid w:val="00135652"/>
    <w:rsid w:val="00135DD1"/>
    <w:rsid w:val="00136DA8"/>
    <w:rsid w:val="00137957"/>
    <w:rsid w:val="0014288F"/>
    <w:rsid w:val="0014296E"/>
    <w:rsid w:val="00142C80"/>
    <w:rsid w:val="00142CF4"/>
    <w:rsid w:val="00146FBF"/>
    <w:rsid w:val="00147684"/>
    <w:rsid w:val="00154DC9"/>
    <w:rsid w:val="00155206"/>
    <w:rsid w:val="0015654E"/>
    <w:rsid w:val="00163083"/>
    <w:rsid w:val="001670F8"/>
    <w:rsid w:val="0016730B"/>
    <w:rsid w:val="00170B10"/>
    <w:rsid w:val="0017118B"/>
    <w:rsid w:val="001723C7"/>
    <w:rsid w:val="00173EF4"/>
    <w:rsid w:val="00175023"/>
    <w:rsid w:val="00176417"/>
    <w:rsid w:val="00176E8C"/>
    <w:rsid w:val="00177BD7"/>
    <w:rsid w:val="00180097"/>
    <w:rsid w:val="00184954"/>
    <w:rsid w:val="00187977"/>
    <w:rsid w:val="001904A2"/>
    <w:rsid w:val="0019279C"/>
    <w:rsid w:val="00196EEE"/>
    <w:rsid w:val="00197D8B"/>
    <w:rsid w:val="001A0551"/>
    <w:rsid w:val="001A2A7A"/>
    <w:rsid w:val="001A4640"/>
    <w:rsid w:val="001B0D69"/>
    <w:rsid w:val="001B1070"/>
    <w:rsid w:val="001B1221"/>
    <w:rsid w:val="001B1427"/>
    <w:rsid w:val="001B16A3"/>
    <w:rsid w:val="001B4A72"/>
    <w:rsid w:val="001B6FEE"/>
    <w:rsid w:val="001C15DD"/>
    <w:rsid w:val="001C1ABE"/>
    <w:rsid w:val="001C2D77"/>
    <w:rsid w:val="001C4445"/>
    <w:rsid w:val="001C5550"/>
    <w:rsid w:val="001C56FD"/>
    <w:rsid w:val="001C58BF"/>
    <w:rsid w:val="001C70DF"/>
    <w:rsid w:val="001D09AA"/>
    <w:rsid w:val="001D2AEF"/>
    <w:rsid w:val="001D3B37"/>
    <w:rsid w:val="001D41D9"/>
    <w:rsid w:val="001D4F54"/>
    <w:rsid w:val="001D6ACB"/>
    <w:rsid w:val="001D79D9"/>
    <w:rsid w:val="001E0B49"/>
    <w:rsid w:val="001E13B5"/>
    <w:rsid w:val="001E1466"/>
    <w:rsid w:val="001E2B7B"/>
    <w:rsid w:val="001E3747"/>
    <w:rsid w:val="001E3923"/>
    <w:rsid w:val="001E4691"/>
    <w:rsid w:val="001E780A"/>
    <w:rsid w:val="001F01EB"/>
    <w:rsid w:val="001F4DFB"/>
    <w:rsid w:val="001F5CB9"/>
    <w:rsid w:val="001F5FD5"/>
    <w:rsid w:val="001F65D0"/>
    <w:rsid w:val="00200DF4"/>
    <w:rsid w:val="00201E00"/>
    <w:rsid w:val="002029E2"/>
    <w:rsid w:val="00205937"/>
    <w:rsid w:val="00206892"/>
    <w:rsid w:val="00210DAA"/>
    <w:rsid w:val="00211C32"/>
    <w:rsid w:val="0021213E"/>
    <w:rsid w:val="00214296"/>
    <w:rsid w:val="0022008C"/>
    <w:rsid w:val="002207B7"/>
    <w:rsid w:val="00221937"/>
    <w:rsid w:val="002243CB"/>
    <w:rsid w:val="002300BB"/>
    <w:rsid w:val="00230401"/>
    <w:rsid w:val="00232B1D"/>
    <w:rsid w:val="00234352"/>
    <w:rsid w:val="002349D8"/>
    <w:rsid w:val="00235656"/>
    <w:rsid w:val="0023697D"/>
    <w:rsid w:val="002376B2"/>
    <w:rsid w:val="00237DF6"/>
    <w:rsid w:val="002418EF"/>
    <w:rsid w:val="0024193A"/>
    <w:rsid w:val="00241D69"/>
    <w:rsid w:val="00242CC1"/>
    <w:rsid w:val="00242F78"/>
    <w:rsid w:val="00244F3F"/>
    <w:rsid w:val="00245F6C"/>
    <w:rsid w:val="00252011"/>
    <w:rsid w:val="00252721"/>
    <w:rsid w:val="002556C8"/>
    <w:rsid w:val="00255B8E"/>
    <w:rsid w:val="00255F6B"/>
    <w:rsid w:val="002572B1"/>
    <w:rsid w:val="002576D8"/>
    <w:rsid w:val="00260CA9"/>
    <w:rsid w:val="0026100B"/>
    <w:rsid w:val="00261498"/>
    <w:rsid w:val="00266755"/>
    <w:rsid w:val="002667C5"/>
    <w:rsid w:val="00267372"/>
    <w:rsid w:val="00271303"/>
    <w:rsid w:val="00271502"/>
    <w:rsid w:val="00271A6B"/>
    <w:rsid w:val="00272C06"/>
    <w:rsid w:val="00274020"/>
    <w:rsid w:val="002755F5"/>
    <w:rsid w:val="002767B1"/>
    <w:rsid w:val="00276C21"/>
    <w:rsid w:val="002774DC"/>
    <w:rsid w:val="0028077A"/>
    <w:rsid w:val="00281F0D"/>
    <w:rsid w:val="002855B7"/>
    <w:rsid w:val="00286B86"/>
    <w:rsid w:val="00286E20"/>
    <w:rsid w:val="00292A11"/>
    <w:rsid w:val="00293DF9"/>
    <w:rsid w:val="00295097"/>
    <w:rsid w:val="00295DD2"/>
    <w:rsid w:val="00295E1F"/>
    <w:rsid w:val="002961E1"/>
    <w:rsid w:val="002A0456"/>
    <w:rsid w:val="002A3353"/>
    <w:rsid w:val="002A3D37"/>
    <w:rsid w:val="002A3E9C"/>
    <w:rsid w:val="002A6571"/>
    <w:rsid w:val="002A6ECC"/>
    <w:rsid w:val="002B22B5"/>
    <w:rsid w:val="002B484D"/>
    <w:rsid w:val="002B586D"/>
    <w:rsid w:val="002B68F1"/>
    <w:rsid w:val="002C1EDB"/>
    <w:rsid w:val="002C3261"/>
    <w:rsid w:val="002C4312"/>
    <w:rsid w:val="002C4DA9"/>
    <w:rsid w:val="002C5389"/>
    <w:rsid w:val="002C58F9"/>
    <w:rsid w:val="002C63B8"/>
    <w:rsid w:val="002C7038"/>
    <w:rsid w:val="002D0746"/>
    <w:rsid w:val="002D1AA2"/>
    <w:rsid w:val="002D46D0"/>
    <w:rsid w:val="002D5910"/>
    <w:rsid w:val="002D60D9"/>
    <w:rsid w:val="002D73F0"/>
    <w:rsid w:val="002E2D78"/>
    <w:rsid w:val="002E343A"/>
    <w:rsid w:val="002E359A"/>
    <w:rsid w:val="002E46FA"/>
    <w:rsid w:val="002F1F6C"/>
    <w:rsid w:val="002F4A06"/>
    <w:rsid w:val="002F5A5F"/>
    <w:rsid w:val="002F6C96"/>
    <w:rsid w:val="00301FF3"/>
    <w:rsid w:val="003022D6"/>
    <w:rsid w:val="003036C0"/>
    <w:rsid w:val="003061B3"/>
    <w:rsid w:val="00306F41"/>
    <w:rsid w:val="00307AB5"/>
    <w:rsid w:val="00307C1C"/>
    <w:rsid w:val="003108C0"/>
    <w:rsid w:val="00310A0F"/>
    <w:rsid w:val="003112AF"/>
    <w:rsid w:val="003117C2"/>
    <w:rsid w:val="00311F2D"/>
    <w:rsid w:val="00313784"/>
    <w:rsid w:val="00314109"/>
    <w:rsid w:val="003143A1"/>
    <w:rsid w:val="00314F0E"/>
    <w:rsid w:val="00315860"/>
    <w:rsid w:val="00316278"/>
    <w:rsid w:val="003162A1"/>
    <w:rsid w:val="00317334"/>
    <w:rsid w:val="003173FF"/>
    <w:rsid w:val="003174D1"/>
    <w:rsid w:val="003209C6"/>
    <w:rsid w:val="00320BFD"/>
    <w:rsid w:val="003213EF"/>
    <w:rsid w:val="00325CE7"/>
    <w:rsid w:val="00325D82"/>
    <w:rsid w:val="003260B8"/>
    <w:rsid w:val="00326D2B"/>
    <w:rsid w:val="0032767F"/>
    <w:rsid w:val="00327C5C"/>
    <w:rsid w:val="00331474"/>
    <w:rsid w:val="003314D0"/>
    <w:rsid w:val="00335A69"/>
    <w:rsid w:val="003370A2"/>
    <w:rsid w:val="0034135C"/>
    <w:rsid w:val="003422D1"/>
    <w:rsid w:val="003426AB"/>
    <w:rsid w:val="003426E4"/>
    <w:rsid w:val="00342E1B"/>
    <w:rsid w:val="00342EFF"/>
    <w:rsid w:val="003451B3"/>
    <w:rsid w:val="00346110"/>
    <w:rsid w:val="00346C64"/>
    <w:rsid w:val="003510D4"/>
    <w:rsid w:val="00352E25"/>
    <w:rsid w:val="00354DBD"/>
    <w:rsid w:val="00354ECC"/>
    <w:rsid w:val="00354F84"/>
    <w:rsid w:val="0035515C"/>
    <w:rsid w:val="00355801"/>
    <w:rsid w:val="00355EAF"/>
    <w:rsid w:val="00356FCC"/>
    <w:rsid w:val="003605DE"/>
    <w:rsid w:val="00361246"/>
    <w:rsid w:val="003616F2"/>
    <w:rsid w:val="00363F33"/>
    <w:rsid w:val="00364762"/>
    <w:rsid w:val="00364F84"/>
    <w:rsid w:val="0036727D"/>
    <w:rsid w:val="0037044B"/>
    <w:rsid w:val="003726AC"/>
    <w:rsid w:val="00372FBC"/>
    <w:rsid w:val="0037449F"/>
    <w:rsid w:val="003750D0"/>
    <w:rsid w:val="00375FAD"/>
    <w:rsid w:val="00377C7E"/>
    <w:rsid w:val="0038273B"/>
    <w:rsid w:val="00382F8A"/>
    <w:rsid w:val="00383211"/>
    <w:rsid w:val="00383566"/>
    <w:rsid w:val="0039311E"/>
    <w:rsid w:val="00395277"/>
    <w:rsid w:val="00397FB3"/>
    <w:rsid w:val="003A04A1"/>
    <w:rsid w:val="003A07C8"/>
    <w:rsid w:val="003A1DF2"/>
    <w:rsid w:val="003A1E2A"/>
    <w:rsid w:val="003A20A6"/>
    <w:rsid w:val="003A26BF"/>
    <w:rsid w:val="003A542D"/>
    <w:rsid w:val="003A7C36"/>
    <w:rsid w:val="003B303A"/>
    <w:rsid w:val="003B346E"/>
    <w:rsid w:val="003B5506"/>
    <w:rsid w:val="003B7588"/>
    <w:rsid w:val="003C19DA"/>
    <w:rsid w:val="003C2037"/>
    <w:rsid w:val="003C209E"/>
    <w:rsid w:val="003C2A4B"/>
    <w:rsid w:val="003C2A97"/>
    <w:rsid w:val="003C2CB9"/>
    <w:rsid w:val="003C4DD8"/>
    <w:rsid w:val="003C5237"/>
    <w:rsid w:val="003C6DB9"/>
    <w:rsid w:val="003C7E5E"/>
    <w:rsid w:val="003D0415"/>
    <w:rsid w:val="003D044D"/>
    <w:rsid w:val="003D05A5"/>
    <w:rsid w:val="003D1663"/>
    <w:rsid w:val="003D5C64"/>
    <w:rsid w:val="003D6E96"/>
    <w:rsid w:val="003D711B"/>
    <w:rsid w:val="003E2A14"/>
    <w:rsid w:val="003E5A5C"/>
    <w:rsid w:val="003E61F2"/>
    <w:rsid w:val="003F0326"/>
    <w:rsid w:val="003F14CC"/>
    <w:rsid w:val="003F4245"/>
    <w:rsid w:val="003F53BF"/>
    <w:rsid w:val="003F70FD"/>
    <w:rsid w:val="003F761D"/>
    <w:rsid w:val="00400BCC"/>
    <w:rsid w:val="004019C3"/>
    <w:rsid w:val="00401CFD"/>
    <w:rsid w:val="0040305C"/>
    <w:rsid w:val="0040735F"/>
    <w:rsid w:val="0041058C"/>
    <w:rsid w:val="004113E1"/>
    <w:rsid w:val="0041160F"/>
    <w:rsid w:val="00411A8B"/>
    <w:rsid w:val="00412A85"/>
    <w:rsid w:val="0041321F"/>
    <w:rsid w:val="0041394C"/>
    <w:rsid w:val="004166C3"/>
    <w:rsid w:val="00417597"/>
    <w:rsid w:val="004234CD"/>
    <w:rsid w:val="0042409D"/>
    <w:rsid w:val="004240A6"/>
    <w:rsid w:val="004246A9"/>
    <w:rsid w:val="00425415"/>
    <w:rsid w:val="00426F55"/>
    <w:rsid w:val="004271A5"/>
    <w:rsid w:val="00427904"/>
    <w:rsid w:val="0043014D"/>
    <w:rsid w:val="00431513"/>
    <w:rsid w:val="00432954"/>
    <w:rsid w:val="004344F8"/>
    <w:rsid w:val="00435CD8"/>
    <w:rsid w:val="004363BF"/>
    <w:rsid w:val="00436CD9"/>
    <w:rsid w:val="004372DE"/>
    <w:rsid w:val="004377A3"/>
    <w:rsid w:val="004379DA"/>
    <w:rsid w:val="00440688"/>
    <w:rsid w:val="00441F97"/>
    <w:rsid w:val="00443E08"/>
    <w:rsid w:val="00444EC2"/>
    <w:rsid w:val="00446469"/>
    <w:rsid w:val="004479C9"/>
    <w:rsid w:val="0045110E"/>
    <w:rsid w:val="00452E83"/>
    <w:rsid w:val="004530FC"/>
    <w:rsid w:val="00453832"/>
    <w:rsid w:val="00455E8D"/>
    <w:rsid w:val="004561AC"/>
    <w:rsid w:val="00456285"/>
    <w:rsid w:val="00457FF3"/>
    <w:rsid w:val="00460A2E"/>
    <w:rsid w:val="00462A89"/>
    <w:rsid w:val="0046434A"/>
    <w:rsid w:val="00464383"/>
    <w:rsid w:val="00464C3E"/>
    <w:rsid w:val="00464E37"/>
    <w:rsid w:val="004667EA"/>
    <w:rsid w:val="00466B11"/>
    <w:rsid w:val="00467EFA"/>
    <w:rsid w:val="0047114A"/>
    <w:rsid w:val="0047470F"/>
    <w:rsid w:val="004762A8"/>
    <w:rsid w:val="00476DEC"/>
    <w:rsid w:val="00480A82"/>
    <w:rsid w:val="00480B0C"/>
    <w:rsid w:val="00481F0F"/>
    <w:rsid w:val="0048560F"/>
    <w:rsid w:val="00485D47"/>
    <w:rsid w:val="004870FF"/>
    <w:rsid w:val="004876B7"/>
    <w:rsid w:val="004877B2"/>
    <w:rsid w:val="0049104A"/>
    <w:rsid w:val="00492FD9"/>
    <w:rsid w:val="00493769"/>
    <w:rsid w:val="004952A0"/>
    <w:rsid w:val="0049660D"/>
    <w:rsid w:val="00497E64"/>
    <w:rsid w:val="004A04F1"/>
    <w:rsid w:val="004A1806"/>
    <w:rsid w:val="004A1900"/>
    <w:rsid w:val="004A33CA"/>
    <w:rsid w:val="004A3567"/>
    <w:rsid w:val="004A3912"/>
    <w:rsid w:val="004A6BDF"/>
    <w:rsid w:val="004A760B"/>
    <w:rsid w:val="004B046A"/>
    <w:rsid w:val="004B0934"/>
    <w:rsid w:val="004B0C67"/>
    <w:rsid w:val="004B22B2"/>
    <w:rsid w:val="004B4BCA"/>
    <w:rsid w:val="004B56CF"/>
    <w:rsid w:val="004B5B54"/>
    <w:rsid w:val="004B6C03"/>
    <w:rsid w:val="004B7D4D"/>
    <w:rsid w:val="004B7D8C"/>
    <w:rsid w:val="004C14A6"/>
    <w:rsid w:val="004C2F79"/>
    <w:rsid w:val="004C3B7A"/>
    <w:rsid w:val="004C5511"/>
    <w:rsid w:val="004C6933"/>
    <w:rsid w:val="004C76A3"/>
    <w:rsid w:val="004D1092"/>
    <w:rsid w:val="004D2CFB"/>
    <w:rsid w:val="004D4EEC"/>
    <w:rsid w:val="004E3588"/>
    <w:rsid w:val="004F0095"/>
    <w:rsid w:val="004F24F3"/>
    <w:rsid w:val="004F3374"/>
    <w:rsid w:val="004F4071"/>
    <w:rsid w:val="004F517F"/>
    <w:rsid w:val="004F5B20"/>
    <w:rsid w:val="004F5BBA"/>
    <w:rsid w:val="004F5D31"/>
    <w:rsid w:val="00502123"/>
    <w:rsid w:val="00503EA8"/>
    <w:rsid w:val="00504A22"/>
    <w:rsid w:val="0050562C"/>
    <w:rsid w:val="0050704F"/>
    <w:rsid w:val="00507200"/>
    <w:rsid w:val="0050788F"/>
    <w:rsid w:val="0051004E"/>
    <w:rsid w:val="00511C6F"/>
    <w:rsid w:val="0051217A"/>
    <w:rsid w:val="00515FB0"/>
    <w:rsid w:val="00521593"/>
    <w:rsid w:val="00522399"/>
    <w:rsid w:val="00524695"/>
    <w:rsid w:val="005252C2"/>
    <w:rsid w:val="00525BEA"/>
    <w:rsid w:val="00526C0B"/>
    <w:rsid w:val="00526DD1"/>
    <w:rsid w:val="00526E05"/>
    <w:rsid w:val="00526F8D"/>
    <w:rsid w:val="005271BA"/>
    <w:rsid w:val="0052749C"/>
    <w:rsid w:val="0053041F"/>
    <w:rsid w:val="00530C25"/>
    <w:rsid w:val="00530D1E"/>
    <w:rsid w:val="005322C3"/>
    <w:rsid w:val="00533668"/>
    <w:rsid w:val="00534A78"/>
    <w:rsid w:val="00535410"/>
    <w:rsid w:val="00536834"/>
    <w:rsid w:val="0053776F"/>
    <w:rsid w:val="005402B9"/>
    <w:rsid w:val="00540DA1"/>
    <w:rsid w:val="005429D6"/>
    <w:rsid w:val="0054330A"/>
    <w:rsid w:val="00543624"/>
    <w:rsid w:val="00544C38"/>
    <w:rsid w:val="005450CF"/>
    <w:rsid w:val="00550CCA"/>
    <w:rsid w:val="00550F29"/>
    <w:rsid w:val="0055275D"/>
    <w:rsid w:val="00552B61"/>
    <w:rsid w:val="00552FC6"/>
    <w:rsid w:val="00554C68"/>
    <w:rsid w:val="00556C12"/>
    <w:rsid w:val="00557A4E"/>
    <w:rsid w:val="00563510"/>
    <w:rsid w:val="005645B4"/>
    <w:rsid w:val="00564FC4"/>
    <w:rsid w:val="00567A6A"/>
    <w:rsid w:val="0057118D"/>
    <w:rsid w:val="0057129D"/>
    <w:rsid w:val="00571472"/>
    <w:rsid w:val="00572336"/>
    <w:rsid w:val="005742FA"/>
    <w:rsid w:val="00574F66"/>
    <w:rsid w:val="00576345"/>
    <w:rsid w:val="00577975"/>
    <w:rsid w:val="00577ADA"/>
    <w:rsid w:val="0058152C"/>
    <w:rsid w:val="005834EC"/>
    <w:rsid w:val="00583D53"/>
    <w:rsid w:val="00584F85"/>
    <w:rsid w:val="0058545C"/>
    <w:rsid w:val="00585B35"/>
    <w:rsid w:val="00585DD7"/>
    <w:rsid w:val="00587495"/>
    <w:rsid w:val="00587547"/>
    <w:rsid w:val="00592882"/>
    <w:rsid w:val="005951EF"/>
    <w:rsid w:val="005953D6"/>
    <w:rsid w:val="005A0684"/>
    <w:rsid w:val="005A3008"/>
    <w:rsid w:val="005A30EE"/>
    <w:rsid w:val="005A39E0"/>
    <w:rsid w:val="005A6A39"/>
    <w:rsid w:val="005B0403"/>
    <w:rsid w:val="005B05FD"/>
    <w:rsid w:val="005B0E1E"/>
    <w:rsid w:val="005B184B"/>
    <w:rsid w:val="005B1ACD"/>
    <w:rsid w:val="005B4F97"/>
    <w:rsid w:val="005B56D1"/>
    <w:rsid w:val="005B6E0C"/>
    <w:rsid w:val="005B79D4"/>
    <w:rsid w:val="005B7E86"/>
    <w:rsid w:val="005C0B00"/>
    <w:rsid w:val="005C10B0"/>
    <w:rsid w:val="005C203E"/>
    <w:rsid w:val="005C5EF9"/>
    <w:rsid w:val="005C66A6"/>
    <w:rsid w:val="005C691A"/>
    <w:rsid w:val="005D0ACF"/>
    <w:rsid w:val="005D39DB"/>
    <w:rsid w:val="005D3C95"/>
    <w:rsid w:val="005D4E41"/>
    <w:rsid w:val="005D5A5D"/>
    <w:rsid w:val="005D7CD8"/>
    <w:rsid w:val="005D7D92"/>
    <w:rsid w:val="005E11D1"/>
    <w:rsid w:val="005E4144"/>
    <w:rsid w:val="005E41CC"/>
    <w:rsid w:val="005E43B8"/>
    <w:rsid w:val="005E4603"/>
    <w:rsid w:val="005E4D96"/>
    <w:rsid w:val="005E7A28"/>
    <w:rsid w:val="005E7A34"/>
    <w:rsid w:val="005F0454"/>
    <w:rsid w:val="005F1CA2"/>
    <w:rsid w:val="005F2D6E"/>
    <w:rsid w:val="005F78A1"/>
    <w:rsid w:val="0060093F"/>
    <w:rsid w:val="006013E3"/>
    <w:rsid w:val="006039AC"/>
    <w:rsid w:val="00603F43"/>
    <w:rsid w:val="0060655B"/>
    <w:rsid w:val="00606E78"/>
    <w:rsid w:val="00606EBA"/>
    <w:rsid w:val="0061030E"/>
    <w:rsid w:val="0061188E"/>
    <w:rsid w:val="006123FC"/>
    <w:rsid w:val="00612EC4"/>
    <w:rsid w:val="00612FA3"/>
    <w:rsid w:val="006163ED"/>
    <w:rsid w:val="00617243"/>
    <w:rsid w:val="00621CF0"/>
    <w:rsid w:val="00622868"/>
    <w:rsid w:val="006234AA"/>
    <w:rsid w:val="00624494"/>
    <w:rsid w:val="00627B22"/>
    <w:rsid w:val="00631368"/>
    <w:rsid w:val="006316A7"/>
    <w:rsid w:val="0063248D"/>
    <w:rsid w:val="00632919"/>
    <w:rsid w:val="00632BF7"/>
    <w:rsid w:val="00633012"/>
    <w:rsid w:val="00636DC8"/>
    <w:rsid w:val="00642BE3"/>
    <w:rsid w:val="00643532"/>
    <w:rsid w:val="0065011C"/>
    <w:rsid w:val="00650205"/>
    <w:rsid w:val="006515B1"/>
    <w:rsid w:val="00653A9D"/>
    <w:rsid w:val="00655F6A"/>
    <w:rsid w:val="00657257"/>
    <w:rsid w:val="006574C7"/>
    <w:rsid w:val="0066021E"/>
    <w:rsid w:val="00662090"/>
    <w:rsid w:val="0066218E"/>
    <w:rsid w:val="00662440"/>
    <w:rsid w:val="006632B8"/>
    <w:rsid w:val="006640E7"/>
    <w:rsid w:val="00664D3E"/>
    <w:rsid w:val="00665BC0"/>
    <w:rsid w:val="00666938"/>
    <w:rsid w:val="006705AA"/>
    <w:rsid w:val="00674636"/>
    <w:rsid w:val="00675038"/>
    <w:rsid w:val="00675194"/>
    <w:rsid w:val="00675539"/>
    <w:rsid w:val="006765A7"/>
    <w:rsid w:val="00676D7D"/>
    <w:rsid w:val="0067718B"/>
    <w:rsid w:val="00684A64"/>
    <w:rsid w:val="0068618A"/>
    <w:rsid w:val="00686B61"/>
    <w:rsid w:val="006918F2"/>
    <w:rsid w:val="00694BA2"/>
    <w:rsid w:val="00694F88"/>
    <w:rsid w:val="006953D7"/>
    <w:rsid w:val="0069732C"/>
    <w:rsid w:val="00697A97"/>
    <w:rsid w:val="006A1E34"/>
    <w:rsid w:val="006A2603"/>
    <w:rsid w:val="006A5FFC"/>
    <w:rsid w:val="006A69AE"/>
    <w:rsid w:val="006A6DB7"/>
    <w:rsid w:val="006A7466"/>
    <w:rsid w:val="006A74E3"/>
    <w:rsid w:val="006B13F2"/>
    <w:rsid w:val="006B53A0"/>
    <w:rsid w:val="006B6BDE"/>
    <w:rsid w:val="006C39F7"/>
    <w:rsid w:val="006C3F9B"/>
    <w:rsid w:val="006C4A03"/>
    <w:rsid w:val="006C6891"/>
    <w:rsid w:val="006D18E7"/>
    <w:rsid w:val="006D1D01"/>
    <w:rsid w:val="006D227C"/>
    <w:rsid w:val="006D3E6F"/>
    <w:rsid w:val="006D4927"/>
    <w:rsid w:val="006E18FD"/>
    <w:rsid w:val="006E1E63"/>
    <w:rsid w:val="006E3349"/>
    <w:rsid w:val="006E39AE"/>
    <w:rsid w:val="006E4C42"/>
    <w:rsid w:val="006E4DDC"/>
    <w:rsid w:val="006E5BD9"/>
    <w:rsid w:val="006E61F9"/>
    <w:rsid w:val="006E6784"/>
    <w:rsid w:val="006F09C1"/>
    <w:rsid w:val="006F0ADB"/>
    <w:rsid w:val="006F278F"/>
    <w:rsid w:val="006F5101"/>
    <w:rsid w:val="006F770A"/>
    <w:rsid w:val="007004FC"/>
    <w:rsid w:val="00700754"/>
    <w:rsid w:val="007009CC"/>
    <w:rsid w:val="00711B0B"/>
    <w:rsid w:val="00711E1A"/>
    <w:rsid w:val="00713133"/>
    <w:rsid w:val="00713391"/>
    <w:rsid w:val="0071490C"/>
    <w:rsid w:val="007151B3"/>
    <w:rsid w:val="00717A79"/>
    <w:rsid w:val="00721309"/>
    <w:rsid w:val="007245BC"/>
    <w:rsid w:val="00724A5E"/>
    <w:rsid w:val="007259C4"/>
    <w:rsid w:val="00725C09"/>
    <w:rsid w:val="007329BC"/>
    <w:rsid w:val="00734B6C"/>
    <w:rsid w:val="00742332"/>
    <w:rsid w:val="007423C0"/>
    <w:rsid w:val="007435B5"/>
    <w:rsid w:val="00744D49"/>
    <w:rsid w:val="00744FB4"/>
    <w:rsid w:val="00746189"/>
    <w:rsid w:val="007463B2"/>
    <w:rsid w:val="007475C5"/>
    <w:rsid w:val="00751DB3"/>
    <w:rsid w:val="00751FCF"/>
    <w:rsid w:val="00753045"/>
    <w:rsid w:val="00753083"/>
    <w:rsid w:val="00754BD4"/>
    <w:rsid w:val="007570E7"/>
    <w:rsid w:val="00761338"/>
    <w:rsid w:val="00761C43"/>
    <w:rsid w:val="0076672B"/>
    <w:rsid w:val="00770C2F"/>
    <w:rsid w:val="007713A0"/>
    <w:rsid w:val="00773438"/>
    <w:rsid w:val="00775351"/>
    <w:rsid w:val="0077537A"/>
    <w:rsid w:val="00776441"/>
    <w:rsid w:val="00776737"/>
    <w:rsid w:val="007802C5"/>
    <w:rsid w:val="007841B1"/>
    <w:rsid w:val="0078743D"/>
    <w:rsid w:val="00787C73"/>
    <w:rsid w:val="007928CA"/>
    <w:rsid w:val="007930D1"/>
    <w:rsid w:val="007933EF"/>
    <w:rsid w:val="0079757C"/>
    <w:rsid w:val="007A0AFB"/>
    <w:rsid w:val="007A0E26"/>
    <w:rsid w:val="007A1C56"/>
    <w:rsid w:val="007A2A2C"/>
    <w:rsid w:val="007A30D0"/>
    <w:rsid w:val="007A3EC6"/>
    <w:rsid w:val="007A47BE"/>
    <w:rsid w:val="007A6F60"/>
    <w:rsid w:val="007B03DB"/>
    <w:rsid w:val="007B06BA"/>
    <w:rsid w:val="007B1E6E"/>
    <w:rsid w:val="007B2AA1"/>
    <w:rsid w:val="007B5452"/>
    <w:rsid w:val="007B5E61"/>
    <w:rsid w:val="007B6256"/>
    <w:rsid w:val="007B712D"/>
    <w:rsid w:val="007B751B"/>
    <w:rsid w:val="007B7D96"/>
    <w:rsid w:val="007B7DCB"/>
    <w:rsid w:val="007B7F5F"/>
    <w:rsid w:val="007C0D42"/>
    <w:rsid w:val="007C0D7E"/>
    <w:rsid w:val="007C16BC"/>
    <w:rsid w:val="007C229E"/>
    <w:rsid w:val="007C287F"/>
    <w:rsid w:val="007C5A1C"/>
    <w:rsid w:val="007C71DC"/>
    <w:rsid w:val="007D0295"/>
    <w:rsid w:val="007D07CD"/>
    <w:rsid w:val="007D0AA4"/>
    <w:rsid w:val="007D0ECC"/>
    <w:rsid w:val="007D24BB"/>
    <w:rsid w:val="007D3192"/>
    <w:rsid w:val="007D405A"/>
    <w:rsid w:val="007D565A"/>
    <w:rsid w:val="007D62F8"/>
    <w:rsid w:val="007D69B0"/>
    <w:rsid w:val="007E12ED"/>
    <w:rsid w:val="007E295A"/>
    <w:rsid w:val="007E2A2A"/>
    <w:rsid w:val="007E4451"/>
    <w:rsid w:val="007E5BC4"/>
    <w:rsid w:val="007E7744"/>
    <w:rsid w:val="007F093B"/>
    <w:rsid w:val="007F0AE8"/>
    <w:rsid w:val="007F0DDC"/>
    <w:rsid w:val="007F0DF0"/>
    <w:rsid w:val="007F3F3B"/>
    <w:rsid w:val="007F4BCE"/>
    <w:rsid w:val="007F588C"/>
    <w:rsid w:val="007F7129"/>
    <w:rsid w:val="00800A7B"/>
    <w:rsid w:val="00800DFD"/>
    <w:rsid w:val="00800F21"/>
    <w:rsid w:val="00802A19"/>
    <w:rsid w:val="00803FDE"/>
    <w:rsid w:val="00804866"/>
    <w:rsid w:val="00811F78"/>
    <w:rsid w:val="00812D9B"/>
    <w:rsid w:val="0081311A"/>
    <w:rsid w:val="008146A5"/>
    <w:rsid w:val="00817132"/>
    <w:rsid w:val="0082231B"/>
    <w:rsid w:val="00824E52"/>
    <w:rsid w:val="008267B3"/>
    <w:rsid w:val="00827F9C"/>
    <w:rsid w:val="00831AC6"/>
    <w:rsid w:val="008325F1"/>
    <w:rsid w:val="00833641"/>
    <w:rsid w:val="00835895"/>
    <w:rsid w:val="00836CF4"/>
    <w:rsid w:val="00836F35"/>
    <w:rsid w:val="00840105"/>
    <w:rsid w:val="008412DA"/>
    <w:rsid w:val="008413B2"/>
    <w:rsid w:val="00841981"/>
    <w:rsid w:val="008444CF"/>
    <w:rsid w:val="0084670A"/>
    <w:rsid w:val="00850130"/>
    <w:rsid w:val="00850A9F"/>
    <w:rsid w:val="00851EFD"/>
    <w:rsid w:val="00852A38"/>
    <w:rsid w:val="0085742B"/>
    <w:rsid w:val="00861E71"/>
    <w:rsid w:val="00861EF6"/>
    <w:rsid w:val="00862B36"/>
    <w:rsid w:val="008670D9"/>
    <w:rsid w:val="00874700"/>
    <w:rsid w:val="008750FA"/>
    <w:rsid w:val="0087645A"/>
    <w:rsid w:val="008765A3"/>
    <w:rsid w:val="008771D7"/>
    <w:rsid w:val="00880B81"/>
    <w:rsid w:val="0088106E"/>
    <w:rsid w:val="00882710"/>
    <w:rsid w:val="00882DE5"/>
    <w:rsid w:val="0088309D"/>
    <w:rsid w:val="00883B00"/>
    <w:rsid w:val="00884385"/>
    <w:rsid w:val="00890B3E"/>
    <w:rsid w:val="0089290E"/>
    <w:rsid w:val="00894487"/>
    <w:rsid w:val="00894EE4"/>
    <w:rsid w:val="0089501B"/>
    <w:rsid w:val="00897F19"/>
    <w:rsid w:val="008A43DA"/>
    <w:rsid w:val="008A6C64"/>
    <w:rsid w:val="008A74D0"/>
    <w:rsid w:val="008B0FD7"/>
    <w:rsid w:val="008B10AD"/>
    <w:rsid w:val="008B15C7"/>
    <w:rsid w:val="008B4081"/>
    <w:rsid w:val="008B40B2"/>
    <w:rsid w:val="008B5532"/>
    <w:rsid w:val="008B6C2C"/>
    <w:rsid w:val="008B72B1"/>
    <w:rsid w:val="008C08C6"/>
    <w:rsid w:val="008C1824"/>
    <w:rsid w:val="008C2440"/>
    <w:rsid w:val="008C253B"/>
    <w:rsid w:val="008C5C47"/>
    <w:rsid w:val="008C5C5C"/>
    <w:rsid w:val="008D358C"/>
    <w:rsid w:val="008D35E4"/>
    <w:rsid w:val="008D4F7B"/>
    <w:rsid w:val="008D57AF"/>
    <w:rsid w:val="008E09B0"/>
    <w:rsid w:val="008E103C"/>
    <w:rsid w:val="008E4788"/>
    <w:rsid w:val="008E5D64"/>
    <w:rsid w:val="008E7AE8"/>
    <w:rsid w:val="008F0FD7"/>
    <w:rsid w:val="008F10EF"/>
    <w:rsid w:val="008F11A5"/>
    <w:rsid w:val="008F3090"/>
    <w:rsid w:val="008F3C69"/>
    <w:rsid w:val="008F4AD6"/>
    <w:rsid w:val="008F5463"/>
    <w:rsid w:val="008F7F64"/>
    <w:rsid w:val="00900799"/>
    <w:rsid w:val="00906622"/>
    <w:rsid w:val="0091143D"/>
    <w:rsid w:val="00912045"/>
    <w:rsid w:val="009120E2"/>
    <w:rsid w:val="009124F7"/>
    <w:rsid w:val="0091448D"/>
    <w:rsid w:val="00914B9B"/>
    <w:rsid w:val="00914D8A"/>
    <w:rsid w:val="009150E7"/>
    <w:rsid w:val="009154F4"/>
    <w:rsid w:val="009155F4"/>
    <w:rsid w:val="009157D6"/>
    <w:rsid w:val="00917A17"/>
    <w:rsid w:val="00920F31"/>
    <w:rsid w:val="00922854"/>
    <w:rsid w:val="009268BC"/>
    <w:rsid w:val="00926A21"/>
    <w:rsid w:val="00927A9A"/>
    <w:rsid w:val="009315B7"/>
    <w:rsid w:val="0093191B"/>
    <w:rsid w:val="00931945"/>
    <w:rsid w:val="00931D1D"/>
    <w:rsid w:val="00932407"/>
    <w:rsid w:val="009343DE"/>
    <w:rsid w:val="009344B3"/>
    <w:rsid w:val="00935984"/>
    <w:rsid w:val="00936699"/>
    <w:rsid w:val="0094293F"/>
    <w:rsid w:val="009453F1"/>
    <w:rsid w:val="00947BC0"/>
    <w:rsid w:val="00950D82"/>
    <w:rsid w:val="0095130F"/>
    <w:rsid w:val="00951885"/>
    <w:rsid w:val="00954D80"/>
    <w:rsid w:val="00956089"/>
    <w:rsid w:val="00957181"/>
    <w:rsid w:val="00960692"/>
    <w:rsid w:val="00962C61"/>
    <w:rsid w:val="00967746"/>
    <w:rsid w:val="0097011C"/>
    <w:rsid w:val="00971603"/>
    <w:rsid w:val="009716A6"/>
    <w:rsid w:val="009718C2"/>
    <w:rsid w:val="0097342A"/>
    <w:rsid w:val="00973888"/>
    <w:rsid w:val="00976D4C"/>
    <w:rsid w:val="00977165"/>
    <w:rsid w:val="00980204"/>
    <w:rsid w:val="00980F73"/>
    <w:rsid w:val="009810A5"/>
    <w:rsid w:val="0098146D"/>
    <w:rsid w:val="00981B74"/>
    <w:rsid w:val="0098269D"/>
    <w:rsid w:val="009858B2"/>
    <w:rsid w:val="00987C2D"/>
    <w:rsid w:val="0099045B"/>
    <w:rsid w:val="00992590"/>
    <w:rsid w:val="00994209"/>
    <w:rsid w:val="00996525"/>
    <w:rsid w:val="00996E9E"/>
    <w:rsid w:val="00997574"/>
    <w:rsid w:val="009A09B4"/>
    <w:rsid w:val="009A1CEA"/>
    <w:rsid w:val="009A1DE0"/>
    <w:rsid w:val="009A1F46"/>
    <w:rsid w:val="009A2EFE"/>
    <w:rsid w:val="009A35B1"/>
    <w:rsid w:val="009A49DE"/>
    <w:rsid w:val="009A50D0"/>
    <w:rsid w:val="009A50DA"/>
    <w:rsid w:val="009A5EC0"/>
    <w:rsid w:val="009A77D0"/>
    <w:rsid w:val="009A7B75"/>
    <w:rsid w:val="009B0146"/>
    <w:rsid w:val="009B036C"/>
    <w:rsid w:val="009B0FD5"/>
    <w:rsid w:val="009B11E0"/>
    <w:rsid w:val="009B3CDF"/>
    <w:rsid w:val="009B4512"/>
    <w:rsid w:val="009B4947"/>
    <w:rsid w:val="009B4A9D"/>
    <w:rsid w:val="009B4E82"/>
    <w:rsid w:val="009B7010"/>
    <w:rsid w:val="009B720C"/>
    <w:rsid w:val="009C0083"/>
    <w:rsid w:val="009C018E"/>
    <w:rsid w:val="009C062F"/>
    <w:rsid w:val="009C06CA"/>
    <w:rsid w:val="009C3661"/>
    <w:rsid w:val="009C3FE1"/>
    <w:rsid w:val="009C60FE"/>
    <w:rsid w:val="009C72D8"/>
    <w:rsid w:val="009C73E4"/>
    <w:rsid w:val="009D09E5"/>
    <w:rsid w:val="009D3B8D"/>
    <w:rsid w:val="009D611E"/>
    <w:rsid w:val="009D710E"/>
    <w:rsid w:val="009D735F"/>
    <w:rsid w:val="009D76CD"/>
    <w:rsid w:val="009D7B34"/>
    <w:rsid w:val="009D7FBC"/>
    <w:rsid w:val="009E14ED"/>
    <w:rsid w:val="009E56FE"/>
    <w:rsid w:val="009E6287"/>
    <w:rsid w:val="009F0F40"/>
    <w:rsid w:val="009F1FC6"/>
    <w:rsid w:val="009F26E8"/>
    <w:rsid w:val="009F3A67"/>
    <w:rsid w:val="009F4681"/>
    <w:rsid w:val="009F4B68"/>
    <w:rsid w:val="009F5280"/>
    <w:rsid w:val="009F608D"/>
    <w:rsid w:val="00A0329F"/>
    <w:rsid w:val="00A0352A"/>
    <w:rsid w:val="00A041A2"/>
    <w:rsid w:val="00A05197"/>
    <w:rsid w:val="00A064B3"/>
    <w:rsid w:val="00A140E7"/>
    <w:rsid w:val="00A14B38"/>
    <w:rsid w:val="00A21464"/>
    <w:rsid w:val="00A21B91"/>
    <w:rsid w:val="00A21E07"/>
    <w:rsid w:val="00A2226E"/>
    <w:rsid w:val="00A23C5B"/>
    <w:rsid w:val="00A245FD"/>
    <w:rsid w:val="00A25000"/>
    <w:rsid w:val="00A3117D"/>
    <w:rsid w:val="00A319B4"/>
    <w:rsid w:val="00A32547"/>
    <w:rsid w:val="00A3334C"/>
    <w:rsid w:val="00A41030"/>
    <w:rsid w:val="00A41181"/>
    <w:rsid w:val="00A412AF"/>
    <w:rsid w:val="00A41655"/>
    <w:rsid w:val="00A4209A"/>
    <w:rsid w:val="00A42A7D"/>
    <w:rsid w:val="00A42D15"/>
    <w:rsid w:val="00A442E2"/>
    <w:rsid w:val="00A446CD"/>
    <w:rsid w:val="00A503DC"/>
    <w:rsid w:val="00A5055A"/>
    <w:rsid w:val="00A5074C"/>
    <w:rsid w:val="00A51F07"/>
    <w:rsid w:val="00A534D0"/>
    <w:rsid w:val="00A559D2"/>
    <w:rsid w:val="00A55F03"/>
    <w:rsid w:val="00A57897"/>
    <w:rsid w:val="00A61E96"/>
    <w:rsid w:val="00A63391"/>
    <w:rsid w:val="00A63B6C"/>
    <w:rsid w:val="00A6585D"/>
    <w:rsid w:val="00A67710"/>
    <w:rsid w:val="00A707EF"/>
    <w:rsid w:val="00A72A33"/>
    <w:rsid w:val="00A73631"/>
    <w:rsid w:val="00A74751"/>
    <w:rsid w:val="00A74FCA"/>
    <w:rsid w:val="00A801CD"/>
    <w:rsid w:val="00A80981"/>
    <w:rsid w:val="00A81341"/>
    <w:rsid w:val="00A823DF"/>
    <w:rsid w:val="00A830D0"/>
    <w:rsid w:val="00A832F6"/>
    <w:rsid w:val="00A844FB"/>
    <w:rsid w:val="00A84A79"/>
    <w:rsid w:val="00A86050"/>
    <w:rsid w:val="00A87069"/>
    <w:rsid w:val="00A87582"/>
    <w:rsid w:val="00A9054F"/>
    <w:rsid w:val="00A90C2D"/>
    <w:rsid w:val="00A90D41"/>
    <w:rsid w:val="00A90DBE"/>
    <w:rsid w:val="00A917F0"/>
    <w:rsid w:val="00A92A60"/>
    <w:rsid w:val="00A93E52"/>
    <w:rsid w:val="00A95FBB"/>
    <w:rsid w:val="00AA265E"/>
    <w:rsid w:val="00AA2E94"/>
    <w:rsid w:val="00AA3A7A"/>
    <w:rsid w:val="00AA44AA"/>
    <w:rsid w:val="00AA46A0"/>
    <w:rsid w:val="00AA585E"/>
    <w:rsid w:val="00AA6A9B"/>
    <w:rsid w:val="00AA7716"/>
    <w:rsid w:val="00AB03BA"/>
    <w:rsid w:val="00AB169C"/>
    <w:rsid w:val="00AB4C12"/>
    <w:rsid w:val="00AB735A"/>
    <w:rsid w:val="00AB7AB0"/>
    <w:rsid w:val="00AC220E"/>
    <w:rsid w:val="00AC2DF3"/>
    <w:rsid w:val="00AC4D5C"/>
    <w:rsid w:val="00AC6A11"/>
    <w:rsid w:val="00AC6F39"/>
    <w:rsid w:val="00AC7012"/>
    <w:rsid w:val="00AD17F8"/>
    <w:rsid w:val="00AD3901"/>
    <w:rsid w:val="00AD43A0"/>
    <w:rsid w:val="00AD50E0"/>
    <w:rsid w:val="00AD5F4F"/>
    <w:rsid w:val="00AD63BD"/>
    <w:rsid w:val="00AD7575"/>
    <w:rsid w:val="00AE01EE"/>
    <w:rsid w:val="00AE0AA6"/>
    <w:rsid w:val="00AE0B1F"/>
    <w:rsid w:val="00AE1CA8"/>
    <w:rsid w:val="00AE5033"/>
    <w:rsid w:val="00AE5EBD"/>
    <w:rsid w:val="00AE7349"/>
    <w:rsid w:val="00AF0137"/>
    <w:rsid w:val="00AF01F0"/>
    <w:rsid w:val="00AF23F2"/>
    <w:rsid w:val="00AF2706"/>
    <w:rsid w:val="00AF44D6"/>
    <w:rsid w:val="00AF542B"/>
    <w:rsid w:val="00B00373"/>
    <w:rsid w:val="00B0115F"/>
    <w:rsid w:val="00B023A5"/>
    <w:rsid w:val="00B036B6"/>
    <w:rsid w:val="00B03DDE"/>
    <w:rsid w:val="00B05674"/>
    <w:rsid w:val="00B07E93"/>
    <w:rsid w:val="00B102A8"/>
    <w:rsid w:val="00B11707"/>
    <w:rsid w:val="00B163AE"/>
    <w:rsid w:val="00B17605"/>
    <w:rsid w:val="00B227A6"/>
    <w:rsid w:val="00B31B0E"/>
    <w:rsid w:val="00B32C3D"/>
    <w:rsid w:val="00B33E6D"/>
    <w:rsid w:val="00B347A2"/>
    <w:rsid w:val="00B34B99"/>
    <w:rsid w:val="00B356A4"/>
    <w:rsid w:val="00B35EDC"/>
    <w:rsid w:val="00B37A97"/>
    <w:rsid w:val="00B41478"/>
    <w:rsid w:val="00B47182"/>
    <w:rsid w:val="00B47B5B"/>
    <w:rsid w:val="00B5258E"/>
    <w:rsid w:val="00B53B7C"/>
    <w:rsid w:val="00B540ED"/>
    <w:rsid w:val="00B551C8"/>
    <w:rsid w:val="00B55D17"/>
    <w:rsid w:val="00B573BB"/>
    <w:rsid w:val="00B603F0"/>
    <w:rsid w:val="00B607DA"/>
    <w:rsid w:val="00B63B4E"/>
    <w:rsid w:val="00B6444D"/>
    <w:rsid w:val="00B644DB"/>
    <w:rsid w:val="00B6631B"/>
    <w:rsid w:val="00B6704B"/>
    <w:rsid w:val="00B730D0"/>
    <w:rsid w:val="00B733AF"/>
    <w:rsid w:val="00B77407"/>
    <w:rsid w:val="00B80D5B"/>
    <w:rsid w:val="00B823FD"/>
    <w:rsid w:val="00B824FF"/>
    <w:rsid w:val="00B82956"/>
    <w:rsid w:val="00B82D85"/>
    <w:rsid w:val="00B8461F"/>
    <w:rsid w:val="00B84B1E"/>
    <w:rsid w:val="00B85C64"/>
    <w:rsid w:val="00B87B76"/>
    <w:rsid w:val="00B902F2"/>
    <w:rsid w:val="00B90C8A"/>
    <w:rsid w:val="00B91BE4"/>
    <w:rsid w:val="00B930E9"/>
    <w:rsid w:val="00B9402F"/>
    <w:rsid w:val="00B94864"/>
    <w:rsid w:val="00B9541A"/>
    <w:rsid w:val="00B96226"/>
    <w:rsid w:val="00BA1B88"/>
    <w:rsid w:val="00BA2F1A"/>
    <w:rsid w:val="00BA3036"/>
    <w:rsid w:val="00BA313C"/>
    <w:rsid w:val="00BA4898"/>
    <w:rsid w:val="00BA499A"/>
    <w:rsid w:val="00BA4F35"/>
    <w:rsid w:val="00BA6B23"/>
    <w:rsid w:val="00BB0462"/>
    <w:rsid w:val="00BB06E6"/>
    <w:rsid w:val="00BB4517"/>
    <w:rsid w:val="00BB593C"/>
    <w:rsid w:val="00BB6446"/>
    <w:rsid w:val="00BC7830"/>
    <w:rsid w:val="00BD093D"/>
    <w:rsid w:val="00BD1557"/>
    <w:rsid w:val="00BD1E9C"/>
    <w:rsid w:val="00BD5A85"/>
    <w:rsid w:val="00BD6A2E"/>
    <w:rsid w:val="00BD7F4E"/>
    <w:rsid w:val="00BE003F"/>
    <w:rsid w:val="00BE275E"/>
    <w:rsid w:val="00BE3411"/>
    <w:rsid w:val="00BE5E4A"/>
    <w:rsid w:val="00BE6531"/>
    <w:rsid w:val="00BE6F06"/>
    <w:rsid w:val="00BE7D16"/>
    <w:rsid w:val="00BF0D41"/>
    <w:rsid w:val="00BF0D4E"/>
    <w:rsid w:val="00BF1C2F"/>
    <w:rsid w:val="00BF3795"/>
    <w:rsid w:val="00BF582D"/>
    <w:rsid w:val="00BF5EE3"/>
    <w:rsid w:val="00BF6BD1"/>
    <w:rsid w:val="00C001A7"/>
    <w:rsid w:val="00C002B4"/>
    <w:rsid w:val="00C0201F"/>
    <w:rsid w:val="00C02C57"/>
    <w:rsid w:val="00C02D97"/>
    <w:rsid w:val="00C02EA9"/>
    <w:rsid w:val="00C02F67"/>
    <w:rsid w:val="00C040D1"/>
    <w:rsid w:val="00C04C7E"/>
    <w:rsid w:val="00C05C2C"/>
    <w:rsid w:val="00C06985"/>
    <w:rsid w:val="00C07662"/>
    <w:rsid w:val="00C1076D"/>
    <w:rsid w:val="00C16214"/>
    <w:rsid w:val="00C166F6"/>
    <w:rsid w:val="00C16E8E"/>
    <w:rsid w:val="00C1738A"/>
    <w:rsid w:val="00C17E41"/>
    <w:rsid w:val="00C238B1"/>
    <w:rsid w:val="00C23B2F"/>
    <w:rsid w:val="00C27BF8"/>
    <w:rsid w:val="00C31D0B"/>
    <w:rsid w:val="00C31FC3"/>
    <w:rsid w:val="00C33326"/>
    <w:rsid w:val="00C33E92"/>
    <w:rsid w:val="00C3449B"/>
    <w:rsid w:val="00C34C59"/>
    <w:rsid w:val="00C35651"/>
    <w:rsid w:val="00C36AB8"/>
    <w:rsid w:val="00C42948"/>
    <w:rsid w:val="00C43460"/>
    <w:rsid w:val="00C451CF"/>
    <w:rsid w:val="00C4749E"/>
    <w:rsid w:val="00C500AD"/>
    <w:rsid w:val="00C52576"/>
    <w:rsid w:val="00C557B7"/>
    <w:rsid w:val="00C563F0"/>
    <w:rsid w:val="00C57C14"/>
    <w:rsid w:val="00C62EF6"/>
    <w:rsid w:val="00C64061"/>
    <w:rsid w:val="00C64E4A"/>
    <w:rsid w:val="00C672EB"/>
    <w:rsid w:val="00C70A47"/>
    <w:rsid w:val="00C712A3"/>
    <w:rsid w:val="00C713AA"/>
    <w:rsid w:val="00C716FE"/>
    <w:rsid w:val="00C71AEC"/>
    <w:rsid w:val="00C71E2F"/>
    <w:rsid w:val="00C779EB"/>
    <w:rsid w:val="00C80E40"/>
    <w:rsid w:val="00C81167"/>
    <w:rsid w:val="00C84597"/>
    <w:rsid w:val="00C85BEB"/>
    <w:rsid w:val="00C87221"/>
    <w:rsid w:val="00C90887"/>
    <w:rsid w:val="00C917D9"/>
    <w:rsid w:val="00C91B0D"/>
    <w:rsid w:val="00C91FA7"/>
    <w:rsid w:val="00C94690"/>
    <w:rsid w:val="00C94EE4"/>
    <w:rsid w:val="00C9682C"/>
    <w:rsid w:val="00C96F41"/>
    <w:rsid w:val="00CA2653"/>
    <w:rsid w:val="00CA39AE"/>
    <w:rsid w:val="00CA42FF"/>
    <w:rsid w:val="00CA6E7D"/>
    <w:rsid w:val="00CA7489"/>
    <w:rsid w:val="00CA7BE2"/>
    <w:rsid w:val="00CB1706"/>
    <w:rsid w:val="00CB1D54"/>
    <w:rsid w:val="00CB231B"/>
    <w:rsid w:val="00CB50FB"/>
    <w:rsid w:val="00CB7D67"/>
    <w:rsid w:val="00CB7D68"/>
    <w:rsid w:val="00CC3C3F"/>
    <w:rsid w:val="00CC4CBF"/>
    <w:rsid w:val="00CD0DE2"/>
    <w:rsid w:val="00CD11EE"/>
    <w:rsid w:val="00CD2A92"/>
    <w:rsid w:val="00CD3594"/>
    <w:rsid w:val="00CD36DE"/>
    <w:rsid w:val="00CD5545"/>
    <w:rsid w:val="00CE0217"/>
    <w:rsid w:val="00CE06DB"/>
    <w:rsid w:val="00CE1478"/>
    <w:rsid w:val="00CE2944"/>
    <w:rsid w:val="00CE2B31"/>
    <w:rsid w:val="00CE47D2"/>
    <w:rsid w:val="00CE525F"/>
    <w:rsid w:val="00CE5BBD"/>
    <w:rsid w:val="00CE68C8"/>
    <w:rsid w:val="00CE6DF6"/>
    <w:rsid w:val="00CE7FB5"/>
    <w:rsid w:val="00CF162D"/>
    <w:rsid w:val="00CF1D12"/>
    <w:rsid w:val="00CF2588"/>
    <w:rsid w:val="00CF3716"/>
    <w:rsid w:val="00CF4986"/>
    <w:rsid w:val="00CF5997"/>
    <w:rsid w:val="00CF5A6A"/>
    <w:rsid w:val="00CF5F7D"/>
    <w:rsid w:val="00CF639C"/>
    <w:rsid w:val="00CF669B"/>
    <w:rsid w:val="00CF71AE"/>
    <w:rsid w:val="00CF72BA"/>
    <w:rsid w:val="00D00D66"/>
    <w:rsid w:val="00D050E9"/>
    <w:rsid w:val="00D061FC"/>
    <w:rsid w:val="00D07DE8"/>
    <w:rsid w:val="00D10026"/>
    <w:rsid w:val="00D11C8A"/>
    <w:rsid w:val="00D125F1"/>
    <w:rsid w:val="00D12EDE"/>
    <w:rsid w:val="00D13BEC"/>
    <w:rsid w:val="00D140EB"/>
    <w:rsid w:val="00D14C21"/>
    <w:rsid w:val="00D20208"/>
    <w:rsid w:val="00D205F0"/>
    <w:rsid w:val="00D21F6C"/>
    <w:rsid w:val="00D22476"/>
    <w:rsid w:val="00D23EA5"/>
    <w:rsid w:val="00D2512E"/>
    <w:rsid w:val="00D30A2C"/>
    <w:rsid w:val="00D31625"/>
    <w:rsid w:val="00D324E1"/>
    <w:rsid w:val="00D32992"/>
    <w:rsid w:val="00D33384"/>
    <w:rsid w:val="00D33448"/>
    <w:rsid w:val="00D34D4B"/>
    <w:rsid w:val="00D353E8"/>
    <w:rsid w:val="00D35518"/>
    <w:rsid w:val="00D3562A"/>
    <w:rsid w:val="00D35766"/>
    <w:rsid w:val="00D36817"/>
    <w:rsid w:val="00D36D7B"/>
    <w:rsid w:val="00D404B2"/>
    <w:rsid w:val="00D42C43"/>
    <w:rsid w:val="00D434DD"/>
    <w:rsid w:val="00D436A1"/>
    <w:rsid w:val="00D43EA4"/>
    <w:rsid w:val="00D46BA4"/>
    <w:rsid w:val="00D51854"/>
    <w:rsid w:val="00D526F5"/>
    <w:rsid w:val="00D544D8"/>
    <w:rsid w:val="00D5639B"/>
    <w:rsid w:val="00D61300"/>
    <w:rsid w:val="00D623F0"/>
    <w:rsid w:val="00D627B6"/>
    <w:rsid w:val="00D661CA"/>
    <w:rsid w:val="00D66293"/>
    <w:rsid w:val="00D70151"/>
    <w:rsid w:val="00D71C06"/>
    <w:rsid w:val="00D7339A"/>
    <w:rsid w:val="00D74DC6"/>
    <w:rsid w:val="00D77207"/>
    <w:rsid w:val="00D80E7B"/>
    <w:rsid w:val="00D81C8F"/>
    <w:rsid w:val="00D81EB4"/>
    <w:rsid w:val="00D824F1"/>
    <w:rsid w:val="00D82A7F"/>
    <w:rsid w:val="00D84330"/>
    <w:rsid w:val="00D84F11"/>
    <w:rsid w:val="00D852DA"/>
    <w:rsid w:val="00D85837"/>
    <w:rsid w:val="00D85DCF"/>
    <w:rsid w:val="00D94607"/>
    <w:rsid w:val="00D94BBD"/>
    <w:rsid w:val="00D94D46"/>
    <w:rsid w:val="00D960D6"/>
    <w:rsid w:val="00D9737C"/>
    <w:rsid w:val="00DA1338"/>
    <w:rsid w:val="00DA49C3"/>
    <w:rsid w:val="00DA5CE6"/>
    <w:rsid w:val="00DA5DBA"/>
    <w:rsid w:val="00DA66D9"/>
    <w:rsid w:val="00DB440C"/>
    <w:rsid w:val="00DB53DA"/>
    <w:rsid w:val="00DB6596"/>
    <w:rsid w:val="00DB746F"/>
    <w:rsid w:val="00DC36D5"/>
    <w:rsid w:val="00DC3F57"/>
    <w:rsid w:val="00DC5E50"/>
    <w:rsid w:val="00DC6663"/>
    <w:rsid w:val="00DC69C3"/>
    <w:rsid w:val="00DD0639"/>
    <w:rsid w:val="00DD0C64"/>
    <w:rsid w:val="00DD31F1"/>
    <w:rsid w:val="00DD5B93"/>
    <w:rsid w:val="00DD6449"/>
    <w:rsid w:val="00DD658B"/>
    <w:rsid w:val="00DD79CC"/>
    <w:rsid w:val="00DD7F40"/>
    <w:rsid w:val="00DE072B"/>
    <w:rsid w:val="00DE17E9"/>
    <w:rsid w:val="00DE3CA5"/>
    <w:rsid w:val="00DE47C8"/>
    <w:rsid w:val="00DE51E8"/>
    <w:rsid w:val="00DE643F"/>
    <w:rsid w:val="00DE70BA"/>
    <w:rsid w:val="00DE7722"/>
    <w:rsid w:val="00DF0244"/>
    <w:rsid w:val="00DF0430"/>
    <w:rsid w:val="00DF1861"/>
    <w:rsid w:val="00DF2E86"/>
    <w:rsid w:val="00DF387B"/>
    <w:rsid w:val="00DF3D2D"/>
    <w:rsid w:val="00DF6448"/>
    <w:rsid w:val="00DF65B0"/>
    <w:rsid w:val="00E024EC"/>
    <w:rsid w:val="00E039F8"/>
    <w:rsid w:val="00E03FA8"/>
    <w:rsid w:val="00E10584"/>
    <w:rsid w:val="00E151EC"/>
    <w:rsid w:val="00E15B7F"/>
    <w:rsid w:val="00E20A07"/>
    <w:rsid w:val="00E21887"/>
    <w:rsid w:val="00E22C37"/>
    <w:rsid w:val="00E237FE"/>
    <w:rsid w:val="00E262C5"/>
    <w:rsid w:val="00E300E1"/>
    <w:rsid w:val="00E31B1E"/>
    <w:rsid w:val="00E3295C"/>
    <w:rsid w:val="00E33C1C"/>
    <w:rsid w:val="00E358FD"/>
    <w:rsid w:val="00E43B4C"/>
    <w:rsid w:val="00E43C50"/>
    <w:rsid w:val="00E44BE7"/>
    <w:rsid w:val="00E4513D"/>
    <w:rsid w:val="00E45E32"/>
    <w:rsid w:val="00E46C1F"/>
    <w:rsid w:val="00E50183"/>
    <w:rsid w:val="00E53272"/>
    <w:rsid w:val="00E55B3E"/>
    <w:rsid w:val="00E6089B"/>
    <w:rsid w:val="00E60F91"/>
    <w:rsid w:val="00E617AE"/>
    <w:rsid w:val="00E61AE3"/>
    <w:rsid w:val="00E627DD"/>
    <w:rsid w:val="00E62DEF"/>
    <w:rsid w:val="00E63C29"/>
    <w:rsid w:val="00E64AE0"/>
    <w:rsid w:val="00E65A59"/>
    <w:rsid w:val="00E65BE4"/>
    <w:rsid w:val="00E65E44"/>
    <w:rsid w:val="00E73CAC"/>
    <w:rsid w:val="00E74E15"/>
    <w:rsid w:val="00E76090"/>
    <w:rsid w:val="00E770EC"/>
    <w:rsid w:val="00E807B3"/>
    <w:rsid w:val="00E839C4"/>
    <w:rsid w:val="00E90398"/>
    <w:rsid w:val="00E912C1"/>
    <w:rsid w:val="00E9487C"/>
    <w:rsid w:val="00E9505D"/>
    <w:rsid w:val="00E9590C"/>
    <w:rsid w:val="00E95BCD"/>
    <w:rsid w:val="00E97191"/>
    <w:rsid w:val="00E973D1"/>
    <w:rsid w:val="00E978B4"/>
    <w:rsid w:val="00EA0B67"/>
    <w:rsid w:val="00EA150C"/>
    <w:rsid w:val="00EA5215"/>
    <w:rsid w:val="00EA719E"/>
    <w:rsid w:val="00EB29D4"/>
    <w:rsid w:val="00EB2DE8"/>
    <w:rsid w:val="00EC0B5B"/>
    <w:rsid w:val="00EC1CB6"/>
    <w:rsid w:val="00EC25F0"/>
    <w:rsid w:val="00EC455D"/>
    <w:rsid w:val="00EC72F5"/>
    <w:rsid w:val="00EC7406"/>
    <w:rsid w:val="00ED14E7"/>
    <w:rsid w:val="00ED3943"/>
    <w:rsid w:val="00ED4165"/>
    <w:rsid w:val="00ED4DB0"/>
    <w:rsid w:val="00ED647A"/>
    <w:rsid w:val="00ED6FF5"/>
    <w:rsid w:val="00ED7107"/>
    <w:rsid w:val="00EE15A7"/>
    <w:rsid w:val="00EE193B"/>
    <w:rsid w:val="00EE4446"/>
    <w:rsid w:val="00EE7CF2"/>
    <w:rsid w:val="00EF17FE"/>
    <w:rsid w:val="00EF2D1D"/>
    <w:rsid w:val="00EF3177"/>
    <w:rsid w:val="00EF3505"/>
    <w:rsid w:val="00EF3786"/>
    <w:rsid w:val="00EF3D1B"/>
    <w:rsid w:val="00EF6BE4"/>
    <w:rsid w:val="00F0058F"/>
    <w:rsid w:val="00F01C14"/>
    <w:rsid w:val="00F02A92"/>
    <w:rsid w:val="00F03A51"/>
    <w:rsid w:val="00F04FBD"/>
    <w:rsid w:val="00F10A87"/>
    <w:rsid w:val="00F10B1E"/>
    <w:rsid w:val="00F10E24"/>
    <w:rsid w:val="00F11907"/>
    <w:rsid w:val="00F129F7"/>
    <w:rsid w:val="00F12B1E"/>
    <w:rsid w:val="00F13B4C"/>
    <w:rsid w:val="00F13EEE"/>
    <w:rsid w:val="00F1515E"/>
    <w:rsid w:val="00F17E89"/>
    <w:rsid w:val="00F203E5"/>
    <w:rsid w:val="00F20CAF"/>
    <w:rsid w:val="00F21E1F"/>
    <w:rsid w:val="00F228DE"/>
    <w:rsid w:val="00F23D39"/>
    <w:rsid w:val="00F253F0"/>
    <w:rsid w:val="00F25E03"/>
    <w:rsid w:val="00F26E87"/>
    <w:rsid w:val="00F27D0B"/>
    <w:rsid w:val="00F3049C"/>
    <w:rsid w:val="00F31816"/>
    <w:rsid w:val="00F32433"/>
    <w:rsid w:val="00F32C81"/>
    <w:rsid w:val="00F33472"/>
    <w:rsid w:val="00F338CD"/>
    <w:rsid w:val="00F34F80"/>
    <w:rsid w:val="00F3552A"/>
    <w:rsid w:val="00F356F6"/>
    <w:rsid w:val="00F3739F"/>
    <w:rsid w:val="00F37B47"/>
    <w:rsid w:val="00F4001E"/>
    <w:rsid w:val="00F41C12"/>
    <w:rsid w:val="00F41C71"/>
    <w:rsid w:val="00F42334"/>
    <w:rsid w:val="00F43493"/>
    <w:rsid w:val="00F449EF"/>
    <w:rsid w:val="00F4572E"/>
    <w:rsid w:val="00F46637"/>
    <w:rsid w:val="00F46874"/>
    <w:rsid w:val="00F46D05"/>
    <w:rsid w:val="00F527F8"/>
    <w:rsid w:val="00F52FC4"/>
    <w:rsid w:val="00F54A99"/>
    <w:rsid w:val="00F57791"/>
    <w:rsid w:val="00F61AB6"/>
    <w:rsid w:val="00F63110"/>
    <w:rsid w:val="00F635BB"/>
    <w:rsid w:val="00F63B77"/>
    <w:rsid w:val="00F64E37"/>
    <w:rsid w:val="00F6593E"/>
    <w:rsid w:val="00F65E72"/>
    <w:rsid w:val="00F67599"/>
    <w:rsid w:val="00F71AC8"/>
    <w:rsid w:val="00F71DE4"/>
    <w:rsid w:val="00F72759"/>
    <w:rsid w:val="00F72A73"/>
    <w:rsid w:val="00F72B4A"/>
    <w:rsid w:val="00F74106"/>
    <w:rsid w:val="00F75669"/>
    <w:rsid w:val="00F75BE1"/>
    <w:rsid w:val="00F77249"/>
    <w:rsid w:val="00F7774A"/>
    <w:rsid w:val="00F802DD"/>
    <w:rsid w:val="00F82E2E"/>
    <w:rsid w:val="00F8743E"/>
    <w:rsid w:val="00F90F7B"/>
    <w:rsid w:val="00F91839"/>
    <w:rsid w:val="00F91A4E"/>
    <w:rsid w:val="00F928EA"/>
    <w:rsid w:val="00F92B73"/>
    <w:rsid w:val="00F93FE5"/>
    <w:rsid w:val="00F94D29"/>
    <w:rsid w:val="00F97012"/>
    <w:rsid w:val="00FA04D5"/>
    <w:rsid w:val="00FA0A87"/>
    <w:rsid w:val="00FA0EDD"/>
    <w:rsid w:val="00FA1970"/>
    <w:rsid w:val="00FA5435"/>
    <w:rsid w:val="00FA5B03"/>
    <w:rsid w:val="00FA6251"/>
    <w:rsid w:val="00FA6875"/>
    <w:rsid w:val="00FA7A8A"/>
    <w:rsid w:val="00FA7DB5"/>
    <w:rsid w:val="00FB1060"/>
    <w:rsid w:val="00FB21E2"/>
    <w:rsid w:val="00FB263C"/>
    <w:rsid w:val="00FB3E6D"/>
    <w:rsid w:val="00FB50A8"/>
    <w:rsid w:val="00FB539F"/>
    <w:rsid w:val="00FB7AEB"/>
    <w:rsid w:val="00FC18C3"/>
    <w:rsid w:val="00FC49F5"/>
    <w:rsid w:val="00FC56E7"/>
    <w:rsid w:val="00FC739D"/>
    <w:rsid w:val="00FD16E5"/>
    <w:rsid w:val="00FD2A4C"/>
    <w:rsid w:val="00FD3CBE"/>
    <w:rsid w:val="00FD7768"/>
    <w:rsid w:val="00FE52F1"/>
    <w:rsid w:val="00FE6C7C"/>
    <w:rsid w:val="00FE747E"/>
    <w:rsid w:val="00FF14C8"/>
    <w:rsid w:val="00FF15D4"/>
    <w:rsid w:val="00FF219F"/>
    <w:rsid w:val="00FF3ACA"/>
    <w:rsid w:val="00FF6096"/>
    <w:rsid w:val="00FF6F53"/>
    <w:rsid w:val="00FF7F53"/>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7EF496E"/>
  <w15:docId w15:val="{72F110E8-1923-4BE7-BF9B-AFFDA34A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0E"/>
    <w:pPr>
      <w:spacing w:after="200" w:line="276" w:lineRule="auto"/>
    </w:pPr>
    <w:rPr>
      <w:rFonts w:ascii="Times New Roman" w:hAnsi="Times New Roman"/>
    </w:rPr>
  </w:style>
  <w:style w:type="paragraph" w:styleId="Heading1">
    <w:name w:val="heading 1"/>
    <w:basedOn w:val="ListParagraph"/>
    <w:next w:val="BodyH1"/>
    <w:link w:val="Heading1Char"/>
    <w:qFormat/>
    <w:locked/>
    <w:rsid w:val="00C166F6"/>
    <w:pPr>
      <w:numPr>
        <w:numId w:val="1"/>
      </w:numPr>
      <w:spacing w:before="240" w:after="0" w:line="240" w:lineRule="auto"/>
      <w:outlineLvl w:val="0"/>
    </w:pPr>
    <w:rPr>
      <w:rFonts w:ascii="Arial" w:hAnsi="Arial" w:cs="Arial"/>
      <w:b/>
    </w:rPr>
  </w:style>
  <w:style w:type="paragraph" w:styleId="Heading2">
    <w:name w:val="heading 2"/>
    <w:basedOn w:val="Heading1"/>
    <w:next w:val="BodyH2"/>
    <w:link w:val="Heading2Char"/>
    <w:unhideWhenUsed/>
    <w:qFormat/>
    <w:locked/>
    <w:rsid w:val="007A1C56"/>
    <w:pPr>
      <w:numPr>
        <w:numId w:val="38"/>
      </w:numPr>
      <w:outlineLvl w:val="1"/>
    </w:pPr>
  </w:style>
  <w:style w:type="paragraph" w:styleId="Heading3">
    <w:name w:val="heading 3"/>
    <w:basedOn w:val="Heading2"/>
    <w:next w:val="BodyH3"/>
    <w:link w:val="Heading3Char"/>
    <w:unhideWhenUsed/>
    <w:qFormat/>
    <w:locked/>
    <w:rsid w:val="007A1C56"/>
    <w:pPr>
      <w:numPr>
        <w:numId w:val="43"/>
      </w:numPr>
      <w:spacing w:before="0"/>
      <w:outlineLvl w:val="2"/>
    </w:pPr>
  </w:style>
  <w:style w:type="paragraph" w:styleId="Heading4">
    <w:name w:val="heading 4"/>
    <w:basedOn w:val="Heading3"/>
    <w:next w:val="BodyH4"/>
    <w:link w:val="Heading4Char"/>
    <w:unhideWhenUsed/>
    <w:qFormat/>
    <w:locked/>
    <w:rsid w:val="00BF1C2F"/>
    <w:pPr>
      <w:numPr>
        <w:numId w:val="11"/>
      </w:numPr>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7334"/>
    <w:rPr>
      <w:rFonts w:cs="Times New Roman"/>
      <w:color w:val="0000FF"/>
      <w:u w:val="single"/>
    </w:rPr>
  </w:style>
  <w:style w:type="paragraph" w:styleId="ListParagraph">
    <w:name w:val="List Paragraph"/>
    <w:basedOn w:val="Normal"/>
    <w:uiPriority w:val="34"/>
    <w:qFormat/>
    <w:rsid w:val="00317334"/>
    <w:pPr>
      <w:ind w:left="720"/>
      <w:contextualSpacing/>
    </w:pPr>
  </w:style>
  <w:style w:type="paragraph" w:customStyle="1" w:styleId="Default">
    <w:name w:val="Default"/>
    <w:uiPriority w:val="99"/>
    <w:rsid w:val="0058152C"/>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41160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160F"/>
    <w:rPr>
      <w:rFonts w:ascii="Times New Roman" w:hAnsi="Times New Roman" w:cs="Times New Roman"/>
    </w:rPr>
  </w:style>
  <w:style w:type="paragraph" w:styleId="Footer">
    <w:name w:val="footer"/>
    <w:basedOn w:val="Normal"/>
    <w:link w:val="FooterChar"/>
    <w:uiPriority w:val="99"/>
    <w:rsid w:val="0041160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160F"/>
    <w:rPr>
      <w:rFonts w:ascii="Times New Roman" w:hAnsi="Times New Roman" w:cs="Times New Roman"/>
    </w:rPr>
  </w:style>
  <w:style w:type="paragraph" w:styleId="BalloonText">
    <w:name w:val="Balloon Text"/>
    <w:basedOn w:val="Normal"/>
    <w:link w:val="BalloonTextChar"/>
    <w:uiPriority w:val="99"/>
    <w:semiHidden/>
    <w:rsid w:val="009F46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57AF"/>
    <w:rPr>
      <w:rFonts w:ascii="Times New Roman" w:hAnsi="Times New Roman" w:cs="Times New Roman"/>
      <w:sz w:val="2"/>
    </w:rPr>
  </w:style>
  <w:style w:type="character" w:styleId="CommentReference">
    <w:name w:val="annotation reference"/>
    <w:basedOn w:val="DefaultParagraphFont"/>
    <w:uiPriority w:val="99"/>
    <w:semiHidden/>
    <w:rsid w:val="00776737"/>
    <w:rPr>
      <w:rFonts w:cs="Times New Roman"/>
      <w:sz w:val="16"/>
      <w:szCs w:val="16"/>
    </w:rPr>
  </w:style>
  <w:style w:type="paragraph" w:styleId="CommentText">
    <w:name w:val="annotation text"/>
    <w:basedOn w:val="Normal"/>
    <w:link w:val="CommentTextChar"/>
    <w:uiPriority w:val="99"/>
    <w:semiHidden/>
    <w:rsid w:val="00776737"/>
    <w:rPr>
      <w:sz w:val="20"/>
      <w:szCs w:val="20"/>
    </w:rPr>
  </w:style>
  <w:style w:type="character" w:customStyle="1" w:styleId="CommentTextChar">
    <w:name w:val="Comment Text Char"/>
    <w:basedOn w:val="DefaultParagraphFont"/>
    <w:link w:val="CommentText"/>
    <w:uiPriority w:val="99"/>
    <w:semiHidden/>
    <w:locked/>
    <w:rsid w:val="008D57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76737"/>
    <w:rPr>
      <w:b/>
      <w:bCs/>
    </w:rPr>
  </w:style>
  <w:style w:type="character" w:customStyle="1" w:styleId="CommentSubjectChar">
    <w:name w:val="Comment Subject Char"/>
    <w:basedOn w:val="CommentTextChar"/>
    <w:link w:val="CommentSubject"/>
    <w:uiPriority w:val="99"/>
    <w:semiHidden/>
    <w:locked/>
    <w:rsid w:val="008D57AF"/>
    <w:rPr>
      <w:rFonts w:ascii="Times New Roman" w:hAnsi="Times New Roman" w:cs="Times New Roman"/>
      <w:b/>
      <w:bCs/>
      <w:sz w:val="20"/>
      <w:szCs w:val="20"/>
    </w:rPr>
  </w:style>
  <w:style w:type="character" w:customStyle="1" w:styleId="Heading1Char">
    <w:name w:val="Heading 1 Char"/>
    <w:basedOn w:val="DefaultParagraphFont"/>
    <w:link w:val="Heading1"/>
    <w:rsid w:val="005E4D96"/>
    <w:rPr>
      <w:rFonts w:ascii="Arial" w:hAnsi="Arial" w:cs="Arial"/>
      <w:b/>
    </w:rPr>
  </w:style>
  <w:style w:type="paragraph" w:styleId="TOC1">
    <w:name w:val="toc 1"/>
    <w:basedOn w:val="Normal"/>
    <w:next w:val="Normal"/>
    <w:autoRedefine/>
    <w:uiPriority w:val="39"/>
    <w:locked/>
    <w:rsid w:val="00F02A92"/>
    <w:pPr>
      <w:tabs>
        <w:tab w:val="left" w:pos="720"/>
        <w:tab w:val="right" w:leader="dot" w:pos="9350"/>
      </w:tabs>
      <w:spacing w:after="0" w:line="240" w:lineRule="auto"/>
    </w:pPr>
    <w:rPr>
      <w:rFonts w:ascii="Arial" w:hAnsi="Arial"/>
    </w:rPr>
  </w:style>
  <w:style w:type="character" w:styleId="FollowedHyperlink">
    <w:name w:val="FollowedHyperlink"/>
    <w:basedOn w:val="DefaultParagraphFont"/>
    <w:uiPriority w:val="99"/>
    <w:semiHidden/>
    <w:unhideWhenUsed/>
    <w:rsid w:val="00950D82"/>
    <w:rPr>
      <w:color w:val="800080" w:themeColor="followedHyperlink"/>
      <w:u w:val="single"/>
    </w:rPr>
  </w:style>
  <w:style w:type="paragraph" w:styleId="Revision">
    <w:name w:val="Revision"/>
    <w:hidden/>
    <w:uiPriority w:val="99"/>
    <w:semiHidden/>
    <w:rsid w:val="00453832"/>
    <w:rPr>
      <w:rFonts w:ascii="Times New Roman" w:hAnsi="Times New Roman"/>
    </w:rPr>
  </w:style>
  <w:style w:type="character" w:styleId="UnresolvedMention">
    <w:name w:val="Unresolved Mention"/>
    <w:basedOn w:val="DefaultParagraphFont"/>
    <w:uiPriority w:val="99"/>
    <w:semiHidden/>
    <w:unhideWhenUsed/>
    <w:rsid w:val="00CB7D68"/>
    <w:rPr>
      <w:color w:val="605E5C"/>
      <w:shd w:val="clear" w:color="auto" w:fill="E1DFDD"/>
    </w:rPr>
  </w:style>
  <w:style w:type="character" w:customStyle="1" w:styleId="Heading2Char">
    <w:name w:val="Heading 2 Char"/>
    <w:basedOn w:val="DefaultParagraphFont"/>
    <w:link w:val="Heading2"/>
    <w:rsid w:val="007A1C56"/>
    <w:rPr>
      <w:rFonts w:ascii="Arial" w:hAnsi="Arial" w:cs="Arial"/>
      <w:b/>
    </w:rPr>
  </w:style>
  <w:style w:type="numbering" w:customStyle="1" w:styleId="CurrentList1">
    <w:name w:val="Current List1"/>
    <w:uiPriority w:val="99"/>
    <w:rsid w:val="00A503DC"/>
    <w:pPr>
      <w:numPr>
        <w:numId w:val="2"/>
      </w:numPr>
    </w:pPr>
  </w:style>
  <w:style w:type="numbering" w:customStyle="1" w:styleId="CurrentList2">
    <w:name w:val="Current List2"/>
    <w:uiPriority w:val="99"/>
    <w:rsid w:val="00A503DC"/>
    <w:pPr>
      <w:numPr>
        <w:numId w:val="3"/>
      </w:numPr>
    </w:pPr>
  </w:style>
  <w:style w:type="numbering" w:customStyle="1" w:styleId="CurrentList3">
    <w:name w:val="Current List3"/>
    <w:uiPriority w:val="99"/>
    <w:rsid w:val="00356FCC"/>
    <w:pPr>
      <w:numPr>
        <w:numId w:val="4"/>
      </w:numPr>
    </w:pPr>
  </w:style>
  <w:style w:type="numbering" w:customStyle="1" w:styleId="CurrentList4">
    <w:name w:val="Current List4"/>
    <w:uiPriority w:val="99"/>
    <w:rsid w:val="00C33326"/>
    <w:pPr>
      <w:numPr>
        <w:numId w:val="5"/>
      </w:numPr>
    </w:pPr>
  </w:style>
  <w:style w:type="paragraph" w:styleId="TOC2">
    <w:name w:val="toc 2"/>
    <w:basedOn w:val="TOC1"/>
    <w:next w:val="Normal"/>
    <w:autoRedefine/>
    <w:uiPriority w:val="39"/>
    <w:locked/>
    <w:rsid w:val="00A21464"/>
    <w:pPr>
      <w:tabs>
        <w:tab w:val="left" w:pos="1200"/>
      </w:tabs>
      <w:ind w:left="720"/>
    </w:pPr>
  </w:style>
  <w:style w:type="paragraph" w:styleId="FootnoteText">
    <w:name w:val="footnote text"/>
    <w:basedOn w:val="Normal"/>
    <w:link w:val="FootnoteTextChar"/>
    <w:uiPriority w:val="99"/>
    <w:unhideWhenUsed/>
    <w:rsid w:val="00AA2E94"/>
    <w:pPr>
      <w:spacing w:after="0" w:line="240" w:lineRule="auto"/>
      <w:jc w:val="both"/>
    </w:pPr>
    <w:rPr>
      <w:rFonts w:eastAsiaTheme="minorHAnsi"/>
      <w:kern w:val="2"/>
      <w:sz w:val="20"/>
      <w:szCs w:val="20"/>
    </w:rPr>
  </w:style>
  <w:style w:type="character" w:customStyle="1" w:styleId="FootnoteTextChar">
    <w:name w:val="Footnote Text Char"/>
    <w:basedOn w:val="DefaultParagraphFont"/>
    <w:link w:val="FootnoteText"/>
    <w:uiPriority w:val="99"/>
    <w:rsid w:val="00AA2E94"/>
    <w:rPr>
      <w:rFonts w:ascii="Times New Roman" w:eastAsiaTheme="minorHAnsi" w:hAnsi="Times New Roman"/>
      <w:kern w:val="2"/>
      <w:sz w:val="20"/>
      <w:szCs w:val="20"/>
    </w:rPr>
  </w:style>
  <w:style w:type="character" w:styleId="FootnoteReference">
    <w:name w:val="footnote reference"/>
    <w:basedOn w:val="DefaultParagraphFont"/>
    <w:uiPriority w:val="99"/>
    <w:semiHidden/>
    <w:unhideWhenUsed/>
    <w:rsid w:val="00AA2E94"/>
    <w:rPr>
      <w:vertAlign w:val="superscript"/>
    </w:rPr>
  </w:style>
  <w:style w:type="character" w:customStyle="1" w:styleId="Heading3Char">
    <w:name w:val="Heading 3 Char"/>
    <w:basedOn w:val="DefaultParagraphFont"/>
    <w:link w:val="Heading3"/>
    <w:rsid w:val="007A1C56"/>
    <w:rPr>
      <w:rFonts w:ascii="Arial" w:hAnsi="Arial" w:cs="Arial"/>
      <w:b/>
    </w:rPr>
  </w:style>
  <w:style w:type="paragraph" w:styleId="TOC3">
    <w:name w:val="toc 3"/>
    <w:basedOn w:val="TOC2"/>
    <w:next w:val="Normal"/>
    <w:autoRedefine/>
    <w:uiPriority w:val="39"/>
    <w:unhideWhenUsed/>
    <w:locked/>
    <w:rsid w:val="00833641"/>
    <w:pPr>
      <w:tabs>
        <w:tab w:val="clear" w:pos="1200"/>
        <w:tab w:val="left" w:pos="1800"/>
      </w:tabs>
      <w:ind w:left="1260"/>
    </w:pPr>
    <w:rPr>
      <w:rFonts w:eastAsiaTheme="minorEastAsia" w:cs="Arial"/>
      <w:noProof/>
      <w:kern w:val="2"/>
      <w:specVanish/>
    </w:rPr>
  </w:style>
  <w:style w:type="paragraph" w:styleId="TOC4">
    <w:name w:val="toc 4"/>
    <w:basedOn w:val="Normal"/>
    <w:next w:val="Normal"/>
    <w:autoRedefine/>
    <w:uiPriority w:val="39"/>
    <w:unhideWhenUsed/>
    <w:locked/>
    <w:rsid w:val="0015654E"/>
    <w:pPr>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locked/>
    <w:rsid w:val="0015654E"/>
    <w:pPr>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locked/>
    <w:rsid w:val="0015654E"/>
    <w:pPr>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locked/>
    <w:rsid w:val="0015654E"/>
    <w:pPr>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locked/>
    <w:rsid w:val="0015654E"/>
    <w:pPr>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locked/>
    <w:rsid w:val="0015654E"/>
    <w:pPr>
      <w:spacing w:after="100" w:line="278" w:lineRule="auto"/>
      <w:ind w:left="1920"/>
    </w:pPr>
    <w:rPr>
      <w:rFonts w:asciiTheme="minorHAnsi" w:eastAsiaTheme="minorEastAsia" w:hAnsiTheme="minorHAnsi" w:cstheme="minorBidi"/>
      <w:kern w:val="2"/>
      <w:sz w:val="24"/>
      <w:szCs w:val="24"/>
    </w:rPr>
  </w:style>
  <w:style w:type="paragraph" w:styleId="TOCHeading">
    <w:name w:val="TOC Heading"/>
    <w:basedOn w:val="Heading1"/>
    <w:next w:val="Normal"/>
    <w:uiPriority w:val="39"/>
    <w:unhideWhenUsed/>
    <w:qFormat/>
    <w:rsid w:val="00C166F6"/>
    <w:pPr>
      <w:keepNext/>
      <w:keepLines/>
      <w:numPr>
        <w:numId w:val="0"/>
      </w:numPr>
      <w:spacing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character" w:customStyle="1" w:styleId="Heading4Char">
    <w:name w:val="Heading 4 Char"/>
    <w:basedOn w:val="DefaultParagraphFont"/>
    <w:link w:val="Heading4"/>
    <w:rsid w:val="007F0DF0"/>
    <w:rPr>
      <w:rFonts w:ascii="Arial" w:hAnsi="Arial" w:cs="Arial"/>
      <w:b/>
      <w:bCs/>
    </w:rPr>
  </w:style>
  <w:style w:type="paragraph" w:customStyle="1" w:styleId="copyright">
    <w:name w:val="copyright"/>
    <w:basedOn w:val="Normal"/>
    <w:qFormat/>
    <w:rsid w:val="00536834"/>
    <w:pPr>
      <w:keepLines/>
      <w:spacing w:after="0" w:line="240" w:lineRule="auto"/>
      <w:jc w:val="center"/>
    </w:pPr>
    <w:rPr>
      <w:rFonts w:ascii="Arial" w:hAnsi="Arial"/>
      <w:sz w:val="18"/>
    </w:rPr>
  </w:style>
  <w:style w:type="paragraph" w:customStyle="1" w:styleId="ListParagraph2">
    <w:name w:val="List Paragraph 2"/>
    <w:basedOn w:val="ListParagraph"/>
    <w:qFormat/>
    <w:rsid w:val="00D404B2"/>
    <w:pPr>
      <w:widowControl w:val="0"/>
      <w:numPr>
        <w:numId w:val="6"/>
      </w:numPr>
      <w:spacing w:after="120" w:line="240" w:lineRule="auto"/>
      <w:ind w:left="2606"/>
      <w:jc w:val="both"/>
    </w:pPr>
    <w:rPr>
      <w:rFonts w:ascii="Arial" w:hAnsi="Arial" w:cs="Arial"/>
    </w:rPr>
  </w:style>
  <w:style w:type="paragraph" w:customStyle="1" w:styleId="ListParagraph1">
    <w:name w:val="List Paragraph 1"/>
    <w:basedOn w:val="ListParagraph"/>
    <w:qFormat/>
    <w:rsid w:val="001A4640"/>
    <w:pPr>
      <w:numPr>
        <w:numId w:val="7"/>
      </w:numPr>
      <w:spacing w:after="120" w:line="240" w:lineRule="auto"/>
    </w:pPr>
    <w:rPr>
      <w:rFonts w:ascii="Arial" w:hAnsi="Arial" w:cs="Arial"/>
    </w:rPr>
  </w:style>
  <w:style w:type="paragraph" w:customStyle="1" w:styleId="ListParagraph15">
    <w:name w:val="List Paragraph 1.5"/>
    <w:basedOn w:val="ListParagraph"/>
    <w:qFormat/>
    <w:rsid w:val="00D70151"/>
    <w:pPr>
      <w:numPr>
        <w:numId w:val="8"/>
      </w:numPr>
      <w:spacing w:after="120" w:line="240" w:lineRule="auto"/>
    </w:pPr>
    <w:rPr>
      <w:rFonts w:ascii="Arial" w:hAnsi="Arial" w:cs="Arial"/>
    </w:rPr>
  </w:style>
  <w:style w:type="paragraph" w:customStyle="1" w:styleId="ListParagraph25">
    <w:name w:val="List Paragraph 2.5"/>
    <w:basedOn w:val="ListParagraph2"/>
    <w:qFormat/>
    <w:rsid w:val="00FB50A8"/>
    <w:pPr>
      <w:ind w:left="2880"/>
    </w:pPr>
  </w:style>
  <w:style w:type="paragraph" w:customStyle="1" w:styleId="BodyIndent1">
    <w:name w:val="Body Indent 1"/>
    <w:basedOn w:val="Heading2"/>
    <w:qFormat/>
    <w:rsid w:val="00D70151"/>
    <w:pPr>
      <w:numPr>
        <w:numId w:val="0"/>
      </w:numPr>
      <w:spacing w:before="0"/>
      <w:ind w:left="1440" w:firstLine="360"/>
      <w:outlineLvl w:val="9"/>
    </w:pPr>
    <w:rPr>
      <w:b w:val="0"/>
      <w:bCs/>
    </w:rPr>
  </w:style>
  <w:style w:type="paragraph" w:customStyle="1" w:styleId="Bodyunderloweralevel">
    <w:name w:val="Body under lower a level"/>
    <w:basedOn w:val="Normal"/>
    <w:qFormat/>
    <w:rsid w:val="001E1466"/>
    <w:pPr>
      <w:spacing w:after="0" w:line="240" w:lineRule="auto"/>
      <w:ind w:left="2610"/>
      <w:contextualSpacing/>
    </w:pPr>
    <w:rPr>
      <w:rFonts w:ascii="Arial" w:hAnsi="Arial" w:cs="Arial"/>
    </w:rPr>
  </w:style>
  <w:style w:type="paragraph" w:customStyle="1" w:styleId="Bodyindentunder1level">
    <w:name w:val="Body indent under '1' level"/>
    <w:basedOn w:val="BodyIndent1"/>
    <w:qFormat/>
    <w:rsid w:val="00883B00"/>
    <w:pPr>
      <w:ind w:left="2250"/>
    </w:pPr>
  </w:style>
  <w:style w:type="character" w:customStyle="1" w:styleId="Italic">
    <w:name w:val="Italic"/>
    <w:basedOn w:val="DefaultParagraphFont"/>
    <w:uiPriority w:val="1"/>
    <w:qFormat/>
    <w:rsid w:val="004530FC"/>
    <w:rPr>
      <w:i/>
    </w:rPr>
  </w:style>
  <w:style w:type="paragraph" w:customStyle="1" w:styleId="StyleHeading4After16line">
    <w:name w:val="Style Heading 4 + After:  1.6 line"/>
    <w:basedOn w:val="Heading4"/>
    <w:rsid w:val="002B484D"/>
    <w:rPr>
      <w:rFonts w:eastAsia="Times New Roman" w:cs="Times New Roman"/>
      <w:szCs w:val="20"/>
    </w:rPr>
  </w:style>
  <w:style w:type="paragraph" w:customStyle="1" w:styleId="StyleHeading4After16line1">
    <w:name w:val="Style Heading 4 + After:  1.6 line1"/>
    <w:basedOn w:val="Heading4"/>
    <w:rsid w:val="00295E1F"/>
    <w:rPr>
      <w:rFonts w:eastAsia="Times New Roman" w:cs="Times New Roman"/>
      <w:szCs w:val="20"/>
    </w:rPr>
  </w:style>
  <w:style w:type="paragraph" w:customStyle="1" w:styleId="BodyH3">
    <w:name w:val="Body H3"/>
    <w:qFormat/>
    <w:rsid w:val="00C02F67"/>
    <w:pPr>
      <w:ind w:left="1440" w:firstLine="360"/>
    </w:pPr>
    <w:rPr>
      <w:rFonts w:ascii="Arial" w:hAnsi="Arial" w:cs="Arial"/>
    </w:rPr>
  </w:style>
  <w:style w:type="paragraph" w:customStyle="1" w:styleId="BodyH1">
    <w:name w:val="Body H1"/>
    <w:basedOn w:val="Normal"/>
    <w:qFormat/>
    <w:rsid w:val="007A0AFB"/>
    <w:pPr>
      <w:spacing w:before="240" w:after="0" w:line="240" w:lineRule="auto"/>
      <w:ind w:left="720" w:firstLine="360"/>
    </w:pPr>
    <w:rPr>
      <w:rFonts w:ascii="Arial" w:hAnsi="Arial" w:cs="Arial"/>
    </w:rPr>
  </w:style>
  <w:style w:type="paragraph" w:customStyle="1" w:styleId="BodyH2">
    <w:name w:val="Body H2"/>
    <w:basedOn w:val="BodyH1"/>
    <w:qFormat/>
    <w:rsid w:val="007A1C56"/>
    <w:pPr>
      <w:spacing w:before="0"/>
      <w:ind w:left="1080"/>
    </w:pPr>
  </w:style>
  <w:style w:type="paragraph" w:customStyle="1" w:styleId="BodyH4">
    <w:name w:val="Body H4"/>
    <w:basedOn w:val="BodyH3"/>
    <w:qFormat/>
    <w:rsid w:val="00D404B2"/>
    <w:pPr>
      <w:ind w:left="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9357">
      <w:bodyDiv w:val="1"/>
      <w:marLeft w:val="0"/>
      <w:marRight w:val="0"/>
      <w:marTop w:val="0"/>
      <w:marBottom w:val="0"/>
      <w:divBdr>
        <w:top w:val="none" w:sz="0" w:space="0" w:color="auto"/>
        <w:left w:val="none" w:sz="0" w:space="0" w:color="auto"/>
        <w:bottom w:val="none" w:sz="0" w:space="0" w:color="auto"/>
        <w:right w:val="none" w:sz="0" w:space="0" w:color="auto"/>
      </w:divBdr>
      <w:divsChild>
        <w:div w:id="1905489055">
          <w:marLeft w:val="0"/>
          <w:marRight w:val="0"/>
          <w:marTop w:val="0"/>
          <w:marBottom w:val="0"/>
          <w:divBdr>
            <w:top w:val="none" w:sz="0" w:space="0" w:color="3D3D3D"/>
            <w:left w:val="none" w:sz="0" w:space="0" w:color="3D3D3D"/>
            <w:bottom w:val="none" w:sz="0" w:space="0" w:color="3D3D3D"/>
            <w:right w:val="none" w:sz="0" w:space="0" w:color="3D3D3D"/>
          </w:divBdr>
          <w:divsChild>
            <w:div w:id="1169294952">
              <w:marLeft w:val="0"/>
              <w:marRight w:val="0"/>
              <w:marTop w:val="0"/>
              <w:marBottom w:val="0"/>
              <w:divBdr>
                <w:top w:val="none" w:sz="0" w:space="0" w:color="3D3D3D"/>
                <w:left w:val="none" w:sz="0" w:space="0" w:color="3D3D3D"/>
                <w:bottom w:val="none" w:sz="0" w:space="0" w:color="3D3D3D"/>
                <w:right w:val="none" w:sz="0" w:space="0" w:color="3D3D3D"/>
              </w:divBdr>
              <w:divsChild>
                <w:div w:id="1244073303">
                  <w:marLeft w:val="0"/>
                  <w:marRight w:val="0"/>
                  <w:marTop w:val="0"/>
                  <w:marBottom w:val="0"/>
                  <w:divBdr>
                    <w:top w:val="none" w:sz="0" w:space="0" w:color="3D3D3D"/>
                    <w:left w:val="none" w:sz="0" w:space="0" w:color="3D3D3D"/>
                    <w:bottom w:val="none" w:sz="0" w:space="0" w:color="3D3D3D"/>
                    <w:right w:val="none" w:sz="0" w:space="0" w:color="3D3D3D"/>
                  </w:divBdr>
                </w:div>
              </w:divsChild>
            </w:div>
            <w:div w:id="715816316">
              <w:marLeft w:val="0"/>
              <w:marRight w:val="0"/>
              <w:marTop w:val="218"/>
              <w:marBottom w:val="0"/>
              <w:divBdr>
                <w:top w:val="none" w:sz="0" w:space="0" w:color="3D3D3D"/>
                <w:left w:val="none" w:sz="0" w:space="0" w:color="3D3D3D"/>
                <w:bottom w:val="none" w:sz="0" w:space="0" w:color="3D3D3D"/>
                <w:right w:val="none" w:sz="0" w:space="0" w:color="3D3D3D"/>
              </w:divBdr>
              <w:divsChild>
                <w:div w:id="1470249489">
                  <w:marLeft w:val="0"/>
                  <w:marRight w:val="0"/>
                  <w:marTop w:val="0"/>
                  <w:marBottom w:val="0"/>
                  <w:divBdr>
                    <w:top w:val="none" w:sz="0" w:space="0" w:color="3D3D3D"/>
                    <w:left w:val="none" w:sz="0" w:space="0" w:color="3D3D3D"/>
                    <w:bottom w:val="none" w:sz="0" w:space="0" w:color="3D3D3D"/>
                    <w:right w:val="none" w:sz="0" w:space="0" w:color="3D3D3D"/>
                  </w:divBdr>
                </w:div>
              </w:divsChild>
            </w:div>
            <w:div w:id="9894828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5314808">
      <w:bodyDiv w:val="1"/>
      <w:marLeft w:val="0"/>
      <w:marRight w:val="0"/>
      <w:marTop w:val="0"/>
      <w:marBottom w:val="0"/>
      <w:divBdr>
        <w:top w:val="none" w:sz="0" w:space="0" w:color="auto"/>
        <w:left w:val="none" w:sz="0" w:space="0" w:color="auto"/>
        <w:bottom w:val="none" w:sz="0" w:space="0" w:color="auto"/>
        <w:right w:val="none" w:sz="0" w:space="0" w:color="auto"/>
      </w:divBdr>
      <w:divsChild>
        <w:div w:id="502623347">
          <w:marLeft w:val="0"/>
          <w:marRight w:val="0"/>
          <w:marTop w:val="0"/>
          <w:marBottom w:val="0"/>
          <w:divBdr>
            <w:top w:val="none" w:sz="0" w:space="0" w:color="3D3D3D"/>
            <w:left w:val="none" w:sz="0" w:space="0" w:color="3D3D3D"/>
            <w:bottom w:val="none" w:sz="0" w:space="0" w:color="3D3D3D"/>
            <w:right w:val="none" w:sz="0" w:space="0" w:color="3D3D3D"/>
          </w:divBdr>
          <w:divsChild>
            <w:div w:id="15399765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6165842">
      <w:bodyDiv w:val="1"/>
      <w:marLeft w:val="0"/>
      <w:marRight w:val="0"/>
      <w:marTop w:val="0"/>
      <w:marBottom w:val="0"/>
      <w:divBdr>
        <w:top w:val="none" w:sz="0" w:space="0" w:color="auto"/>
        <w:left w:val="none" w:sz="0" w:space="0" w:color="auto"/>
        <w:bottom w:val="none" w:sz="0" w:space="0" w:color="auto"/>
        <w:right w:val="none" w:sz="0" w:space="0" w:color="auto"/>
      </w:divBdr>
      <w:divsChild>
        <w:div w:id="1486896187">
          <w:marLeft w:val="0"/>
          <w:marRight w:val="0"/>
          <w:marTop w:val="0"/>
          <w:marBottom w:val="0"/>
          <w:divBdr>
            <w:top w:val="none" w:sz="0" w:space="0" w:color="3D3D3D"/>
            <w:left w:val="none" w:sz="0" w:space="0" w:color="3D3D3D"/>
            <w:bottom w:val="none" w:sz="0" w:space="0" w:color="3D3D3D"/>
            <w:right w:val="none" w:sz="0" w:space="0" w:color="3D3D3D"/>
          </w:divBdr>
          <w:divsChild>
            <w:div w:id="203520156">
              <w:marLeft w:val="0"/>
              <w:marRight w:val="0"/>
              <w:marTop w:val="0"/>
              <w:marBottom w:val="0"/>
              <w:divBdr>
                <w:top w:val="none" w:sz="0" w:space="0" w:color="3D3D3D"/>
                <w:left w:val="none" w:sz="0" w:space="0" w:color="3D3D3D"/>
                <w:bottom w:val="none" w:sz="0" w:space="0" w:color="3D3D3D"/>
                <w:right w:val="none" w:sz="0" w:space="0" w:color="3D3D3D"/>
              </w:divBdr>
              <w:divsChild>
                <w:div w:id="1555002870">
                  <w:marLeft w:val="0"/>
                  <w:marRight w:val="0"/>
                  <w:marTop w:val="0"/>
                  <w:marBottom w:val="0"/>
                  <w:divBdr>
                    <w:top w:val="none" w:sz="0" w:space="0" w:color="3D3D3D"/>
                    <w:left w:val="none" w:sz="0" w:space="0" w:color="3D3D3D"/>
                    <w:bottom w:val="none" w:sz="0" w:space="0" w:color="3D3D3D"/>
                    <w:right w:val="none" w:sz="0" w:space="0" w:color="3D3D3D"/>
                  </w:divBdr>
                </w:div>
              </w:divsChild>
            </w:div>
            <w:div w:id="1680038902">
              <w:marLeft w:val="0"/>
              <w:marRight w:val="0"/>
              <w:marTop w:val="218"/>
              <w:marBottom w:val="0"/>
              <w:divBdr>
                <w:top w:val="none" w:sz="0" w:space="0" w:color="3D3D3D"/>
                <w:left w:val="none" w:sz="0" w:space="0" w:color="3D3D3D"/>
                <w:bottom w:val="none" w:sz="0" w:space="0" w:color="3D3D3D"/>
                <w:right w:val="none" w:sz="0" w:space="0" w:color="3D3D3D"/>
              </w:divBdr>
              <w:divsChild>
                <w:div w:id="906845123">
                  <w:marLeft w:val="0"/>
                  <w:marRight w:val="0"/>
                  <w:marTop w:val="0"/>
                  <w:marBottom w:val="0"/>
                  <w:divBdr>
                    <w:top w:val="none" w:sz="0" w:space="0" w:color="3D3D3D"/>
                    <w:left w:val="none" w:sz="0" w:space="0" w:color="3D3D3D"/>
                    <w:bottom w:val="none" w:sz="0" w:space="0" w:color="3D3D3D"/>
                    <w:right w:val="none" w:sz="0" w:space="0" w:color="3D3D3D"/>
                  </w:divBdr>
                </w:div>
              </w:divsChild>
            </w:div>
            <w:div w:id="1675957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957731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criminallaw.sog.unc.edu/when-is-double-jeopardy-a-rule-of-evid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g.unc.edu/publications/bulletins/units-prosecu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riminallaw.sog.unc.edu/pleading-defects-and-double-jeopard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C23B7A315D434A8072106EED37CA6B" ma:contentTypeVersion="17" ma:contentTypeDescription="Create a new document." ma:contentTypeScope="" ma:versionID="f7c2f9501d8168c0d2f4bc7d55b9f18c">
  <xsd:schema xmlns:xsd="http://www.w3.org/2001/XMLSchema" xmlns:xs="http://www.w3.org/2001/XMLSchema" xmlns:p="http://schemas.microsoft.com/office/2006/metadata/properties" xmlns:ns3="047c0153-4877-46d5-b392-4dc4097c5831" xmlns:ns4="1dd9b365-2dee-445a-8029-dd3730e20ecb" targetNamespace="http://schemas.microsoft.com/office/2006/metadata/properties" ma:root="true" ma:fieldsID="d40d3a8626058ccabfd7a6d59a409447" ns3:_="" ns4:_="">
    <xsd:import namespace="047c0153-4877-46d5-b392-4dc4097c5831"/>
    <xsd:import namespace="1dd9b365-2dee-445a-8029-dd3730e20e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0153-4877-46d5-b392-4dc4097c58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9b365-2dee-445a-8029-dd3730e20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dd9b365-2dee-445a-8029-dd3730e20ecb" xsi:nil="true"/>
  </documentManagement>
</p:properties>
</file>

<file path=customXml/itemProps1.xml><?xml version="1.0" encoding="utf-8"?>
<ds:datastoreItem xmlns:ds="http://schemas.openxmlformats.org/officeDocument/2006/customXml" ds:itemID="{C763DCA6-987A-4FC1-8582-A121C195533A}">
  <ds:schemaRefs>
    <ds:schemaRef ds:uri="http://schemas.openxmlformats.org/officeDocument/2006/bibliography"/>
  </ds:schemaRefs>
</ds:datastoreItem>
</file>

<file path=customXml/itemProps2.xml><?xml version="1.0" encoding="utf-8"?>
<ds:datastoreItem xmlns:ds="http://schemas.openxmlformats.org/officeDocument/2006/customXml" ds:itemID="{A01471ED-1C91-448F-8BAB-4C7FCECA17E3}">
  <ds:schemaRefs>
    <ds:schemaRef ds:uri="http://schemas.microsoft.com/sharepoint/v3/contenttype/forms"/>
  </ds:schemaRefs>
</ds:datastoreItem>
</file>

<file path=customXml/itemProps3.xml><?xml version="1.0" encoding="utf-8"?>
<ds:datastoreItem xmlns:ds="http://schemas.openxmlformats.org/officeDocument/2006/customXml" ds:itemID="{AAA9437E-77D7-4F06-A879-EDD26767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0153-4877-46d5-b392-4dc4097c5831"/>
    <ds:schemaRef ds:uri="1dd9b365-2dee-445a-8029-dd3730e20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B9C21-0563-48D9-9BDE-F91725F1E6BF}">
  <ds:schemaRefs>
    <ds:schemaRef ds:uri="http://schemas.microsoft.com/office/2006/metadata/properties"/>
    <ds:schemaRef ds:uri="http://schemas.microsoft.com/office/infopath/2007/PartnerControls"/>
    <ds:schemaRef ds:uri="1dd9b365-2dee-445a-8029-dd3730e20e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10369</Words>
  <Characters>59106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UNC-CH School of Government</Company>
  <LinksUpToDate>false</LinksUpToDate>
  <CharactersWithSpaces>69337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Smith</dc:creator>
  <cp:keywords/>
  <dc:description/>
  <cp:lastModifiedBy>Denning, Shea R.</cp:lastModifiedBy>
  <cp:revision>2</cp:revision>
  <cp:lastPrinted>2025-07-18T16:42:00Z</cp:lastPrinted>
  <dcterms:created xsi:type="dcterms:W3CDTF">2025-08-07T19:13:00Z</dcterms:created>
  <dcterms:modified xsi:type="dcterms:W3CDTF">2025-08-07T19:13:00Z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0x01010083C23B7A315D434A8072106EED37CA6B</vt:lpwstr>
  </property>
</Properties>
</file>