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818E6" w14:textId="135A4F74" w:rsidR="002418EF" w:rsidRPr="00410C6F" w:rsidRDefault="00410C6F" w:rsidP="00317334">
      <w:pPr>
        <w:spacing w:after="0" w:line="240" w:lineRule="auto"/>
        <w:jc w:val="center"/>
        <w:rPr>
          <w:rFonts w:ascii="Arial" w:hAnsi="Arial" w:cs="Arial"/>
        </w:rPr>
      </w:pPr>
      <w:r w:rsidRPr="00410C6F">
        <w:rPr>
          <w:rFonts w:ascii="Arial" w:hAnsi="Arial" w:cs="Arial"/>
          <w:b/>
        </w:rPr>
        <w:t>EX POST FACTO LAWS</w:t>
      </w:r>
    </w:p>
    <w:p w14:paraId="59300C17" w14:textId="77777777" w:rsidR="002418EF" w:rsidRPr="001B142C" w:rsidRDefault="002418EF" w:rsidP="00317334">
      <w:pPr>
        <w:spacing w:after="0" w:line="240" w:lineRule="auto"/>
        <w:jc w:val="center"/>
        <w:rPr>
          <w:rFonts w:ascii="Arial" w:hAnsi="Arial" w:cs="Arial"/>
        </w:rPr>
      </w:pPr>
    </w:p>
    <w:p w14:paraId="5A9F7635" w14:textId="6C380322" w:rsidR="00E10584" w:rsidRDefault="00154DC9" w:rsidP="00493769">
      <w:pPr>
        <w:spacing w:after="0" w:line="240" w:lineRule="auto"/>
        <w:jc w:val="both"/>
        <w:rPr>
          <w:rFonts w:ascii="Arial" w:hAnsi="Arial" w:cs="Arial"/>
        </w:rPr>
      </w:pPr>
      <w:r w:rsidRPr="001B142C">
        <w:rPr>
          <w:rFonts w:ascii="Arial" w:hAnsi="Arial" w:cs="Arial"/>
        </w:rPr>
        <w:t xml:space="preserve">Joseph </w:t>
      </w:r>
      <w:r w:rsidR="00BA6EE0">
        <w:rPr>
          <w:rFonts w:ascii="Arial" w:hAnsi="Arial" w:cs="Arial"/>
        </w:rPr>
        <w:t xml:space="preserve">L. </w:t>
      </w:r>
      <w:r w:rsidRPr="001B142C">
        <w:rPr>
          <w:rFonts w:ascii="Arial" w:hAnsi="Arial" w:cs="Arial"/>
        </w:rPr>
        <w:t>Hyde</w:t>
      </w:r>
      <w:r w:rsidR="002418EF" w:rsidRPr="001B142C">
        <w:rPr>
          <w:rFonts w:ascii="Arial" w:hAnsi="Arial" w:cs="Arial"/>
        </w:rPr>
        <w:t>, UNC School of Government (</w:t>
      </w:r>
      <w:r w:rsidR="007E3BB3">
        <w:rPr>
          <w:rFonts w:ascii="Arial" w:hAnsi="Arial" w:cs="Arial"/>
        </w:rPr>
        <w:t>August</w:t>
      </w:r>
      <w:r w:rsidR="00B733AF" w:rsidRPr="001B142C">
        <w:rPr>
          <w:rFonts w:ascii="Arial" w:hAnsi="Arial" w:cs="Arial"/>
        </w:rPr>
        <w:t xml:space="preserve"> 20</w:t>
      </w:r>
      <w:r w:rsidRPr="001B142C">
        <w:rPr>
          <w:rFonts w:ascii="Arial" w:hAnsi="Arial" w:cs="Arial"/>
        </w:rPr>
        <w:t>25</w:t>
      </w:r>
      <w:r w:rsidR="002418EF" w:rsidRPr="001B142C">
        <w:rPr>
          <w:rFonts w:ascii="Arial" w:hAnsi="Arial" w:cs="Arial"/>
        </w:rPr>
        <w:t>)</w:t>
      </w:r>
    </w:p>
    <w:p w14:paraId="0793144B" w14:textId="77777777" w:rsidR="00623564" w:rsidRPr="001B142C" w:rsidRDefault="00623564" w:rsidP="00493769">
      <w:pPr>
        <w:spacing w:after="0" w:line="240" w:lineRule="auto"/>
        <w:jc w:val="both"/>
        <w:rPr>
          <w:rFonts w:ascii="Arial" w:hAnsi="Arial" w:cs="Arial"/>
        </w:rPr>
      </w:pPr>
    </w:p>
    <w:sdt>
      <w:sdtPr>
        <w:rPr>
          <w:rFonts w:ascii="Arial" w:eastAsia="Calibri" w:hAnsi="Arial" w:cs="Arial"/>
          <w:b/>
          <w:bCs/>
          <w:color w:val="auto"/>
          <w:sz w:val="22"/>
          <w:szCs w:val="22"/>
        </w:rPr>
        <w:id w:val="-2136394909"/>
        <w:docPartObj>
          <w:docPartGallery w:val="Table of Contents"/>
          <w:docPartUnique/>
        </w:docPartObj>
      </w:sdtPr>
      <w:sdtEndPr/>
      <w:sdtContent>
        <w:p w14:paraId="58C88760" w14:textId="7615C21E" w:rsidR="001B142C" w:rsidRPr="001B142C" w:rsidRDefault="001B142C">
          <w:pPr>
            <w:pStyle w:val="TOCHeading"/>
            <w:rPr>
              <w:rFonts w:ascii="Arial" w:hAnsi="Arial" w:cs="Arial"/>
              <w:b/>
              <w:bCs/>
              <w:color w:val="000000" w:themeColor="text1"/>
              <w:sz w:val="22"/>
              <w:szCs w:val="22"/>
            </w:rPr>
          </w:pPr>
          <w:r w:rsidRPr="001B142C">
            <w:rPr>
              <w:rFonts w:ascii="Arial" w:hAnsi="Arial" w:cs="Arial"/>
              <w:b/>
              <w:bCs/>
              <w:color w:val="000000" w:themeColor="text1"/>
              <w:sz w:val="22"/>
              <w:szCs w:val="22"/>
            </w:rPr>
            <w:t>Contents</w:t>
          </w:r>
        </w:p>
        <w:p w14:paraId="1FFE519B" w14:textId="5F5AB966" w:rsidR="001B142C" w:rsidRPr="001B142C" w:rsidRDefault="001B142C" w:rsidP="001B142C">
          <w:pPr>
            <w:pStyle w:val="TOC1"/>
          </w:pPr>
          <w:r w:rsidRPr="001B142C">
            <w:t>Defin</w:t>
          </w:r>
          <w:r w:rsidR="004D56BF">
            <w:t>ition</w:t>
          </w:r>
          <w:r w:rsidRPr="001B142C">
            <w:ptab w:relativeTo="margin" w:alignment="right" w:leader="dot"/>
          </w:r>
          <w:r w:rsidRPr="001B142C">
            <w:t>1</w:t>
          </w:r>
        </w:p>
        <w:p w14:paraId="7A8D7814" w14:textId="24499901" w:rsidR="001B142C" w:rsidRPr="001B142C" w:rsidRDefault="001B142C" w:rsidP="001B142C">
          <w:pPr>
            <w:pStyle w:val="TOC2"/>
            <w:rPr>
              <w:rFonts w:cs="Arial"/>
            </w:rPr>
          </w:pPr>
          <w:proofErr w:type="gramStart"/>
          <w:r w:rsidRPr="001B142C">
            <w:rPr>
              <w:rFonts w:cs="Arial"/>
            </w:rPr>
            <w:t>Generally</w:t>
          </w:r>
          <w:proofErr w:type="gramEnd"/>
          <w:r w:rsidR="00F47AC8" w:rsidRPr="001B142C">
            <w:rPr>
              <w:rFonts w:cs="Arial"/>
            </w:rPr>
            <w:ptab w:relativeTo="margin" w:alignment="right" w:leader="dot"/>
          </w:r>
          <w:r w:rsidR="00F47AC8" w:rsidRPr="001B142C">
            <w:rPr>
              <w:rFonts w:cs="Arial"/>
            </w:rPr>
            <w:t>1</w:t>
          </w:r>
        </w:p>
        <w:p w14:paraId="20449021" w14:textId="521F5C07" w:rsidR="001B142C" w:rsidRPr="001B142C" w:rsidRDefault="001B142C" w:rsidP="001B142C">
          <w:pPr>
            <w:pStyle w:val="TOC2"/>
            <w:rPr>
              <w:rFonts w:cs="Arial"/>
            </w:rPr>
          </w:pPr>
          <w:r w:rsidRPr="001B142C">
            <w:rPr>
              <w:rFonts w:cs="Arial"/>
            </w:rPr>
            <w:t>Two Critical Elements</w:t>
          </w:r>
          <w:r w:rsidR="00F47AC8" w:rsidRPr="001B142C">
            <w:rPr>
              <w:rFonts w:cs="Arial"/>
            </w:rPr>
            <w:ptab w:relativeTo="margin" w:alignment="right" w:leader="dot"/>
          </w:r>
          <w:r w:rsidR="00F47AC8" w:rsidRPr="001B142C">
            <w:rPr>
              <w:rFonts w:cs="Arial"/>
            </w:rPr>
            <w:t>1</w:t>
          </w:r>
        </w:p>
        <w:p w14:paraId="0159F505" w14:textId="03A3BCFE" w:rsidR="001B142C" w:rsidRPr="001B142C" w:rsidRDefault="001B142C" w:rsidP="001B142C">
          <w:pPr>
            <w:pStyle w:val="TOC1"/>
          </w:pPr>
          <w:r w:rsidRPr="001B142C">
            <w:t>Sources</w:t>
          </w:r>
          <w:bookmarkStart w:id="0" w:name="_Hlk201744612"/>
          <w:r w:rsidRPr="001B142C">
            <w:ptab w:relativeTo="margin" w:alignment="right" w:leader="dot"/>
          </w:r>
          <w:bookmarkEnd w:id="0"/>
          <w:r w:rsidR="00F47AC8">
            <w:t>1</w:t>
          </w:r>
        </w:p>
        <w:p w14:paraId="5D487F4C" w14:textId="058B3A13" w:rsidR="00F47AC8" w:rsidRDefault="00F47AC8" w:rsidP="00251FA4">
          <w:pPr>
            <w:pStyle w:val="TOC2"/>
            <w:numPr>
              <w:ilvl w:val="0"/>
              <w:numId w:val="10"/>
            </w:numPr>
            <w:rPr>
              <w:rFonts w:cs="Arial"/>
            </w:rPr>
          </w:pPr>
          <w:r>
            <w:rPr>
              <w:rFonts w:cs="Arial"/>
            </w:rPr>
            <w:t>Federal Constitution: Ex Post Facto Clauses</w:t>
          </w:r>
          <w:r w:rsidRPr="001B142C">
            <w:rPr>
              <w:rFonts w:cs="Arial"/>
            </w:rPr>
            <w:ptab w:relativeTo="margin" w:alignment="right" w:leader="dot"/>
          </w:r>
          <w:r>
            <w:rPr>
              <w:rFonts w:cs="Arial"/>
            </w:rPr>
            <w:t>2</w:t>
          </w:r>
        </w:p>
        <w:p w14:paraId="5F3A19F8" w14:textId="2897A1D1" w:rsidR="00F47AC8" w:rsidRDefault="00F47AC8" w:rsidP="00251FA4">
          <w:pPr>
            <w:pStyle w:val="TOC2"/>
            <w:numPr>
              <w:ilvl w:val="0"/>
              <w:numId w:val="10"/>
            </w:numPr>
            <w:rPr>
              <w:rFonts w:cs="Arial"/>
            </w:rPr>
          </w:pPr>
          <w:r>
            <w:rPr>
              <w:rFonts w:cs="Arial"/>
            </w:rPr>
            <w:t>Federal Constitution: Due Process Clause</w:t>
          </w:r>
          <w:r w:rsidRPr="001B142C">
            <w:rPr>
              <w:rFonts w:cs="Arial"/>
            </w:rPr>
            <w:ptab w:relativeTo="margin" w:alignment="right" w:leader="dot"/>
          </w:r>
          <w:r>
            <w:rPr>
              <w:rFonts w:cs="Arial"/>
            </w:rPr>
            <w:t>2</w:t>
          </w:r>
        </w:p>
        <w:p w14:paraId="21A5C997" w14:textId="7703EA13" w:rsidR="00F47AC8" w:rsidRDefault="00F47AC8" w:rsidP="00251FA4">
          <w:pPr>
            <w:pStyle w:val="TOC2"/>
            <w:numPr>
              <w:ilvl w:val="0"/>
              <w:numId w:val="10"/>
            </w:numPr>
            <w:rPr>
              <w:rFonts w:cs="Arial"/>
            </w:rPr>
          </w:pPr>
          <w:r>
            <w:rPr>
              <w:rFonts w:cs="Arial"/>
            </w:rPr>
            <w:t>State Constitution</w:t>
          </w:r>
          <w:r w:rsidRPr="001B142C">
            <w:rPr>
              <w:rFonts w:cs="Arial"/>
            </w:rPr>
            <w:ptab w:relativeTo="margin" w:alignment="right" w:leader="dot"/>
          </w:r>
          <w:r>
            <w:rPr>
              <w:rFonts w:cs="Arial"/>
            </w:rPr>
            <w:t>2</w:t>
          </w:r>
        </w:p>
        <w:p w14:paraId="731968AD" w14:textId="58512421" w:rsidR="001B142C" w:rsidRPr="001B142C" w:rsidRDefault="00F47AC8" w:rsidP="00251FA4">
          <w:pPr>
            <w:pStyle w:val="TOC2"/>
            <w:numPr>
              <w:ilvl w:val="0"/>
              <w:numId w:val="10"/>
            </w:numPr>
            <w:rPr>
              <w:rFonts w:cs="Arial"/>
            </w:rPr>
          </w:pPr>
          <w:r>
            <w:rPr>
              <w:rFonts w:cs="Arial"/>
            </w:rPr>
            <w:t>Statute</w:t>
          </w:r>
          <w:r w:rsidR="001B142C" w:rsidRPr="001B142C">
            <w:rPr>
              <w:rFonts w:cs="Arial"/>
            </w:rPr>
            <w:ptab w:relativeTo="margin" w:alignment="right" w:leader="dot"/>
          </w:r>
          <w:r>
            <w:rPr>
              <w:rFonts w:cs="Arial"/>
            </w:rPr>
            <w:t>2</w:t>
          </w:r>
        </w:p>
        <w:p w14:paraId="6AD12CA1" w14:textId="32B21B4C" w:rsidR="00F47AC8" w:rsidRPr="00F47AC8" w:rsidRDefault="00F47AC8" w:rsidP="00251FA4">
          <w:pPr>
            <w:pStyle w:val="TOC1"/>
          </w:pPr>
          <w:r>
            <w:t>Application</w:t>
          </w:r>
          <w:r w:rsidRPr="001B142C">
            <w:ptab w:relativeTo="margin" w:alignment="right" w:leader="dot"/>
          </w:r>
          <w:r>
            <w:t>2</w:t>
          </w:r>
        </w:p>
        <w:p w14:paraId="1BFE34D4" w14:textId="7B47DA63" w:rsidR="00F47AC8" w:rsidRPr="00F47AC8" w:rsidRDefault="00F47AC8" w:rsidP="00F47AC8">
          <w:pPr>
            <w:pStyle w:val="Heading2"/>
            <w:rPr>
              <w:b w:val="0"/>
              <w:bCs w:val="0"/>
            </w:rPr>
          </w:pPr>
          <w:r w:rsidRPr="00F47AC8">
            <w:rPr>
              <w:b w:val="0"/>
              <w:bCs w:val="0"/>
            </w:rPr>
            <w:t>Timing</w:t>
          </w:r>
          <w:r w:rsidRPr="00F47AC8">
            <w:rPr>
              <w:b w:val="0"/>
              <w:bCs w:val="0"/>
            </w:rPr>
            <w:ptab w:relativeTo="margin" w:alignment="right" w:leader="dot"/>
          </w:r>
          <w:r>
            <w:rPr>
              <w:b w:val="0"/>
              <w:bCs w:val="0"/>
            </w:rPr>
            <w:t>2</w:t>
          </w:r>
        </w:p>
        <w:p w14:paraId="052B3E4E" w14:textId="13AC273C" w:rsidR="00F47AC8" w:rsidRPr="00F47AC8" w:rsidRDefault="00F47AC8" w:rsidP="00F47AC8">
          <w:pPr>
            <w:pStyle w:val="Heading2"/>
            <w:rPr>
              <w:b w:val="0"/>
              <w:bCs w:val="0"/>
            </w:rPr>
          </w:pPr>
          <w:r w:rsidRPr="00F47AC8">
            <w:rPr>
              <w:b w:val="0"/>
              <w:bCs w:val="0"/>
            </w:rPr>
            <w:t>Greater Punishment</w:t>
          </w:r>
          <w:r w:rsidRPr="00F47AC8">
            <w:rPr>
              <w:b w:val="0"/>
              <w:bCs w:val="0"/>
            </w:rPr>
            <w:ptab w:relativeTo="margin" w:alignment="right" w:leader="dot"/>
          </w:r>
          <w:r>
            <w:rPr>
              <w:b w:val="0"/>
              <w:bCs w:val="0"/>
            </w:rPr>
            <w:t>3</w:t>
          </w:r>
        </w:p>
        <w:p w14:paraId="70FDAA27" w14:textId="4CAA6CD2" w:rsidR="00F47AC8" w:rsidRPr="00F47AC8" w:rsidRDefault="00F47AC8" w:rsidP="00F47AC8">
          <w:pPr>
            <w:pStyle w:val="Heading2"/>
          </w:pPr>
          <w:r>
            <w:rPr>
              <w:b w:val="0"/>
              <w:bCs w:val="0"/>
            </w:rPr>
            <w:t>Alteration in Quantum of Proof</w:t>
          </w:r>
          <w:r w:rsidRPr="00F47AC8">
            <w:rPr>
              <w:b w:val="0"/>
              <w:bCs w:val="0"/>
            </w:rPr>
            <w:ptab w:relativeTo="margin" w:alignment="right" w:leader="dot"/>
          </w:r>
          <w:r>
            <w:rPr>
              <w:b w:val="0"/>
              <w:bCs w:val="0"/>
            </w:rPr>
            <w:t>3</w:t>
          </w:r>
        </w:p>
        <w:p w14:paraId="2486F062" w14:textId="24304D31" w:rsidR="00F47AC8" w:rsidRPr="00F47AC8" w:rsidRDefault="00F47AC8" w:rsidP="00F47AC8">
          <w:pPr>
            <w:pStyle w:val="Heading2"/>
            <w:rPr>
              <w:b w:val="0"/>
              <w:bCs w:val="0"/>
            </w:rPr>
          </w:pPr>
          <w:r>
            <w:rPr>
              <w:b w:val="0"/>
              <w:bCs w:val="0"/>
            </w:rPr>
            <w:t xml:space="preserve">Judicial Modification of Criminal </w:t>
          </w:r>
          <w:r w:rsidRPr="00F47AC8">
            <w:rPr>
              <w:b w:val="0"/>
              <w:bCs w:val="0"/>
            </w:rPr>
            <w:t>Law</w:t>
          </w:r>
          <w:r w:rsidRPr="00F47AC8">
            <w:rPr>
              <w:b w:val="0"/>
              <w:bCs w:val="0"/>
            </w:rPr>
            <w:ptab w:relativeTo="margin" w:alignment="right" w:leader="dot"/>
          </w:r>
          <w:r>
            <w:rPr>
              <w:b w:val="0"/>
              <w:bCs w:val="0"/>
            </w:rPr>
            <w:t>3</w:t>
          </w:r>
        </w:p>
        <w:p w14:paraId="462C2FDF" w14:textId="71FA7BA0" w:rsidR="00F47AC8" w:rsidRPr="00F47AC8" w:rsidRDefault="00F47AC8" w:rsidP="00F47AC8">
          <w:pPr>
            <w:pStyle w:val="TOC1"/>
          </w:pPr>
          <w:r>
            <w:t>Limitations</w:t>
          </w:r>
          <w:r w:rsidRPr="001B142C">
            <w:ptab w:relativeTo="margin" w:alignment="right" w:leader="dot"/>
          </w:r>
          <w:r>
            <w:t>3</w:t>
          </w:r>
        </w:p>
        <w:p w14:paraId="04A8ECEE" w14:textId="21382EA1" w:rsidR="00F47AC8" w:rsidRPr="00F47AC8" w:rsidRDefault="00F47AC8" w:rsidP="00251FA4">
          <w:pPr>
            <w:pStyle w:val="Heading2"/>
            <w:numPr>
              <w:ilvl w:val="0"/>
              <w:numId w:val="15"/>
            </w:numPr>
            <w:rPr>
              <w:b w:val="0"/>
              <w:bCs w:val="0"/>
            </w:rPr>
          </w:pPr>
          <w:r w:rsidRPr="00F47AC8">
            <w:rPr>
              <w:b w:val="0"/>
              <w:bCs w:val="0"/>
            </w:rPr>
            <w:t>Retroactivity</w:t>
          </w:r>
          <w:r w:rsidRPr="00F47AC8">
            <w:rPr>
              <w:b w:val="0"/>
              <w:bCs w:val="0"/>
            </w:rPr>
            <w:ptab w:relativeTo="margin" w:alignment="right" w:leader="dot"/>
          </w:r>
          <w:r>
            <w:rPr>
              <w:b w:val="0"/>
              <w:bCs w:val="0"/>
            </w:rPr>
            <w:t>3</w:t>
          </w:r>
        </w:p>
        <w:p w14:paraId="08CC829D" w14:textId="0D7D3757" w:rsidR="00F47AC8" w:rsidRPr="00F47AC8" w:rsidRDefault="00F47AC8" w:rsidP="00251FA4">
          <w:pPr>
            <w:pStyle w:val="Heading2"/>
            <w:numPr>
              <w:ilvl w:val="0"/>
              <w:numId w:val="15"/>
            </w:numPr>
            <w:rPr>
              <w:b w:val="0"/>
              <w:bCs w:val="0"/>
            </w:rPr>
          </w:pPr>
          <w:r w:rsidRPr="00F47AC8">
            <w:rPr>
              <w:b w:val="0"/>
              <w:bCs w:val="0"/>
            </w:rPr>
            <w:t>Disadvantage</w:t>
          </w:r>
          <w:r w:rsidRPr="00F47AC8">
            <w:rPr>
              <w:b w:val="0"/>
              <w:bCs w:val="0"/>
            </w:rPr>
            <w:ptab w:relativeTo="margin" w:alignment="right" w:leader="dot"/>
          </w:r>
          <w:r>
            <w:rPr>
              <w:b w:val="0"/>
              <w:bCs w:val="0"/>
            </w:rPr>
            <w:t>4</w:t>
          </w:r>
        </w:p>
        <w:p w14:paraId="18DAFE0E" w14:textId="28FA53B3" w:rsidR="001B142C" w:rsidRPr="00F47AC8" w:rsidRDefault="00F47AC8" w:rsidP="00251FA4">
          <w:pPr>
            <w:pStyle w:val="Heading2"/>
            <w:numPr>
              <w:ilvl w:val="0"/>
              <w:numId w:val="15"/>
            </w:numPr>
          </w:pPr>
          <w:r>
            <w:rPr>
              <w:b w:val="0"/>
              <w:bCs w:val="0"/>
            </w:rPr>
            <w:t>Civil Statutes</w:t>
          </w:r>
          <w:r w:rsidR="001B142C" w:rsidRPr="00F47AC8">
            <w:rPr>
              <w:b w:val="0"/>
              <w:bCs w:val="0"/>
            </w:rPr>
            <w:ptab w:relativeTo="margin" w:alignment="right" w:leader="dot"/>
          </w:r>
          <w:r>
            <w:rPr>
              <w:b w:val="0"/>
              <w:bCs w:val="0"/>
            </w:rPr>
            <w:t>4</w:t>
          </w:r>
        </w:p>
      </w:sdtContent>
    </w:sdt>
    <w:p w14:paraId="562FEBD7" w14:textId="77777777" w:rsidR="00154DC9" w:rsidRPr="001B142C" w:rsidRDefault="00154DC9" w:rsidP="00317334">
      <w:pPr>
        <w:spacing w:after="0" w:line="240" w:lineRule="auto"/>
        <w:rPr>
          <w:rFonts w:ascii="Arial" w:hAnsi="Arial" w:cs="Arial"/>
        </w:rPr>
      </w:pPr>
    </w:p>
    <w:p w14:paraId="458E8573" w14:textId="3BC7D0D3" w:rsidR="001B142C" w:rsidRPr="001B142C" w:rsidRDefault="001B142C" w:rsidP="001B142C">
      <w:pPr>
        <w:pStyle w:val="Heading1"/>
      </w:pPr>
      <w:r w:rsidRPr="001B142C">
        <w:t>Defin</w:t>
      </w:r>
      <w:r w:rsidR="004D56BF">
        <w:t>ition</w:t>
      </w:r>
    </w:p>
    <w:p w14:paraId="3B8735A2" w14:textId="77777777" w:rsidR="001B142C" w:rsidRPr="001B142C" w:rsidRDefault="001B142C" w:rsidP="00251FA4">
      <w:pPr>
        <w:pStyle w:val="Heading2"/>
        <w:numPr>
          <w:ilvl w:val="0"/>
          <w:numId w:val="16"/>
        </w:numPr>
      </w:pPr>
      <w:r w:rsidRPr="001B142C">
        <w:t>Generally</w:t>
      </w:r>
    </w:p>
    <w:p w14:paraId="15D88787" w14:textId="77777777" w:rsidR="001B142C" w:rsidRPr="001B142C" w:rsidRDefault="001B142C" w:rsidP="001B142C">
      <w:pPr>
        <w:pStyle w:val="Heading2"/>
        <w:numPr>
          <w:ilvl w:val="0"/>
          <w:numId w:val="0"/>
        </w:numPr>
        <w:ind w:left="1080"/>
        <w:rPr>
          <w:b w:val="0"/>
          <w:bCs w:val="0"/>
        </w:rPr>
      </w:pPr>
      <w:r w:rsidRPr="001B142C">
        <w:rPr>
          <w:b w:val="0"/>
          <w:bCs w:val="0"/>
        </w:rPr>
        <w:t>Simply stated, an ex post facto law is one that retroactively criminalizes conduct. Black’s Law Dictionary 701 (10th ed. 2014); State v. Singleton, 386 N.C. 183, 209 (2024).</w:t>
      </w:r>
      <w:r w:rsidRPr="001B142C">
        <w:rPr>
          <w:b w:val="0"/>
          <w:bCs w:val="0"/>
        </w:rPr>
        <w:br/>
      </w:r>
      <w:r w:rsidRPr="001B142C">
        <w:rPr>
          <w:b w:val="0"/>
          <w:bCs w:val="0"/>
        </w:rPr>
        <w:tab/>
        <w:t>Included within the definition of ex post facto is any law that: (1) makes an action criminal which was done before the passing of the law and which was innocent when done, (2) aggravates a crime or makes it greater than when it was committed, (3) allows imposition of a different or greater punishment than was permitted when the crime was committed, or (4) alters the legal rules of evidence to permit different or less testimony to convict the offender than was required at the time the offense was committed. Collins v. Youngblood, 497 U.S. 37, 42 (1990) (quoting Calder v. Bull, 3 U.S. (3 Dall.) 386, 390 (1798) (opinion of Chase, J.)); State v. Ramseur, 374 N.C. 658, 667 (2020); State v. Wiley, 355 N.C. 592, 625 (2002); State v. Vance, 328 N.C. 613, 620 (1991).</w:t>
      </w:r>
    </w:p>
    <w:p w14:paraId="68EDA228" w14:textId="77777777" w:rsidR="001B142C" w:rsidRPr="001B142C" w:rsidRDefault="001B142C" w:rsidP="001B142C">
      <w:pPr>
        <w:pStyle w:val="Heading2"/>
      </w:pPr>
      <w:r w:rsidRPr="001B142C">
        <w:t>Two Critical Elements</w:t>
      </w:r>
      <w:r w:rsidRPr="001B142C">
        <w:br/>
      </w:r>
      <w:r w:rsidRPr="001B142C">
        <w:rPr>
          <w:b w:val="0"/>
          <w:bCs w:val="0"/>
        </w:rPr>
        <w:tab/>
        <w:t xml:space="preserve">There are two critical elements of an ex post facto law: </w:t>
      </w:r>
    </w:p>
    <w:p w14:paraId="1E572B3C" w14:textId="112252F9" w:rsidR="001B142C" w:rsidRPr="001B142C" w:rsidRDefault="001B142C" w:rsidP="00251FA4">
      <w:pPr>
        <w:pStyle w:val="Heading2"/>
        <w:numPr>
          <w:ilvl w:val="0"/>
          <w:numId w:val="7"/>
        </w:numPr>
        <w:rPr>
          <w:b w:val="0"/>
          <w:bCs w:val="0"/>
        </w:rPr>
      </w:pPr>
      <w:r w:rsidRPr="001B142C">
        <w:rPr>
          <w:b w:val="0"/>
          <w:bCs w:val="0"/>
        </w:rPr>
        <w:t xml:space="preserve">that it is applied to events occurring before its creation, and </w:t>
      </w:r>
    </w:p>
    <w:p w14:paraId="3EC37FFF" w14:textId="4F46B0F7" w:rsidR="001B142C" w:rsidRPr="001B142C" w:rsidRDefault="001B142C" w:rsidP="00251FA4">
      <w:pPr>
        <w:pStyle w:val="Heading2"/>
        <w:numPr>
          <w:ilvl w:val="0"/>
          <w:numId w:val="7"/>
        </w:numPr>
        <w:rPr>
          <w:b w:val="0"/>
          <w:bCs w:val="0"/>
        </w:rPr>
      </w:pPr>
      <w:r w:rsidRPr="001B142C">
        <w:rPr>
          <w:b w:val="0"/>
          <w:bCs w:val="0"/>
        </w:rPr>
        <w:t>that it disadvantages the offender affected by it. Weaver v. Graham, 450 U.S. 24, 29 (1981); State v. James, 371 N.C. 77, 98 (2018); State v. Barnes, 345 N.C. 184, 233 (1997); State v. Williams, 226 N.C. App. 393, 397 (2013).</w:t>
      </w:r>
      <w:r w:rsidR="00FC17D7">
        <w:rPr>
          <w:b w:val="0"/>
          <w:bCs w:val="0"/>
        </w:rPr>
        <w:br/>
      </w:r>
    </w:p>
    <w:p w14:paraId="40DE4C44" w14:textId="3F1835BF" w:rsidR="00F47AC8" w:rsidRPr="00BC0A9D" w:rsidRDefault="001B142C" w:rsidP="00F47AC8">
      <w:pPr>
        <w:pStyle w:val="Heading1"/>
        <w:rPr>
          <w:b w:val="0"/>
          <w:bCs/>
        </w:rPr>
      </w:pPr>
      <w:r w:rsidRPr="001B142C">
        <w:t>Sources</w:t>
      </w:r>
      <w:r w:rsidR="002E4FED">
        <w:t xml:space="preserve">. </w:t>
      </w:r>
      <w:r w:rsidRPr="002E4FED">
        <w:rPr>
          <w:b w:val="0"/>
          <w:bCs/>
        </w:rPr>
        <w:t>Both the state and federal constitutions forbid the enactment of ex post facto laws. State v. Ramseur, 374 N.C. 658, 666, (2020); State v. Vance, 328 N.C. 613, 620 (1991). Both the state and federal ex post facto constitutional provisions are evaluated under the same definition. State v. Bowditch, 364 N.C. 335, 341 (2010); State v. Whitaker, 364 N.C. 404, 406 (2010); State v. Wiley, 355 N.C. 592, 625 (2002).</w:t>
      </w:r>
    </w:p>
    <w:p w14:paraId="6838987D" w14:textId="77777777" w:rsidR="00251FA4" w:rsidRDefault="002E4FED" w:rsidP="00251FA4">
      <w:pPr>
        <w:pStyle w:val="Heading2"/>
        <w:numPr>
          <w:ilvl w:val="0"/>
          <w:numId w:val="11"/>
        </w:numPr>
      </w:pPr>
      <w:r>
        <w:lastRenderedPageBreak/>
        <w:t>Federal Constitution: Ex Post Facto Clauses</w:t>
      </w:r>
    </w:p>
    <w:p w14:paraId="0FAD2F8D" w14:textId="65FFC1BB" w:rsidR="002E4FED" w:rsidRPr="00251FA4" w:rsidRDefault="002E4FED" w:rsidP="00251FA4">
      <w:pPr>
        <w:pStyle w:val="Heading2"/>
        <w:numPr>
          <w:ilvl w:val="0"/>
          <w:numId w:val="0"/>
        </w:numPr>
        <w:ind w:left="1080"/>
        <w:rPr>
          <w:b w:val="0"/>
          <w:bCs w:val="0"/>
        </w:rPr>
      </w:pPr>
      <w:proofErr w:type="gramStart"/>
      <w:r w:rsidRPr="00251FA4">
        <w:rPr>
          <w:b w:val="0"/>
          <w:bCs w:val="0"/>
        </w:rPr>
        <w:t>With regard to</w:t>
      </w:r>
      <w:proofErr w:type="gramEnd"/>
      <w:r w:rsidRPr="00251FA4">
        <w:rPr>
          <w:b w:val="0"/>
          <w:bCs w:val="0"/>
        </w:rPr>
        <w:t xml:space="preserve"> federal law, no ex post facto law shall be passed. U.S. Const. Art. I. § 9; State v. Threadgill, 227 N.C. App. 175, 182 n.5 (2013) (noting Article I, § 9 limits the power of the federal government). Further, no state shall pass any ex post facto law. U.S. Const. Art. I. § 10.</w:t>
      </w:r>
      <w:r w:rsidRPr="00251FA4">
        <w:rPr>
          <w:b w:val="0"/>
          <w:bCs w:val="0"/>
        </w:rPr>
        <w:br/>
      </w:r>
      <w:r w:rsidRPr="00251FA4">
        <w:rPr>
          <w:b w:val="0"/>
          <w:bCs w:val="0"/>
        </w:rPr>
        <w:tab/>
        <w:t>The Ex Post Facto Clause applies only to actions of the legislature, not judicial actions. Rogers v. Tennessee, 532 U.S. 451, 456 (2001); State v. Rivens, 299 N.C. 385, 392 (1980); State v. Wright, 206 N.C. App. 239, 244 (2010); Price v. Beck, 153 N.C. App. 763, 768, (2002).</w:t>
      </w:r>
      <w:r w:rsidR="00FC17D7">
        <w:rPr>
          <w:b w:val="0"/>
          <w:bCs w:val="0"/>
        </w:rPr>
        <w:br/>
      </w:r>
    </w:p>
    <w:p w14:paraId="4251E44E" w14:textId="77777777" w:rsidR="002E4FED" w:rsidRPr="002E4FED" w:rsidRDefault="002E4FED" w:rsidP="002E4FED">
      <w:pPr>
        <w:pStyle w:val="Heading2"/>
        <w:rPr>
          <w:b w:val="0"/>
          <w:bCs w:val="0"/>
        </w:rPr>
      </w:pPr>
      <w:r>
        <w:t>Federal Constitution: Due Process Clause</w:t>
      </w:r>
      <w:r w:rsidRPr="002E4FED">
        <w:t xml:space="preserve"> </w:t>
      </w:r>
      <w:r w:rsidRPr="002E4FED">
        <w:tab/>
      </w:r>
    </w:p>
    <w:p w14:paraId="3CE33F54" w14:textId="1FB80026" w:rsidR="002E4FED" w:rsidRPr="002E4FED" w:rsidRDefault="002E4FED" w:rsidP="002E4FED">
      <w:pPr>
        <w:pStyle w:val="Heading2"/>
        <w:numPr>
          <w:ilvl w:val="0"/>
          <w:numId w:val="0"/>
        </w:numPr>
        <w:ind w:left="1080"/>
        <w:rPr>
          <w:b w:val="0"/>
          <w:bCs w:val="0"/>
        </w:rPr>
      </w:pPr>
      <w:r w:rsidRPr="002E4FED">
        <w:rPr>
          <w:b w:val="0"/>
          <w:bCs w:val="0"/>
        </w:rPr>
        <w:t xml:space="preserve">Though the Ex Post Facto </w:t>
      </w:r>
      <w:r w:rsidR="00E41777">
        <w:rPr>
          <w:b w:val="0"/>
          <w:bCs w:val="0"/>
        </w:rPr>
        <w:t>C</w:t>
      </w:r>
      <w:r w:rsidRPr="002E4FED">
        <w:rPr>
          <w:b w:val="0"/>
          <w:bCs w:val="0"/>
        </w:rPr>
        <w:t>lause applies only to legislative enactments, the Fifth and Fourteenth Amendments likewise forbid the retrospective application of an unforeseeable judicial modification of criminal law to the detriment of the defendant. Marks v. United States, 430 U.S. 188, 191–92 (1977); Bouie v. City of Columbia, 378 U.S. 347, 355 (1964); State v. Barnes, 345 N.C. 184, 234 (1997); State v. Vance, 328 N.C. 613, 620 (1991). Judicial alteration must not be given retroactive effect only where it is unexpected and indefensible by reference to the law which had been expressed prior to the conduct in issue. Rogers v. Tennessee, 532 U.S. 451, 462 (2001).</w:t>
      </w:r>
      <w:r w:rsidR="00FC17D7">
        <w:rPr>
          <w:b w:val="0"/>
          <w:bCs w:val="0"/>
        </w:rPr>
        <w:br/>
      </w:r>
    </w:p>
    <w:p w14:paraId="3DA6D346" w14:textId="77777777" w:rsidR="002E4FED" w:rsidRDefault="002E4FED" w:rsidP="002E4FED">
      <w:pPr>
        <w:pStyle w:val="Heading2"/>
        <w:rPr>
          <w:b w:val="0"/>
          <w:bCs w:val="0"/>
        </w:rPr>
      </w:pPr>
      <w:r>
        <w:t xml:space="preserve">State Constitution </w:t>
      </w:r>
    </w:p>
    <w:p w14:paraId="4F9096E5" w14:textId="77777777" w:rsidR="000B4057" w:rsidRDefault="002E4FED" w:rsidP="00D668D9">
      <w:pPr>
        <w:pStyle w:val="Heading2"/>
        <w:numPr>
          <w:ilvl w:val="0"/>
          <w:numId w:val="0"/>
        </w:numPr>
        <w:ind w:left="1080"/>
        <w:rPr>
          <w:b w:val="0"/>
          <w:bCs w:val="0"/>
        </w:rPr>
      </w:pPr>
      <w:r w:rsidRPr="002E4FED">
        <w:rPr>
          <w:b w:val="0"/>
          <w:bCs w:val="0"/>
        </w:rPr>
        <w:t>Retrospective laws, punishing acts committed before the existence of such laws and by them only declared criminal, are oppressive, unjust, and incompatible with liberty, and therefore no ex post facto law shall be enacted. No law taxing retrospectively sales, purchases, or other acts previously done shall be enacted. N.C. Const. Art. I, § 16.</w:t>
      </w:r>
      <w:r w:rsidR="00E23810">
        <w:rPr>
          <w:b w:val="0"/>
          <w:bCs w:val="0"/>
        </w:rPr>
        <w:t xml:space="preserve"> </w:t>
      </w:r>
    </w:p>
    <w:p w14:paraId="7DD99A9C" w14:textId="70EA63C7" w:rsidR="002E4FED" w:rsidRDefault="000B4057" w:rsidP="002E4FED">
      <w:pPr>
        <w:pStyle w:val="Heading2"/>
        <w:numPr>
          <w:ilvl w:val="0"/>
          <w:numId w:val="0"/>
        </w:numPr>
        <w:ind w:left="1080"/>
        <w:rPr>
          <w:b w:val="0"/>
          <w:bCs w:val="0"/>
        </w:rPr>
      </w:pPr>
      <w:r>
        <w:rPr>
          <w:b w:val="0"/>
          <w:bCs w:val="0"/>
        </w:rPr>
        <w:tab/>
      </w:r>
      <w:r w:rsidR="00E23810">
        <w:rPr>
          <w:b w:val="0"/>
          <w:bCs w:val="0"/>
        </w:rPr>
        <w:t xml:space="preserve">Like </w:t>
      </w:r>
      <w:r w:rsidR="006B0161">
        <w:rPr>
          <w:b w:val="0"/>
          <w:bCs w:val="0"/>
        </w:rPr>
        <w:t>its federal counterpart</w:t>
      </w:r>
      <w:r w:rsidR="00E23810">
        <w:rPr>
          <w:b w:val="0"/>
          <w:bCs w:val="0"/>
        </w:rPr>
        <w:t xml:space="preserve">, the state </w:t>
      </w:r>
      <w:r w:rsidR="006B0161">
        <w:rPr>
          <w:b w:val="0"/>
          <w:bCs w:val="0"/>
        </w:rPr>
        <w:t xml:space="preserve">constitutional </w:t>
      </w:r>
      <w:r w:rsidR="004C64C4">
        <w:rPr>
          <w:b w:val="0"/>
          <w:bCs w:val="0"/>
        </w:rPr>
        <w:t>provision applies to legislative and not judicial action.</w:t>
      </w:r>
      <w:r w:rsidR="006B0161">
        <w:t xml:space="preserve"> </w:t>
      </w:r>
      <w:r w:rsidR="006B0161" w:rsidRPr="006B0161">
        <w:rPr>
          <w:b w:val="0"/>
          <w:bCs w:val="0"/>
        </w:rPr>
        <w:t>State v. Rivens, 299 N.C. 385, 392</w:t>
      </w:r>
      <w:r w:rsidR="006B0161">
        <w:rPr>
          <w:b w:val="0"/>
          <w:bCs w:val="0"/>
        </w:rPr>
        <w:t xml:space="preserve"> </w:t>
      </w:r>
      <w:r w:rsidR="006B0161" w:rsidRPr="006B0161">
        <w:rPr>
          <w:b w:val="0"/>
          <w:bCs w:val="0"/>
        </w:rPr>
        <w:t>(1980)</w:t>
      </w:r>
      <w:r w:rsidR="006B0161">
        <w:rPr>
          <w:b w:val="0"/>
          <w:bCs w:val="0"/>
        </w:rPr>
        <w:t>.</w:t>
      </w:r>
      <w:r>
        <w:rPr>
          <w:b w:val="0"/>
          <w:bCs w:val="0"/>
        </w:rPr>
        <w:t xml:space="preserve"> Further,</w:t>
      </w:r>
      <w:r w:rsidR="00D668D9">
        <w:rPr>
          <w:b w:val="0"/>
          <w:bCs w:val="0"/>
        </w:rPr>
        <w:t xml:space="preserve"> </w:t>
      </w:r>
      <w:r w:rsidR="002E4FED" w:rsidRPr="002E4FED">
        <w:rPr>
          <w:b w:val="0"/>
          <w:bCs w:val="0"/>
        </w:rPr>
        <w:t xml:space="preserve">North Carolina's Ex Post Facto Clause does not prohibit all forms of retroactive laws. Rather, the plain language of </w:t>
      </w:r>
      <w:r w:rsidR="00CE2D25">
        <w:rPr>
          <w:b w:val="0"/>
          <w:bCs w:val="0"/>
        </w:rPr>
        <w:t>the</w:t>
      </w:r>
      <w:r w:rsidR="002E4FED" w:rsidRPr="002E4FED">
        <w:rPr>
          <w:b w:val="0"/>
          <w:bCs w:val="0"/>
        </w:rPr>
        <w:t xml:space="preserve"> Ex Post Facto Clause specifies </w:t>
      </w:r>
      <w:r w:rsidR="00B22372" w:rsidRPr="002E4FED">
        <w:rPr>
          <w:b w:val="0"/>
          <w:bCs w:val="0"/>
        </w:rPr>
        <w:t xml:space="preserve">only </w:t>
      </w:r>
      <w:r w:rsidR="002E4FED" w:rsidRPr="002E4FED">
        <w:rPr>
          <w:b w:val="0"/>
          <w:bCs w:val="0"/>
        </w:rPr>
        <w:t>two restrictions on retroactive legislation: retroactive criminal laws and retroactive tax laws. McKinney v. Goins, 387 N.C. 35, 52 (2025). The criminal provision dates from the 1776 constitution, whereas the tax provision first appeared in the 1868 constitution. McKinney, 387 N.C. at 53; see also Coley v. State, 360 N.C. 493, 496 (2006).</w:t>
      </w:r>
      <w:r w:rsidR="00FC17D7">
        <w:rPr>
          <w:b w:val="0"/>
          <w:bCs w:val="0"/>
        </w:rPr>
        <w:br/>
      </w:r>
    </w:p>
    <w:p w14:paraId="74B731C5" w14:textId="77777777" w:rsidR="002E4FED" w:rsidRDefault="002E4FED" w:rsidP="002E4FED">
      <w:pPr>
        <w:pStyle w:val="Heading2"/>
      </w:pPr>
      <w:r>
        <w:t>Statute</w:t>
      </w:r>
      <w:r w:rsidRPr="002E4FED">
        <w:t xml:space="preserve"> </w:t>
      </w:r>
    </w:p>
    <w:p w14:paraId="22753768" w14:textId="57004EA2" w:rsidR="002E4FED" w:rsidRPr="002E4FED" w:rsidRDefault="002E4FED" w:rsidP="002E4FED">
      <w:pPr>
        <w:pStyle w:val="Heading2"/>
        <w:numPr>
          <w:ilvl w:val="0"/>
          <w:numId w:val="0"/>
        </w:numPr>
        <w:ind w:left="1080"/>
        <w:rPr>
          <w:b w:val="0"/>
          <w:bCs w:val="0"/>
        </w:rPr>
      </w:pPr>
      <w:r w:rsidRPr="002E4FED">
        <w:rPr>
          <w:b w:val="0"/>
          <w:bCs w:val="0"/>
        </w:rPr>
        <w:t>Several</w:t>
      </w:r>
      <w:r w:rsidR="004F526D">
        <w:rPr>
          <w:b w:val="0"/>
          <w:bCs w:val="0"/>
        </w:rPr>
        <w:t xml:space="preserve"> state</w:t>
      </w:r>
      <w:r w:rsidRPr="002E4FED">
        <w:rPr>
          <w:b w:val="0"/>
          <w:bCs w:val="0"/>
        </w:rPr>
        <w:t xml:space="preserve"> statutes codify ex post facto protections.</w:t>
      </w:r>
    </w:p>
    <w:p w14:paraId="05DB4EAD" w14:textId="73022757" w:rsidR="002E4FED" w:rsidRPr="002E4FED" w:rsidRDefault="002E4FED" w:rsidP="00251FA4">
      <w:pPr>
        <w:pStyle w:val="Heading2"/>
        <w:numPr>
          <w:ilvl w:val="0"/>
          <w:numId w:val="12"/>
        </w:numPr>
        <w:rPr>
          <w:b w:val="0"/>
          <w:bCs w:val="0"/>
        </w:rPr>
      </w:pPr>
      <w:r w:rsidRPr="002E4FED">
        <w:rPr>
          <w:b w:val="0"/>
          <w:bCs w:val="0"/>
        </w:rPr>
        <w:t xml:space="preserve">More than </w:t>
      </w:r>
      <w:r>
        <w:rPr>
          <w:b w:val="0"/>
          <w:bCs w:val="0"/>
        </w:rPr>
        <w:t>ten</w:t>
      </w:r>
      <w:r w:rsidRPr="002E4FED">
        <w:rPr>
          <w:b w:val="0"/>
          <w:bCs w:val="0"/>
        </w:rPr>
        <w:t xml:space="preserve"> days after judgment, a defendant may by Motion for Appropriate Relief (MAR) raise the claim that the acts charged in the criminal pleading did not at the time they were committed constitute a violation of criminal law. G.S. 15A-1415(b)(1).</w:t>
      </w:r>
    </w:p>
    <w:p w14:paraId="517A8808" w14:textId="6B02CF6A" w:rsidR="002E4FED" w:rsidRPr="002E4FED" w:rsidRDefault="002E4FED" w:rsidP="00251FA4">
      <w:pPr>
        <w:pStyle w:val="Heading2"/>
        <w:numPr>
          <w:ilvl w:val="0"/>
          <w:numId w:val="12"/>
        </w:numPr>
        <w:rPr>
          <w:b w:val="0"/>
          <w:bCs w:val="0"/>
        </w:rPr>
      </w:pPr>
      <w:r w:rsidRPr="002E4FED">
        <w:rPr>
          <w:b w:val="0"/>
          <w:bCs w:val="0"/>
        </w:rPr>
        <w:t xml:space="preserve">If an appellate court finds that the facts charged in a pleading were not at the time charged a crime, the judgment must be </w:t>
      </w:r>
      <w:proofErr w:type="gramStart"/>
      <w:r w:rsidRPr="002E4FED">
        <w:rPr>
          <w:b w:val="0"/>
          <w:bCs w:val="0"/>
        </w:rPr>
        <w:t>reversed</w:t>
      </w:r>
      <w:proofErr w:type="gramEnd"/>
      <w:r w:rsidRPr="002E4FED">
        <w:rPr>
          <w:b w:val="0"/>
          <w:bCs w:val="0"/>
        </w:rPr>
        <w:t xml:space="preserve"> and the charge must be dismissed. G.S. 15A-1447(b).</w:t>
      </w:r>
      <w:r w:rsidR="00FC17D7">
        <w:rPr>
          <w:b w:val="0"/>
          <w:bCs w:val="0"/>
        </w:rPr>
        <w:br/>
      </w:r>
    </w:p>
    <w:p w14:paraId="1F5BD87B" w14:textId="3AB398E4" w:rsidR="001B142C" w:rsidRDefault="001B142C" w:rsidP="001B142C">
      <w:pPr>
        <w:pStyle w:val="Heading1"/>
      </w:pPr>
      <w:r w:rsidRPr="001B142C">
        <w:t>Application</w:t>
      </w:r>
    </w:p>
    <w:p w14:paraId="45DE995E" w14:textId="77777777" w:rsidR="002E4FED" w:rsidRDefault="002E4FED" w:rsidP="00251FA4">
      <w:pPr>
        <w:pStyle w:val="Heading2"/>
        <w:numPr>
          <w:ilvl w:val="0"/>
          <w:numId w:val="13"/>
        </w:numPr>
      </w:pPr>
      <w:r>
        <w:t>Timing</w:t>
      </w:r>
      <w:r w:rsidRPr="002E4FED">
        <w:t xml:space="preserve"> </w:t>
      </w:r>
    </w:p>
    <w:p w14:paraId="09902A77" w14:textId="623852B4" w:rsidR="002E4FED" w:rsidRPr="002E4FED" w:rsidRDefault="00F47AC8" w:rsidP="002E4FED">
      <w:pPr>
        <w:pStyle w:val="Heading2"/>
        <w:numPr>
          <w:ilvl w:val="0"/>
          <w:numId w:val="0"/>
        </w:numPr>
        <w:ind w:left="1080"/>
        <w:rPr>
          <w:b w:val="0"/>
          <w:bCs w:val="0"/>
        </w:rPr>
      </w:pPr>
      <w:r>
        <w:rPr>
          <w:b w:val="0"/>
          <w:bCs w:val="0"/>
          <w:i/>
          <w:iCs/>
        </w:rPr>
        <w:tab/>
      </w:r>
      <w:r w:rsidR="002E4FED" w:rsidRPr="002E4FED">
        <w:rPr>
          <w:b w:val="0"/>
          <w:bCs w:val="0"/>
          <w:i/>
          <w:iCs/>
        </w:rPr>
        <w:t>Murder</w:t>
      </w:r>
      <w:r w:rsidR="002E4FED" w:rsidRPr="002E4FED">
        <w:rPr>
          <w:b w:val="0"/>
          <w:bCs w:val="0"/>
        </w:rPr>
        <w:t xml:space="preserve">. For purposes of the prohibition on ex post facto laws, the date of the murderous acts rather than the date of the victim’s death is the date the murder was committed. State v. Detter, 298 N.C. 604, 638 (1979). Hence, if the murderous acts </w:t>
      </w:r>
      <w:r w:rsidR="002E4FED" w:rsidRPr="002E4FED">
        <w:rPr>
          <w:b w:val="0"/>
          <w:bCs w:val="0"/>
        </w:rPr>
        <w:lastRenderedPageBreak/>
        <w:t xml:space="preserve">were committed at a time when the maximum punishment for murder was life, it was an ex post facto violation to impose death. </w:t>
      </w:r>
      <w:proofErr w:type="gramStart"/>
      <w:r w:rsidR="002E4FED" w:rsidRPr="002E4FED">
        <w:rPr>
          <w:b w:val="0"/>
          <w:bCs w:val="0"/>
        </w:rPr>
        <w:t>Id.;</w:t>
      </w:r>
      <w:proofErr w:type="gramEnd"/>
      <w:r w:rsidR="002E4FED" w:rsidRPr="002E4FED">
        <w:rPr>
          <w:b w:val="0"/>
          <w:bCs w:val="0"/>
        </w:rPr>
        <w:t xml:space="preserve"> see also State v. Robinson, 335 N.C. 146, 150 (1993) (defendant was entitled to defense that existed at the time of the murderous acts).</w:t>
      </w:r>
    </w:p>
    <w:p w14:paraId="1D557197" w14:textId="457A274E" w:rsidR="002E4FED" w:rsidRPr="002E4FED" w:rsidRDefault="002E4FED" w:rsidP="002E4FED">
      <w:pPr>
        <w:pStyle w:val="Heading2"/>
        <w:numPr>
          <w:ilvl w:val="0"/>
          <w:numId w:val="0"/>
        </w:numPr>
        <w:ind w:left="1080"/>
        <w:rPr>
          <w:b w:val="0"/>
          <w:bCs w:val="0"/>
        </w:rPr>
      </w:pPr>
      <w:r w:rsidRPr="002E4FED">
        <w:rPr>
          <w:b w:val="0"/>
          <w:bCs w:val="0"/>
        </w:rPr>
        <w:tab/>
      </w:r>
      <w:r w:rsidRPr="002E4FED">
        <w:rPr>
          <w:b w:val="0"/>
          <w:bCs w:val="0"/>
          <w:i/>
          <w:iCs/>
        </w:rPr>
        <w:t>Continuing Offense.</w:t>
      </w:r>
      <w:r w:rsidRPr="002E4FED">
        <w:rPr>
          <w:b w:val="0"/>
          <w:bCs w:val="0"/>
        </w:rPr>
        <w:t xml:space="preserve"> The application of a statute is not considered retroactive when the crime charged is a continuing offense that continued past the date of enactment, even if the course of conduct began before enactment of the statute. State v. Williams, 226 N.C. App. 393, 398 (2013). Still, when a statute changes the quantum of proof required, a defendant may be entitled to a jury determination that the State has proven any criminal acts post-enactment. Id. at 401.</w:t>
      </w:r>
    </w:p>
    <w:p w14:paraId="014D5D7C" w14:textId="65DBF4BD" w:rsidR="002E4FED" w:rsidRDefault="002E4FED" w:rsidP="002E4FED">
      <w:pPr>
        <w:pStyle w:val="Heading2"/>
        <w:numPr>
          <w:ilvl w:val="0"/>
          <w:numId w:val="0"/>
        </w:numPr>
        <w:ind w:left="1080"/>
        <w:rPr>
          <w:b w:val="0"/>
          <w:bCs w:val="0"/>
        </w:rPr>
      </w:pPr>
      <w:r w:rsidRPr="002E4FED">
        <w:rPr>
          <w:b w:val="0"/>
          <w:bCs w:val="0"/>
        </w:rPr>
        <w:tab/>
      </w:r>
      <w:r w:rsidRPr="002E4FED">
        <w:rPr>
          <w:b w:val="0"/>
          <w:bCs w:val="0"/>
          <w:i/>
          <w:iCs/>
        </w:rPr>
        <w:t>Statute of Limitations.</w:t>
      </w:r>
      <w:r w:rsidRPr="002E4FED">
        <w:rPr>
          <w:b w:val="0"/>
          <w:bCs w:val="0"/>
        </w:rPr>
        <w:t xml:space="preserve"> A law that purports to allow for the prosecution of a crime for which the statute of limitations has already expired is an ex post facto violation. Stogner v. California, 539 U.S. 607, 621 (2003); State v. Johnson, 169 N.C. App. 301, 309 (2005).</w:t>
      </w:r>
      <w:r w:rsidR="00FC17D7">
        <w:rPr>
          <w:b w:val="0"/>
          <w:bCs w:val="0"/>
        </w:rPr>
        <w:br/>
      </w:r>
    </w:p>
    <w:p w14:paraId="240989E1" w14:textId="77777777" w:rsidR="002E4FED" w:rsidRDefault="002E4FED" w:rsidP="002E4FED">
      <w:pPr>
        <w:pStyle w:val="Heading2"/>
      </w:pPr>
      <w:r>
        <w:t>Greater Punishment</w:t>
      </w:r>
      <w:r w:rsidRPr="002E4FED">
        <w:t xml:space="preserve"> </w:t>
      </w:r>
    </w:p>
    <w:p w14:paraId="209C3321" w14:textId="4248F1C4" w:rsidR="002E4FED" w:rsidRPr="002E4FED" w:rsidRDefault="002E4FED" w:rsidP="002E4FED">
      <w:pPr>
        <w:pStyle w:val="Heading2"/>
        <w:numPr>
          <w:ilvl w:val="0"/>
          <w:numId w:val="0"/>
        </w:numPr>
        <w:ind w:left="1080"/>
        <w:rPr>
          <w:b w:val="0"/>
          <w:bCs w:val="0"/>
        </w:rPr>
      </w:pPr>
      <w:r w:rsidRPr="002E4FED">
        <w:rPr>
          <w:b w:val="0"/>
          <w:bCs w:val="0"/>
        </w:rPr>
        <w:t>The prohibition includes not only those laws that increase the maximum sentence but also those that make the range of punishments more severe. Peugh v. United States, 569 U.S. 530, 539, (2013); State v. Ramseur, 374 N.C. 658, 667 (2020). Hence, the General Assembly, having made the Racial Justice Act (RJA) (2009) retroactive, could not revive the former punishment attached to crimes already committed by making the RJA Repeal (2013) retroactive. State v. Ramseur, 374 N.C. 658, 667 (2020).</w:t>
      </w:r>
      <w:r w:rsidR="00FC17D7">
        <w:rPr>
          <w:b w:val="0"/>
          <w:bCs w:val="0"/>
        </w:rPr>
        <w:br/>
      </w:r>
    </w:p>
    <w:p w14:paraId="3FC2A346" w14:textId="77777777" w:rsidR="002E4FED" w:rsidRDefault="002E4FED" w:rsidP="002E4FED">
      <w:pPr>
        <w:pStyle w:val="Heading2"/>
      </w:pPr>
      <w:r>
        <w:t>Alteration in Quantum of Proof</w:t>
      </w:r>
      <w:r w:rsidRPr="002E4FED">
        <w:t xml:space="preserve"> </w:t>
      </w:r>
      <w:r w:rsidRPr="002E4FED">
        <w:tab/>
      </w:r>
    </w:p>
    <w:p w14:paraId="0BA16531" w14:textId="036FD6C1" w:rsidR="002E4FED" w:rsidRPr="002E4FED" w:rsidRDefault="002E4FED" w:rsidP="002E4FED">
      <w:pPr>
        <w:pStyle w:val="Heading2"/>
        <w:numPr>
          <w:ilvl w:val="0"/>
          <w:numId w:val="0"/>
        </w:numPr>
        <w:ind w:left="1080"/>
        <w:rPr>
          <w:b w:val="0"/>
          <w:bCs w:val="0"/>
        </w:rPr>
      </w:pPr>
      <w:r w:rsidRPr="002E4FED">
        <w:rPr>
          <w:b w:val="0"/>
          <w:bCs w:val="0"/>
        </w:rPr>
        <w:t>A law that allowe</w:t>
      </w:r>
      <w:r w:rsidR="00D80A83">
        <w:rPr>
          <w:b w:val="0"/>
          <w:bCs w:val="0"/>
        </w:rPr>
        <w:t xml:space="preserve">d </w:t>
      </w:r>
      <w:r w:rsidRPr="002E4FED">
        <w:rPr>
          <w:b w:val="0"/>
          <w:bCs w:val="0"/>
        </w:rPr>
        <w:t>a defendant to be convicted based on the victim’s testimony alone, without corroboration, which was less than the law required at the time the offense was committed</w:t>
      </w:r>
      <w:r w:rsidR="00AA2362">
        <w:rPr>
          <w:b w:val="0"/>
          <w:bCs w:val="0"/>
        </w:rPr>
        <w:t>,</w:t>
      </w:r>
      <w:r w:rsidRPr="002E4FED">
        <w:rPr>
          <w:b w:val="0"/>
          <w:bCs w:val="0"/>
        </w:rPr>
        <w:t xml:space="preserve"> was an ex post facto violation. Carmell v. Texas, 529 U.S. 513, 531 (2000).</w:t>
      </w:r>
      <w:r w:rsidR="00FC17D7">
        <w:rPr>
          <w:b w:val="0"/>
          <w:bCs w:val="0"/>
        </w:rPr>
        <w:br/>
      </w:r>
    </w:p>
    <w:p w14:paraId="72D052A4" w14:textId="77777777" w:rsidR="002E4FED" w:rsidRDefault="002E4FED" w:rsidP="002E4FED">
      <w:pPr>
        <w:pStyle w:val="Heading2"/>
      </w:pPr>
      <w:r>
        <w:t>Judicial Modification of Criminal Law</w:t>
      </w:r>
      <w:r w:rsidRPr="002E4FED">
        <w:t xml:space="preserve"> </w:t>
      </w:r>
    </w:p>
    <w:p w14:paraId="497AC03E" w14:textId="7EF614AA" w:rsidR="002E4FED" w:rsidRPr="002E4FED" w:rsidRDefault="002E4FED" w:rsidP="002E4FED">
      <w:pPr>
        <w:pStyle w:val="Heading2"/>
        <w:numPr>
          <w:ilvl w:val="0"/>
          <w:numId w:val="0"/>
        </w:numPr>
        <w:ind w:left="1080"/>
        <w:rPr>
          <w:b w:val="0"/>
          <w:bCs w:val="0"/>
        </w:rPr>
      </w:pPr>
      <w:r w:rsidRPr="002E4FED">
        <w:rPr>
          <w:b w:val="0"/>
          <w:bCs w:val="0"/>
        </w:rPr>
        <w:t>Judicial abolishment of the year and a day rule (i.e., if the victim’s death did not take place within a year and a day of receiving the wound, the law presumes that the wound was not the cause of death) could be given prospective effect only. State v. Vance, 328 N.C. 613, 621 (1991)</w:t>
      </w:r>
      <w:r>
        <w:rPr>
          <w:b w:val="0"/>
          <w:bCs w:val="0"/>
        </w:rPr>
        <w:t>.</w:t>
      </w:r>
      <w:r w:rsidRPr="002E4FED">
        <w:rPr>
          <w:b w:val="0"/>
          <w:bCs w:val="0"/>
        </w:rPr>
        <w:t xml:space="preserve"> </w:t>
      </w:r>
      <w:r>
        <w:rPr>
          <w:b w:val="0"/>
          <w:bCs w:val="0"/>
        </w:rPr>
        <w:t>B</w:t>
      </w:r>
      <w:r w:rsidRPr="002E4FED">
        <w:rPr>
          <w:b w:val="0"/>
          <w:bCs w:val="0"/>
        </w:rPr>
        <w:t>ut see Rogers v. Tennessee, 532 U.S. 451, 462 (2001) (finding no due process violation in the Tennessee Supreme Court’s retroactive abolishment of the year and a day rule</w:t>
      </w:r>
      <w:r w:rsidR="00375F08">
        <w:rPr>
          <w:b w:val="0"/>
          <w:bCs w:val="0"/>
        </w:rPr>
        <w:t>,</w:t>
      </w:r>
      <w:r w:rsidR="00375F08" w:rsidRPr="00375F08">
        <w:t xml:space="preserve"> </w:t>
      </w:r>
      <w:r w:rsidR="00375F08" w:rsidRPr="00375F08">
        <w:rPr>
          <w:b w:val="0"/>
          <w:bCs w:val="0"/>
        </w:rPr>
        <w:t>noting both the abolition of the rule in a “vast number” of other jurisdictions and its “tenuous foothold” in Tennessee</w:t>
      </w:r>
      <w:r w:rsidRPr="002E4FED">
        <w:rPr>
          <w:b w:val="0"/>
          <w:bCs w:val="0"/>
        </w:rPr>
        <w:t>).</w:t>
      </w:r>
    </w:p>
    <w:p w14:paraId="5789C307" w14:textId="748E68D3" w:rsidR="002E4FED" w:rsidRPr="002E4FED" w:rsidRDefault="002E4FED" w:rsidP="002E4FED">
      <w:pPr>
        <w:pStyle w:val="Heading2"/>
        <w:numPr>
          <w:ilvl w:val="0"/>
          <w:numId w:val="0"/>
        </w:numPr>
        <w:ind w:left="1080"/>
        <w:rPr>
          <w:b w:val="0"/>
          <w:bCs w:val="0"/>
        </w:rPr>
      </w:pPr>
      <w:r w:rsidRPr="002E4FED">
        <w:rPr>
          <w:b w:val="0"/>
          <w:bCs w:val="0"/>
        </w:rPr>
        <w:tab/>
        <w:t>Unprecedented methods of satisfying existing elements of felony murder generally do not constitute judicial modifications of criminal law. See State v. Krider, 138 N.C. App. 37, 47 (2000) (underlying felony of child abuse); cf. State v. Cheeks, 377 N.C. 528, 549 n.5 (2021) (decision finding malice inherent in the act of starvation was not ex post facto modification).</w:t>
      </w:r>
      <w:r w:rsidR="00FC17D7">
        <w:rPr>
          <w:b w:val="0"/>
          <w:bCs w:val="0"/>
        </w:rPr>
        <w:br/>
      </w:r>
    </w:p>
    <w:p w14:paraId="0A1074B0" w14:textId="309B4F8C" w:rsidR="001B142C" w:rsidRPr="001B142C" w:rsidRDefault="001B142C" w:rsidP="001B142C">
      <w:pPr>
        <w:pStyle w:val="Heading1"/>
      </w:pPr>
      <w:r w:rsidRPr="001B142C">
        <w:t>Limitations</w:t>
      </w:r>
    </w:p>
    <w:p w14:paraId="056EAD14" w14:textId="77777777" w:rsidR="00F47AC8" w:rsidRPr="00F47AC8" w:rsidRDefault="002E4FED" w:rsidP="00251FA4">
      <w:pPr>
        <w:pStyle w:val="Heading2"/>
        <w:numPr>
          <w:ilvl w:val="0"/>
          <w:numId w:val="14"/>
        </w:numPr>
        <w:rPr>
          <w:b w:val="0"/>
          <w:bCs w:val="0"/>
        </w:rPr>
      </w:pPr>
      <w:r>
        <w:t xml:space="preserve">Retroactivity. </w:t>
      </w:r>
    </w:p>
    <w:p w14:paraId="7FD182A0" w14:textId="767BC62D" w:rsidR="002E4FED" w:rsidRPr="002E4FED" w:rsidRDefault="002E4FED" w:rsidP="00F47AC8">
      <w:pPr>
        <w:pStyle w:val="Heading2"/>
        <w:numPr>
          <w:ilvl w:val="0"/>
          <w:numId w:val="0"/>
        </w:numPr>
        <w:ind w:left="1080"/>
        <w:rPr>
          <w:b w:val="0"/>
          <w:bCs w:val="0"/>
        </w:rPr>
      </w:pPr>
      <w:r w:rsidRPr="002E4FED">
        <w:rPr>
          <w:b w:val="0"/>
          <w:bCs w:val="0"/>
        </w:rPr>
        <w:t>There is no ex post facto violation in laws criminalizing possession of a firearm by a felon, even if the prior felony conviction occurred prior to the enactment of the statute. See State v. Whitaker, 364 N.C. 404, 410 (2010); State v. Johnson, 169 N.C. App. 301, 304 (2005).</w:t>
      </w:r>
    </w:p>
    <w:p w14:paraId="79013DE7" w14:textId="1FA7768D" w:rsidR="002E4FED" w:rsidRPr="002E4FED" w:rsidRDefault="002E4FED" w:rsidP="002E4FED">
      <w:pPr>
        <w:pStyle w:val="Heading2"/>
        <w:numPr>
          <w:ilvl w:val="0"/>
          <w:numId w:val="0"/>
        </w:numPr>
        <w:ind w:left="1080"/>
        <w:rPr>
          <w:b w:val="0"/>
          <w:bCs w:val="0"/>
        </w:rPr>
      </w:pPr>
      <w:r w:rsidRPr="002E4FED">
        <w:rPr>
          <w:b w:val="0"/>
          <w:bCs w:val="0"/>
        </w:rPr>
        <w:lastRenderedPageBreak/>
        <w:tab/>
        <w:t>Statutes that enhance a sentence based on a defendant’s prior convictions are not ex post facto laws. See State v. Todd, 313 N.C. 110, 117 (1985) (habitual felon status); State v. Threadgill, 227 N.C. App. 175, 182 (2013) (definition of prior conviction); State v. McCree, 160 N.C. App. 200, 203 (2003) (habitual misdemeanor assault); State v. Carpenter, 155 N.C. App. 35, 47, 573 S.E.2d 668, 676 (2002) (same); State v. Smith, 139 N.C. App. 209, 215 (2000) (same); State v. Mason, 126 N.C. App. 318, 324 (1997) (violent habitual felon status). The same is true of prior adjudications of juvenile delinquency. See State v. Wiley, 355 N.C. 592, 627 (2002); State v. Taylor, 128 N.C. App. 394, 398, aff'd per curiam, 349 N.C. 219 (1998).</w:t>
      </w:r>
    </w:p>
    <w:p w14:paraId="65A3FBF2" w14:textId="16586822" w:rsidR="002E4FED" w:rsidRDefault="002E4FED" w:rsidP="002E4FED">
      <w:pPr>
        <w:pStyle w:val="Heading2"/>
        <w:numPr>
          <w:ilvl w:val="0"/>
          <w:numId w:val="0"/>
        </w:numPr>
        <w:ind w:left="1080"/>
        <w:rPr>
          <w:b w:val="0"/>
          <w:bCs w:val="0"/>
        </w:rPr>
      </w:pPr>
      <w:r w:rsidRPr="002E4FED">
        <w:rPr>
          <w:b w:val="0"/>
          <w:bCs w:val="0"/>
        </w:rPr>
        <w:tab/>
        <w:t>The classification of a prior conviction may change, but there is no ex post facto violation so long as the prior conviction is counted based on the classification it had at the time the offense was committed for which the offender is then being sentenced. See State v. Watkins, 195 N.C. App. 215, 229 (2009); State v. Wolfe, 157 N.C. App. 22, 37 (2003); State v. Mason, 126 N.C. App. 318, 324 (1997).</w:t>
      </w:r>
      <w:r w:rsidR="00FC17D7">
        <w:rPr>
          <w:b w:val="0"/>
          <w:bCs w:val="0"/>
        </w:rPr>
        <w:br/>
      </w:r>
    </w:p>
    <w:p w14:paraId="63D5EFD5" w14:textId="77777777" w:rsidR="00F47AC8" w:rsidRPr="00F47AC8" w:rsidRDefault="00F47AC8" w:rsidP="00F47AC8">
      <w:pPr>
        <w:pStyle w:val="Heading2"/>
        <w:rPr>
          <w:b w:val="0"/>
          <w:bCs w:val="0"/>
        </w:rPr>
      </w:pPr>
      <w:r>
        <w:t xml:space="preserve">Disadvantage. </w:t>
      </w:r>
      <w:r>
        <w:tab/>
      </w:r>
    </w:p>
    <w:p w14:paraId="599BA865" w14:textId="46ABDAE0" w:rsidR="00F47AC8" w:rsidRDefault="00F47AC8" w:rsidP="00F47AC8">
      <w:pPr>
        <w:pStyle w:val="Heading2"/>
        <w:numPr>
          <w:ilvl w:val="0"/>
          <w:numId w:val="0"/>
        </w:numPr>
        <w:ind w:left="1080"/>
        <w:rPr>
          <w:b w:val="0"/>
          <w:bCs w:val="0"/>
        </w:rPr>
      </w:pPr>
      <w:r w:rsidRPr="00F47AC8">
        <w:rPr>
          <w:b w:val="0"/>
          <w:bCs w:val="0"/>
        </w:rPr>
        <w:t>The Ex Post Facto Clause does not prohibit the retroactive application of laws that are ameliorative in nature. Dobbert v. Florida, 432 U.S. 282, 294 (1977); State v. Ramseur, 374 N.C. 658, 668 (2020); State v. McKoy, 327 N.C. 31, 42 n.3 (1990). Hence, a new sentencing statute, enacted to address constitutional defects in an earlier sentencing statute, that preserves the availability of the same punishment does not result in an ex post facto violation. State v. James, 371 N.C. 77, 98 (2018); see also State v. Seam, 263 N.C. App. 355, 366 (2018), aff'd per curiam, 373 N.C. 529 (2020).</w:t>
      </w:r>
    </w:p>
    <w:p w14:paraId="5143C58E" w14:textId="589F8F08" w:rsidR="00F47AC8" w:rsidRPr="00F47AC8" w:rsidRDefault="00F47AC8" w:rsidP="00F47AC8">
      <w:pPr>
        <w:pStyle w:val="Heading2"/>
        <w:numPr>
          <w:ilvl w:val="0"/>
          <w:numId w:val="0"/>
        </w:numPr>
        <w:ind w:left="1080"/>
        <w:rPr>
          <w:b w:val="0"/>
          <w:bCs w:val="0"/>
        </w:rPr>
      </w:pPr>
      <w:r>
        <w:tab/>
      </w:r>
      <w:r w:rsidRPr="00F47AC8">
        <w:rPr>
          <w:b w:val="0"/>
          <w:bCs w:val="0"/>
        </w:rPr>
        <w:t>Application of new rules of evidence generally does not violate the Ex Post Facto Clause. Carmell v. Texas, 529 U.S. 513, 533 n. 23. Accordingly, there was no ex post facto violation in the admission of fingerprints against a juvenile, the taking of which was not authorized by statute at the time the fingerprints were taken. Matter of Stedman, 305 N.C. 92, 103 (1982); see also State v. Funderburk, 56 N.C. App. 119, 122 (1982) (no ex post facto violation in retroactive application of North Carolina Supreme Court’s interpretation of statutory rule of evidence, G.S. 8-56).</w:t>
      </w:r>
      <w:r w:rsidR="00FC17D7">
        <w:rPr>
          <w:b w:val="0"/>
          <w:bCs w:val="0"/>
        </w:rPr>
        <w:br/>
      </w:r>
    </w:p>
    <w:p w14:paraId="6A3A3059" w14:textId="77777777" w:rsidR="00F47AC8" w:rsidRPr="00F47AC8" w:rsidRDefault="00F47AC8" w:rsidP="00F47AC8">
      <w:pPr>
        <w:pStyle w:val="Heading2"/>
        <w:rPr>
          <w:b w:val="0"/>
          <w:bCs w:val="0"/>
        </w:rPr>
      </w:pPr>
      <w:r>
        <w:t>Civil Statutes</w:t>
      </w:r>
      <w:r w:rsidRPr="00F47AC8">
        <w:t xml:space="preserve"> </w:t>
      </w:r>
    </w:p>
    <w:p w14:paraId="00E672C0" w14:textId="25F95B8E" w:rsidR="00F47AC8" w:rsidRPr="00F47AC8" w:rsidRDefault="00F47AC8" w:rsidP="00F47AC8">
      <w:pPr>
        <w:pStyle w:val="Heading2"/>
        <w:numPr>
          <w:ilvl w:val="0"/>
          <w:numId w:val="0"/>
        </w:numPr>
        <w:ind w:left="1080"/>
        <w:rPr>
          <w:b w:val="0"/>
          <w:bCs w:val="0"/>
        </w:rPr>
      </w:pPr>
      <w:r w:rsidRPr="00F47AC8">
        <w:rPr>
          <w:b w:val="0"/>
          <w:bCs w:val="0"/>
        </w:rPr>
        <w:t xml:space="preserve">The constitutional prohibition on ex post facto laws applies only to criminal statutes. Carmell v. Texas, 529 U.S. 513, 525 n. 14 (2000); Collins v. Youngblood, 497 U.S. 37, 41 (1990); cf. In re Kivett, 309 N.C. 635, 672, 309 S.E.2d 442, 463 (1983) (“only to criminal prosecutions.”). Civil statutes, even if applied retroactively, do not implicate ex post facto protections. See Purcell v. Friday Staffing, 235 N.C. App. 342, 350 (2014); Pitt Cnty. v. </w:t>
      </w:r>
      <w:proofErr w:type="spellStart"/>
      <w:r w:rsidRPr="00F47AC8">
        <w:rPr>
          <w:b w:val="0"/>
          <w:bCs w:val="0"/>
        </w:rPr>
        <w:t>Dejavue</w:t>
      </w:r>
      <w:proofErr w:type="spellEnd"/>
      <w:r w:rsidRPr="00F47AC8">
        <w:rPr>
          <w:b w:val="0"/>
          <w:bCs w:val="0"/>
        </w:rPr>
        <w:t>, Inc., 185 N.C. App. 545, 558 (2007).</w:t>
      </w:r>
    </w:p>
    <w:p w14:paraId="23CCEDF1" w14:textId="77777777" w:rsidR="00F47AC8" w:rsidRPr="00F47AC8" w:rsidRDefault="00F47AC8" w:rsidP="00F47AC8">
      <w:pPr>
        <w:pStyle w:val="Heading2"/>
        <w:numPr>
          <w:ilvl w:val="0"/>
          <w:numId w:val="0"/>
        </w:numPr>
        <w:ind w:left="1080"/>
        <w:rPr>
          <w:b w:val="0"/>
          <w:bCs w:val="0"/>
        </w:rPr>
      </w:pPr>
      <w:r w:rsidRPr="00F47AC8">
        <w:rPr>
          <w:b w:val="0"/>
          <w:bCs w:val="0"/>
        </w:rPr>
        <w:tab/>
        <w:t>In determining whether a statute is criminal or civil, a court looks first at the intended purpose of the law. If the declared purpose was to enact a civil regulatory scheme, the court then determines whether the purpose or effect is so punitive as to negate any intent to deem the scheme civil. Smith v. Doe, 538 U.S. 84, 92 (2003); Seling v. Young, 531 U.S. 250, 261 (2001); State v. Bowditch, 364 N.C. 335, 341-42 (2010); State v. Wagoner, 199 N.C. App. 321, 323 (2009), aff'd per curiam, 364 N.C. 422 (2010); State v. Whitaker, 364 N.C. 404, 408 (2010); State v. Hunt, 221 N.C. App. 48, 54 (2012); State v. Bare, 197 N.C. App. 461, 465 (2009); State v. White, 162 N.C. App. 183, 192 (2004).</w:t>
      </w:r>
    </w:p>
    <w:p w14:paraId="77D47F4C" w14:textId="5F723D3A" w:rsidR="00441F97" w:rsidRDefault="00F47AC8" w:rsidP="00F47AC8">
      <w:pPr>
        <w:pStyle w:val="Heading2"/>
        <w:numPr>
          <w:ilvl w:val="0"/>
          <w:numId w:val="0"/>
        </w:numPr>
        <w:ind w:left="1080"/>
        <w:rPr>
          <w:b w:val="0"/>
          <w:bCs w:val="0"/>
        </w:rPr>
      </w:pPr>
      <w:r w:rsidRPr="00F47AC8">
        <w:rPr>
          <w:b w:val="0"/>
          <w:bCs w:val="0"/>
        </w:rPr>
        <w:tab/>
        <w:t xml:space="preserve">Sex offender registration and monitoring statutes create a civil regulatory scheme and consequently do not fall within the prohibition on ex post facto laws. Smith v. Doe, 538 U.S. 84, 89 (2003); State v. Bowditch, 364 N.C. 335, 352 (2010); Matter of </w:t>
      </w:r>
      <w:r w:rsidRPr="00F47AC8">
        <w:rPr>
          <w:b w:val="0"/>
          <w:bCs w:val="0"/>
        </w:rPr>
        <w:lastRenderedPageBreak/>
        <w:t>Bethea, 255 N.C. App. 749, 757 (2017); State v. Alldred, 245 N.C. App. 450, 451 (2016); In re Hall, 238 N.C. App. 322, 332 (2014); State v. Mills, 232 N.C. App. 460, 467 (2014); State v. Jones, 231 N.C. App. 123, 127 (2013); State v. Self, 217 N.C. App. 638, 640 (2011).</w:t>
      </w:r>
    </w:p>
    <w:p w14:paraId="70AC92A1" w14:textId="77777777" w:rsidR="00FF57AF" w:rsidRDefault="00FF57AF" w:rsidP="00FF57AF"/>
    <w:p w14:paraId="486D3175" w14:textId="77777777" w:rsidR="00FF57AF" w:rsidRDefault="00FF57AF" w:rsidP="00FF57AF"/>
    <w:p w14:paraId="027B2A6E" w14:textId="77777777" w:rsidR="00FF57AF" w:rsidRDefault="00FF57AF" w:rsidP="00FF57AF"/>
    <w:p w14:paraId="7D8AA856" w14:textId="77777777" w:rsidR="00FF57AF" w:rsidRDefault="00FF57AF" w:rsidP="00FF57AF"/>
    <w:p w14:paraId="13008775" w14:textId="77777777" w:rsidR="00FF57AF" w:rsidRDefault="00FF57AF" w:rsidP="00FF57AF"/>
    <w:p w14:paraId="7B6C2CB0" w14:textId="77777777" w:rsidR="00FF57AF" w:rsidRDefault="00FF57AF" w:rsidP="00FF57AF"/>
    <w:p w14:paraId="6683DFFF" w14:textId="77777777" w:rsidR="00FF57AF" w:rsidRDefault="00FF57AF" w:rsidP="00FF57AF"/>
    <w:p w14:paraId="4E3B5E55" w14:textId="77777777" w:rsidR="00FF57AF" w:rsidRDefault="00FF57AF" w:rsidP="00FF57AF"/>
    <w:p w14:paraId="23E5A311" w14:textId="77777777" w:rsidR="00FF57AF" w:rsidRDefault="00FF57AF" w:rsidP="00FF57AF"/>
    <w:p w14:paraId="0D5F4049" w14:textId="77777777" w:rsidR="00FF57AF" w:rsidRDefault="00FF57AF" w:rsidP="00FF57AF"/>
    <w:p w14:paraId="0782F99F" w14:textId="77777777" w:rsidR="00FF57AF" w:rsidRDefault="00FF57AF" w:rsidP="00FF57AF"/>
    <w:p w14:paraId="4390B081" w14:textId="77777777" w:rsidR="00FF57AF" w:rsidRDefault="00FF57AF" w:rsidP="00FF57AF"/>
    <w:p w14:paraId="68E0CBF6" w14:textId="77777777" w:rsidR="00FF57AF" w:rsidRDefault="00FF57AF" w:rsidP="00FF57AF"/>
    <w:p w14:paraId="22954AF1" w14:textId="77777777" w:rsidR="00FF57AF" w:rsidRDefault="00FF57AF" w:rsidP="00FF57AF"/>
    <w:p w14:paraId="53D6351B" w14:textId="77777777" w:rsidR="00FF57AF" w:rsidRDefault="00FF57AF" w:rsidP="00FF57AF"/>
    <w:p w14:paraId="75BFBE2A" w14:textId="77777777" w:rsidR="00FF57AF" w:rsidRDefault="00FF57AF" w:rsidP="00FF57AF"/>
    <w:p w14:paraId="101E0FC2" w14:textId="77777777" w:rsidR="00FF57AF" w:rsidRDefault="00FF57AF" w:rsidP="00FF57AF"/>
    <w:p w14:paraId="3953B744" w14:textId="77777777" w:rsidR="00FF57AF" w:rsidRDefault="00FF57AF" w:rsidP="00FF57AF"/>
    <w:p w14:paraId="371FBF30" w14:textId="77777777" w:rsidR="00FF57AF" w:rsidRDefault="00FF57AF" w:rsidP="00FF57AF"/>
    <w:p w14:paraId="7B01767C" w14:textId="77777777" w:rsidR="00FF57AF" w:rsidRPr="00FF57AF" w:rsidRDefault="00FF57AF" w:rsidP="00FF57AF"/>
    <w:p w14:paraId="791FBA75" w14:textId="6998C00F" w:rsidR="00711E1A" w:rsidRPr="001B142C" w:rsidRDefault="002418EF" w:rsidP="002961E1">
      <w:pPr>
        <w:spacing w:after="0" w:line="240" w:lineRule="auto"/>
        <w:jc w:val="center"/>
        <w:rPr>
          <w:rFonts w:ascii="Arial" w:hAnsi="Arial" w:cs="Arial"/>
        </w:rPr>
      </w:pPr>
      <w:r w:rsidRPr="001B142C">
        <w:rPr>
          <w:rFonts w:ascii="Arial" w:hAnsi="Arial" w:cs="Arial"/>
          <w:color w:val="000000"/>
        </w:rPr>
        <w:br/>
      </w:r>
      <w:r w:rsidR="009A50D0" w:rsidRPr="001B142C">
        <w:rPr>
          <w:rFonts w:ascii="Arial" w:hAnsi="Arial" w:cs="Arial"/>
        </w:rPr>
        <w:t>© 202</w:t>
      </w:r>
      <w:r w:rsidR="00FB21E2" w:rsidRPr="001B142C">
        <w:rPr>
          <w:rFonts w:ascii="Arial" w:hAnsi="Arial" w:cs="Arial"/>
        </w:rPr>
        <w:t>5</w:t>
      </w:r>
      <w:r w:rsidR="009A50D0" w:rsidRPr="001B142C">
        <w:rPr>
          <w:rFonts w:ascii="Arial" w:hAnsi="Arial" w:cs="Arial"/>
        </w:rPr>
        <w:t xml:space="preserve"> School of Government. The University of North Carolina at Chapel Hill Use of this publication for commercial purposes or without acknowledgment of its source is prohibited. Reproducing, distributing, or otherwise making available to a </w:t>
      </w:r>
      <w:proofErr w:type="spellStart"/>
      <w:r w:rsidR="009A50D0" w:rsidRPr="001B142C">
        <w:rPr>
          <w:rFonts w:ascii="Arial" w:hAnsi="Arial" w:cs="Arial"/>
        </w:rPr>
        <w:t>nonpurchaser</w:t>
      </w:r>
      <w:proofErr w:type="spellEnd"/>
      <w:r w:rsidR="009A50D0" w:rsidRPr="001B142C">
        <w:rPr>
          <w:rFonts w:ascii="Arial" w:hAnsi="Arial" w:cs="Arial"/>
        </w:rPr>
        <w:t xml:space="preserve"> the entire publication, or a substantial portion of it, without express permission, is prohibited. For permissions questions or requests, email the School of Government at copyright_permissions@sog.unc.edu.</w:t>
      </w:r>
    </w:p>
    <w:sectPr w:rsidR="00711E1A" w:rsidRPr="001B142C" w:rsidSect="00F37B47">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7ACA0" w14:textId="77777777" w:rsidR="005B19F4" w:rsidRDefault="005B19F4" w:rsidP="0041160F">
      <w:pPr>
        <w:spacing w:after="0" w:line="240" w:lineRule="auto"/>
      </w:pPr>
      <w:r>
        <w:separator/>
      </w:r>
    </w:p>
  </w:endnote>
  <w:endnote w:type="continuationSeparator" w:id="0">
    <w:p w14:paraId="095C07D5" w14:textId="77777777" w:rsidR="005B19F4" w:rsidRDefault="005B19F4" w:rsidP="00411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38B02" w14:textId="6D4E1DD2" w:rsidR="002418EF" w:rsidRPr="00493769" w:rsidRDefault="00251FA4">
    <w:pPr>
      <w:pStyle w:val="Footer"/>
      <w:jc w:val="center"/>
      <w:rPr>
        <w:rFonts w:ascii="Arial" w:hAnsi="Arial" w:cs="Arial"/>
        <w:sz w:val="20"/>
        <w:szCs w:val="20"/>
      </w:rPr>
    </w:pPr>
    <w:r>
      <w:rPr>
        <w:rFonts w:ascii="Arial" w:hAnsi="Arial" w:cs="Arial"/>
        <w:sz w:val="20"/>
        <w:szCs w:val="20"/>
      </w:rPr>
      <w:t>Ex Post Facto</w:t>
    </w:r>
    <w:r w:rsidR="002418EF" w:rsidRPr="00493769">
      <w:rPr>
        <w:rFonts w:ascii="Arial" w:hAnsi="Arial" w:cs="Arial"/>
        <w:sz w:val="20"/>
        <w:szCs w:val="20"/>
      </w:rPr>
      <w:t xml:space="preserve"> - </w:t>
    </w:r>
    <w:r w:rsidR="00F253F0" w:rsidRPr="00493769">
      <w:rPr>
        <w:rFonts w:ascii="Arial" w:hAnsi="Arial" w:cs="Arial"/>
        <w:sz w:val="20"/>
        <w:szCs w:val="20"/>
      </w:rPr>
      <w:fldChar w:fldCharType="begin"/>
    </w:r>
    <w:r w:rsidR="002418EF" w:rsidRPr="00493769">
      <w:rPr>
        <w:rFonts w:ascii="Arial" w:hAnsi="Arial" w:cs="Arial"/>
        <w:sz w:val="20"/>
        <w:szCs w:val="20"/>
      </w:rPr>
      <w:instrText xml:space="preserve"> PAGE   \* MERGEFORMAT </w:instrText>
    </w:r>
    <w:r w:rsidR="00F253F0" w:rsidRPr="00493769">
      <w:rPr>
        <w:rFonts w:ascii="Arial" w:hAnsi="Arial" w:cs="Arial"/>
        <w:sz w:val="20"/>
        <w:szCs w:val="20"/>
      </w:rPr>
      <w:fldChar w:fldCharType="separate"/>
    </w:r>
    <w:r w:rsidR="006D3E6F">
      <w:rPr>
        <w:rFonts w:ascii="Arial" w:hAnsi="Arial" w:cs="Arial"/>
        <w:noProof/>
        <w:sz w:val="20"/>
        <w:szCs w:val="20"/>
      </w:rPr>
      <w:t>2</w:t>
    </w:r>
    <w:r w:rsidR="00F253F0" w:rsidRPr="00493769">
      <w:rPr>
        <w:rFonts w:ascii="Arial" w:hAnsi="Arial" w:cs="Arial"/>
        <w:sz w:val="20"/>
        <w:szCs w:val="20"/>
      </w:rPr>
      <w:fldChar w:fldCharType="end"/>
    </w:r>
  </w:p>
  <w:p w14:paraId="5E48A87C" w14:textId="77777777" w:rsidR="002418EF" w:rsidRDefault="002418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6972A" w14:textId="77777777" w:rsidR="005B19F4" w:rsidRDefault="005B19F4" w:rsidP="0041160F">
      <w:pPr>
        <w:spacing w:after="0" w:line="240" w:lineRule="auto"/>
      </w:pPr>
      <w:r>
        <w:separator/>
      </w:r>
    </w:p>
  </w:footnote>
  <w:footnote w:type="continuationSeparator" w:id="0">
    <w:p w14:paraId="2CE6611B" w14:textId="77777777" w:rsidR="005B19F4" w:rsidRDefault="005B19F4" w:rsidP="004116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1441C" w14:textId="77777777" w:rsidR="007151B3" w:rsidRDefault="007151B3">
    <w:pPr>
      <w:pStyle w:val="Header"/>
    </w:pPr>
    <w:r w:rsidRPr="007151B3">
      <w:rPr>
        <w:noProof/>
      </w:rPr>
      <w:drawing>
        <wp:anchor distT="0" distB="0" distL="114300" distR="114300" simplePos="0" relativeHeight="251659264" behindDoc="0" locked="0" layoutInCell="1" allowOverlap="0" wp14:anchorId="3214F757" wp14:editId="6961A077">
          <wp:simplePos x="0" y="0"/>
          <wp:positionH relativeFrom="page">
            <wp:posOffset>150125</wp:posOffset>
          </wp:positionH>
          <wp:positionV relativeFrom="page">
            <wp:posOffset>150125</wp:posOffset>
          </wp:positionV>
          <wp:extent cx="7779224" cy="342142"/>
          <wp:effectExtent l="0" t="0" r="0" b="1270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C SOG  NC Superior Court Judges' Benchbook title page masthead UNC BLACK.pdf"/>
                  <pic:cNvPicPr/>
                </pic:nvPicPr>
                <pic:blipFill>
                  <a:blip r:embed="rId1">
                    <a:extLst>
                      <a:ext uri="{28A0092B-C50C-407E-A947-70E740481C1C}">
                        <a14:useLocalDpi xmlns:a14="http://schemas.microsoft.com/office/drawing/2010/main" val="0"/>
                      </a:ext>
                    </a:extLst>
                  </a:blip>
                  <a:stretch>
                    <a:fillRect/>
                  </a:stretch>
                </pic:blipFill>
                <pic:spPr>
                  <a:xfrm>
                    <a:off x="0" y="0"/>
                    <a:ext cx="7772400" cy="34290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p>
  <w:p w14:paraId="741EC7CD" w14:textId="77777777" w:rsidR="007151B3" w:rsidRDefault="007151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4522"/>
    <w:multiLevelType w:val="hybridMultilevel"/>
    <w:tmpl w:val="71E6F228"/>
    <w:lvl w:ilvl="0" w:tplc="15C6AE9A">
      <w:start w:val="1"/>
      <w:numFmt w:val="upperRoman"/>
      <w:pStyle w:val="Heading1"/>
      <w:lvlText w:val="%1."/>
      <w:lvlJc w:val="right"/>
      <w:pPr>
        <w:ind w:left="720" w:hanging="72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81021F"/>
    <w:multiLevelType w:val="hybridMultilevel"/>
    <w:tmpl w:val="1562BFDE"/>
    <w:lvl w:ilvl="0" w:tplc="262A9C28">
      <w:start w:val="1"/>
      <w:numFmt w:val="upperRoman"/>
      <w:pStyle w:val="TOC1"/>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FC4247"/>
    <w:multiLevelType w:val="hybridMultilevel"/>
    <w:tmpl w:val="B7B2ACE6"/>
    <w:lvl w:ilvl="0" w:tplc="CE680CD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4250C8F"/>
    <w:multiLevelType w:val="multilevel"/>
    <w:tmpl w:val="1D4C6D5E"/>
    <w:styleLink w:val="CurrentList1"/>
    <w:lvl w:ilvl="0">
      <w:start w:val="1"/>
      <w:numFmt w:val="upp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78D29DB"/>
    <w:multiLevelType w:val="multilevel"/>
    <w:tmpl w:val="C5B2EDAE"/>
    <w:styleLink w:val="CurrentList3"/>
    <w:lvl w:ilvl="0">
      <w:start w:val="1"/>
      <w:numFmt w:val="decimal"/>
      <w:lvlText w:val="%1."/>
      <w:lvlJc w:val="left"/>
      <w:pPr>
        <w:ind w:left="2160" w:hanging="360"/>
      </w:pPr>
      <w:rPr>
        <w:rFonts w:ascii="Arial" w:eastAsia="Calibri" w:hAnsi="Arial" w:cs="Arial" w:hint="default"/>
        <w:b/>
        <w:bCs/>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5" w15:restartNumberingAfterBreak="0">
    <w:nsid w:val="22572429"/>
    <w:multiLevelType w:val="multilevel"/>
    <w:tmpl w:val="D91CA690"/>
    <w:styleLink w:val="CurrentList4"/>
    <w:lvl w:ilvl="0">
      <w:start w:val="2"/>
      <w:numFmt w:val="upperLetter"/>
      <w:lvlText w:val="%1."/>
      <w:lvlJc w:val="left"/>
      <w:pPr>
        <w:ind w:left="144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0C466DD"/>
    <w:multiLevelType w:val="hybridMultilevel"/>
    <w:tmpl w:val="5778042E"/>
    <w:lvl w:ilvl="0" w:tplc="22E2A6FA">
      <w:start w:val="1"/>
      <w:numFmt w:val="upperLetter"/>
      <w:pStyle w:val="Heading2"/>
      <w:lvlText w:val="%1."/>
      <w:lvlJc w:val="left"/>
      <w:pPr>
        <w:ind w:left="1080" w:hanging="360"/>
      </w:pPr>
      <w:rPr>
        <w:rFonts w:hint="default"/>
        <w:b/>
      </w:rPr>
    </w:lvl>
    <w:lvl w:ilvl="1" w:tplc="EC8666D6">
      <w:start w:val="1"/>
      <w:numFmt w:val="decimal"/>
      <w:lvlText w:val="%2."/>
      <w:lvlJc w:val="left"/>
      <w:pPr>
        <w:ind w:left="2520" w:hanging="720"/>
      </w:pPr>
      <w:rPr>
        <w:rFonts w:ascii="Arial" w:eastAsia="Calibri" w:hAnsi="Arial" w:cs="Arial" w:hint="default"/>
        <w:b/>
        <w:bCs/>
      </w:rPr>
    </w:lvl>
    <w:lvl w:ilvl="2" w:tplc="0409001B">
      <w:start w:val="1"/>
      <w:numFmt w:val="lowerRoman"/>
      <w:lvlText w:val="%3."/>
      <w:lvlJc w:val="right"/>
      <w:pPr>
        <w:ind w:left="2520" w:hanging="180"/>
      </w:pPr>
    </w:lvl>
    <w:lvl w:ilvl="3" w:tplc="035AD484">
      <w:start w:val="1"/>
      <w:numFmt w:val="lowerLetter"/>
      <w:lvlText w:val="%4."/>
      <w:lvlJc w:val="left"/>
      <w:pPr>
        <w:ind w:left="3240" w:hanging="360"/>
      </w:pPr>
      <w:rPr>
        <w:rFonts w:hint="default"/>
        <w:b/>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AC65DC0"/>
    <w:multiLevelType w:val="multilevel"/>
    <w:tmpl w:val="0E9829BC"/>
    <w:styleLink w:val="CurrentList2"/>
    <w:lvl w:ilvl="0">
      <w:start w:val="1"/>
      <w:numFmt w:val="upperLetter"/>
      <w:lvlText w:val="%1."/>
      <w:lvlJc w:val="left"/>
      <w:pPr>
        <w:ind w:left="720" w:hanging="360"/>
      </w:pPr>
      <w:rPr>
        <w:rFonts w:hint="default"/>
        <w:b/>
      </w:rPr>
    </w:lvl>
    <w:lvl w:ilvl="1">
      <w:start w:val="1"/>
      <w:numFmt w:val="decimal"/>
      <w:lvlText w:val="%2."/>
      <w:lvlJc w:val="left"/>
      <w:pPr>
        <w:ind w:left="2160" w:hanging="2016"/>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F5F6999"/>
    <w:multiLevelType w:val="hybridMultilevel"/>
    <w:tmpl w:val="71F6835A"/>
    <w:lvl w:ilvl="0" w:tplc="952E7E80">
      <w:start w:val="1"/>
      <w:numFmt w:val="upperLetter"/>
      <w:pStyle w:val="TOC2"/>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B163DDC"/>
    <w:multiLevelType w:val="hybridMultilevel"/>
    <w:tmpl w:val="12B2B3A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860780663">
    <w:abstractNumId w:val="0"/>
  </w:num>
  <w:num w:numId="2" w16cid:durableId="1860582865">
    <w:abstractNumId w:val="3"/>
  </w:num>
  <w:num w:numId="3" w16cid:durableId="1293057395">
    <w:abstractNumId w:val="7"/>
  </w:num>
  <w:num w:numId="4" w16cid:durableId="1644852598">
    <w:abstractNumId w:val="4"/>
  </w:num>
  <w:num w:numId="5" w16cid:durableId="46954838">
    <w:abstractNumId w:val="5"/>
  </w:num>
  <w:num w:numId="6" w16cid:durableId="982077960">
    <w:abstractNumId w:val="6"/>
  </w:num>
  <w:num w:numId="7" w16cid:durableId="1522089987">
    <w:abstractNumId w:val="2"/>
  </w:num>
  <w:num w:numId="8" w16cid:durableId="1620725866">
    <w:abstractNumId w:val="1"/>
  </w:num>
  <w:num w:numId="9" w16cid:durableId="966856218">
    <w:abstractNumId w:val="8"/>
  </w:num>
  <w:num w:numId="10" w16cid:durableId="508368379">
    <w:abstractNumId w:val="8"/>
    <w:lvlOverride w:ilvl="0">
      <w:startOverride w:val="1"/>
    </w:lvlOverride>
  </w:num>
  <w:num w:numId="11" w16cid:durableId="1336686993">
    <w:abstractNumId w:val="6"/>
    <w:lvlOverride w:ilvl="0">
      <w:startOverride w:val="1"/>
    </w:lvlOverride>
  </w:num>
  <w:num w:numId="12" w16cid:durableId="675695503">
    <w:abstractNumId w:val="9"/>
  </w:num>
  <w:num w:numId="13" w16cid:durableId="1591427543">
    <w:abstractNumId w:val="6"/>
    <w:lvlOverride w:ilvl="0">
      <w:startOverride w:val="1"/>
    </w:lvlOverride>
  </w:num>
  <w:num w:numId="14" w16cid:durableId="551578549">
    <w:abstractNumId w:val="6"/>
    <w:lvlOverride w:ilvl="0">
      <w:startOverride w:val="1"/>
    </w:lvlOverride>
  </w:num>
  <w:num w:numId="15" w16cid:durableId="1343430401">
    <w:abstractNumId w:val="6"/>
    <w:lvlOverride w:ilvl="0">
      <w:startOverride w:val="1"/>
    </w:lvlOverride>
  </w:num>
  <w:num w:numId="16" w16cid:durableId="561260244">
    <w:abstractNumId w:val="6"/>
    <w:lvlOverride w:ilvl="0">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40E9833-C362-4576-8B62-08711CE0AFD9}"/>
    <w:docVar w:name="dgnword-eventsink" w:val="511325744"/>
  </w:docVars>
  <w:rsids>
    <w:rsidRoot w:val="00317334"/>
    <w:rsid w:val="000059E7"/>
    <w:rsid w:val="00005E47"/>
    <w:rsid w:val="00007459"/>
    <w:rsid w:val="00012595"/>
    <w:rsid w:val="00020902"/>
    <w:rsid w:val="000215AC"/>
    <w:rsid w:val="00021AF8"/>
    <w:rsid w:val="000246D3"/>
    <w:rsid w:val="000300D5"/>
    <w:rsid w:val="00031472"/>
    <w:rsid w:val="000317D7"/>
    <w:rsid w:val="00032075"/>
    <w:rsid w:val="00032CA1"/>
    <w:rsid w:val="00041A4B"/>
    <w:rsid w:val="00044709"/>
    <w:rsid w:val="00044AE2"/>
    <w:rsid w:val="00045737"/>
    <w:rsid w:val="000473DE"/>
    <w:rsid w:val="00047D00"/>
    <w:rsid w:val="0005241A"/>
    <w:rsid w:val="000525D3"/>
    <w:rsid w:val="00053BA1"/>
    <w:rsid w:val="000571E6"/>
    <w:rsid w:val="000632C6"/>
    <w:rsid w:val="00064C14"/>
    <w:rsid w:val="00066201"/>
    <w:rsid w:val="000711BD"/>
    <w:rsid w:val="00076C9A"/>
    <w:rsid w:val="00076E68"/>
    <w:rsid w:val="00077398"/>
    <w:rsid w:val="00081D58"/>
    <w:rsid w:val="000830EF"/>
    <w:rsid w:val="00084497"/>
    <w:rsid w:val="00087A70"/>
    <w:rsid w:val="000907D0"/>
    <w:rsid w:val="00091678"/>
    <w:rsid w:val="00091E7E"/>
    <w:rsid w:val="00091ED2"/>
    <w:rsid w:val="00095AE0"/>
    <w:rsid w:val="00097252"/>
    <w:rsid w:val="000A0F74"/>
    <w:rsid w:val="000A6603"/>
    <w:rsid w:val="000A7BAE"/>
    <w:rsid w:val="000B00DB"/>
    <w:rsid w:val="000B4057"/>
    <w:rsid w:val="000B4E5B"/>
    <w:rsid w:val="000C16A6"/>
    <w:rsid w:val="000C283F"/>
    <w:rsid w:val="000C4573"/>
    <w:rsid w:val="000D39D1"/>
    <w:rsid w:val="000D3CE1"/>
    <w:rsid w:val="000D4662"/>
    <w:rsid w:val="000D7890"/>
    <w:rsid w:val="000E0F9D"/>
    <w:rsid w:val="000E1CAB"/>
    <w:rsid w:val="000E1DAE"/>
    <w:rsid w:val="000E4490"/>
    <w:rsid w:val="000E5610"/>
    <w:rsid w:val="000E63DA"/>
    <w:rsid w:val="000E665F"/>
    <w:rsid w:val="000E683C"/>
    <w:rsid w:val="000F4C21"/>
    <w:rsid w:val="00100A08"/>
    <w:rsid w:val="00102D24"/>
    <w:rsid w:val="00105435"/>
    <w:rsid w:val="001061A1"/>
    <w:rsid w:val="001119AD"/>
    <w:rsid w:val="001128DD"/>
    <w:rsid w:val="00121C33"/>
    <w:rsid w:val="00122F34"/>
    <w:rsid w:val="00123781"/>
    <w:rsid w:val="0012396C"/>
    <w:rsid w:val="001245D3"/>
    <w:rsid w:val="00133A98"/>
    <w:rsid w:val="00133B2C"/>
    <w:rsid w:val="00133C04"/>
    <w:rsid w:val="00135652"/>
    <w:rsid w:val="00135DD1"/>
    <w:rsid w:val="00136DA8"/>
    <w:rsid w:val="00137957"/>
    <w:rsid w:val="0014288F"/>
    <w:rsid w:val="00142C80"/>
    <w:rsid w:val="00142CF4"/>
    <w:rsid w:val="00146FBF"/>
    <w:rsid w:val="00147684"/>
    <w:rsid w:val="00154DC9"/>
    <w:rsid w:val="00155206"/>
    <w:rsid w:val="0015654E"/>
    <w:rsid w:val="00163083"/>
    <w:rsid w:val="0016730B"/>
    <w:rsid w:val="00170B10"/>
    <w:rsid w:val="001723C7"/>
    <w:rsid w:val="00173EF4"/>
    <w:rsid w:val="00175023"/>
    <w:rsid w:val="00176E8C"/>
    <w:rsid w:val="00180097"/>
    <w:rsid w:val="00184954"/>
    <w:rsid w:val="00187977"/>
    <w:rsid w:val="0019279C"/>
    <w:rsid w:val="00196EEE"/>
    <w:rsid w:val="00197D8B"/>
    <w:rsid w:val="001A0551"/>
    <w:rsid w:val="001A2A7A"/>
    <w:rsid w:val="001B0D69"/>
    <w:rsid w:val="001B1070"/>
    <w:rsid w:val="001B1221"/>
    <w:rsid w:val="001B142C"/>
    <w:rsid w:val="001B4A72"/>
    <w:rsid w:val="001B6FEE"/>
    <w:rsid w:val="001C15DD"/>
    <w:rsid w:val="001C1ABE"/>
    <w:rsid w:val="001C2D77"/>
    <w:rsid w:val="001C4445"/>
    <w:rsid w:val="001C5550"/>
    <w:rsid w:val="001C58BF"/>
    <w:rsid w:val="001C70DF"/>
    <w:rsid w:val="001D09AA"/>
    <w:rsid w:val="001D2AEF"/>
    <w:rsid w:val="001D3B37"/>
    <w:rsid w:val="001D4F54"/>
    <w:rsid w:val="001D6ACB"/>
    <w:rsid w:val="001D79D9"/>
    <w:rsid w:val="001E0B49"/>
    <w:rsid w:val="001E13B5"/>
    <w:rsid w:val="001E2B7B"/>
    <w:rsid w:val="001F4DFB"/>
    <w:rsid w:val="001F5CB9"/>
    <w:rsid w:val="001F5FD5"/>
    <w:rsid w:val="001F65D0"/>
    <w:rsid w:val="0021213E"/>
    <w:rsid w:val="0022008C"/>
    <w:rsid w:val="002207B7"/>
    <w:rsid w:val="00221937"/>
    <w:rsid w:val="002243CB"/>
    <w:rsid w:val="002300BB"/>
    <w:rsid w:val="00230401"/>
    <w:rsid w:val="00232B1D"/>
    <w:rsid w:val="00235656"/>
    <w:rsid w:val="002376B2"/>
    <w:rsid w:val="00237DF6"/>
    <w:rsid w:val="002418EF"/>
    <w:rsid w:val="0024193A"/>
    <w:rsid w:val="00241D69"/>
    <w:rsid w:val="00242CC1"/>
    <w:rsid w:val="00242F78"/>
    <w:rsid w:val="00244F3F"/>
    <w:rsid w:val="00251FA4"/>
    <w:rsid w:val="00252721"/>
    <w:rsid w:val="002556C8"/>
    <w:rsid w:val="00255B8E"/>
    <w:rsid w:val="00255F6B"/>
    <w:rsid w:val="002576D8"/>
    <w:rsid w:val="00260CA9"/>
    <w:rsid w:val="0026100B"/>
    <w:rsid w:val="00261498"/>
    <w:rsid w:val="00266755"/>
    <w:rsid w:val="00267372"/>
    <w:rsid w:val="00271303"/>
    <w:rsid w:val="00271502"/>
    <w:rsid w:val="00271A6B"/>
    <w:rsid w:val="002767B1"/>
    <w:rsid w:val="00276C21"/>
    <w:rsid w:val="002774DC"/>
    <w:rsid w:val="002855B7"/>
    <w:rsid w:val="00286E20"/>
    <w:rsid w:val="00291AAB"/>
    <w:rsid w:val="00293DF9"/>
    <w:rsid w:val="00295097"/>
    <w:rsid w:val="00295DD2"/>
    <w:rsid w:val="002961E1"/>
    <w:rsid w:val="002A3353"/>
    <w:rsid w:val="002A3E9C"/>
    <w:rsid w:val="002A6571"/>
    <w:rsid w:val="002A6ECC"/>
    <w:rsid w:val="002B22B5"/>
    <w:rsid w:val="002B586D"/>
    <w:rsid w:val="002C1EDB"/>
    <w:rsid w:val="002C3261"/>
    <w:rsid w:val="002C4DA9"/>
    <w:rsid w:val="002C58F9"/>
    <w:rsid w:val="002C7038"/>
    <w:rsid w:val="002D0746"/>
    <w:rsid w:val="002D1AA2"/>
    <w:rsid w:val="002D46D0"/>
    <w:rsid w:val="002D60D9"/>
    <w:rsid w:val="002D73F0"/>
    <w:rsid w:val="002E2D78"/>
    <w:rsid w:val="002E46FA"/>
    <w:rsid w:val="002E4FED"/>
    <w:rsid w:val="002F4A06"/>
    <w:rsid w:val="002F5A5F"/>
    <w:rsid w:val="00301FF3"/>
    <w:rsid w:val="003061B3"/>
    <w:rsid w:val="00307AB5"/>
    <w:rsid w:val="00307C1C"/>
    <w:rsid w:val="003108C0"/>
    <w:rsid w:val="003112AF"/>
    <w:rsid w:val="003143A1"/>
    <w:rsid w:val="00314F0E"/>
    <w:rsid w:val="00315860"/>
    <w:rsid w:val="00316278"/>
    <w:rsid w:val="003162A1"/>
    <w:rsid w:val="00317334"/>
    <w:rsid w:val="003209C6"/>
    <w:rsid w:val="00325CE7"/>
    <w:rsid w:val="00325D82"/>
    <w:rsid w:val="003260B8"/>
    <w:rsid w:val="00326D2B"/>
    <w:rsid w:val="00327C5C"/>
    <w:rsid w:val="00331474"/>
    <w:rsid w:val="003314D0"/>
    <w:rsid w:val="00335A69"/>
    <w:rsid w:val="003370A2"/>
    <w:rsid w:val="0034135C"/>
    <w:rsid w:val="003422D1"/>
    <w:rsid w:val="00342EFF"/>
    <w:rsid w:val="00346110"/>
    <w:rsid w:val="00346C64"/>
    <w:rsid w:val="003510D4"/>
    <w:rsid w:val="00352E25"/>
    <w:rsid w:val="00354DBD"/>
    <w:rsid w:val="00354E4E"/>
    <w:rsid w:val="00354ECC"/>
    <w:rsid w:val="0035515C"/>
    <w:rsid w:val="00355EAF"/>
    <w:rsid w:val="00356FCC"/>
    <w:rsid w:val="003605DE"/>
    <w:rsid w:val="00361246"/>
    <w:rsid w:val="003616F2"/>
    <w:rsid w:val="00363F33"/>
    <w:rsid w:val="00364762"/>
    <w:rsid w:val="0036727D"/>
    <w:rsid w:val="0037044B"/>
    <w:rsid w:val="003726AC"/>
    <w:rsid w:val="00372FBC"/>
    <w:rsid w:val="0037449F"/>
    <w:rsid w:val="003750D0"/>
    <w:rsid w:val="00375F08"/>
    <w:rsid w:val="00375FAD"/>
    <w:rsid w:val="00377C7E"/>
    <w:rsid w:val="0038273B"/>
    <w:rsid w:val="00382F8A"/>
    <w:rsid w:val="00383211"/>
    <w:rsid w:val="00383566"/>
    <w:rsid w:val="0039311E"/>
    <w:rsid w:val="00395277"/>
    <w:rsid w:val="00397FB3"/>
    <w:rsid w:val="003A04A1"/>
    <w:rsid w:val="003A1DF2"/>
    <w:rsid w:val="003A20A6"/>
    <w:rsid w:val="003A26BF"/>
    <w:rsid w:val="003A542D"/>
    <w:rsid w:val="003A7C36"/>
    <w:rsid w:val="003B346E"/>
    <w:rsid w:val="003B5506"/>
    <w:rsid w:val="003B7588"/>
    <w:rsid w:val="003C19DA"/>
    <w:rsid w:val="003C209E"/>
    <w:rsid w:val="003C2A4B"/>
    <w:rsid w:val="003C2A97"/>
    <w:rsid w:val="003C2CB9"/>
    <w:rsid w:val="003C4DD8"/>
    <w:rsid w:val="003C5237"/>
    <w:rsid w:val="003C7E5E"/>
    <w:rsid w:val="003D0415"/>
    <w:rsid w:val="003D044D"/>
    <w:rsid w:val="003D1663"/>
    <w:rsid w:val="003D363E"/>
    <w:rsid w:val="003D6E96"/>
    <w:rsid w:val="003E5A5C"/>
    <w:rsid w:val="003E61F2"/>
    <w:rsid w:val="003F0326"/>
    <w:rsid w:val="003F53BF"/>
    <w:rsid w:val="003F761D"/>
    <w:rsid w:val="004019C3"/>
    <w:rsid w:val="00401CFD"/>
    <w:rsid w:val="0040305C"/>
    <w:rsid w:val="0040735F"/>
    <w:rsid w:val="0041058C"/>
    <w:rsid w:val="00410C6F"/>
    <w:rsid w:val="004113E1"/>
    <w:rsid w:val="0041160F"/>
    <w:rsid w:val="00411A8B"/>
    <w:rsid w:val="00412A85"/>
    <w:rsid w:val="0041321F"/>
    <w:rsid w:val="0041394C"/>
    <w:rsid w:val="00414594"/>
    <w:rsid w:val="004166C3"/>
    <w:rsid w:val="00417597"/>
    <w:rsid w:val="004234CD"/>
    <w:rsid w:val="0042409D"/>
    <w:rsid w:val="004240A6"/>
    <w:rsid w:val="00425415"/>
    <w:rsid w:val="00426F55"/>
    <w:rsid w:val="004271A5"/>
    <w:rsid w:val="0043014D"/>
    <w:rsid w:val="00431513"/>
    <w:rsid w:val="00432954"/>
    <w:rsid w:val="004344F8"/>
    <w:rsid w:val="00435CD8"/>
    <w:rsid w:val="004363BF"/>
    <w:rsid w:val="004377A3"/>
    <w:rsid w:val="004379DA"/>
    <w:rsid w:val="00440688"/>
    <w:rsid w:val="00441F97"/>
    <w:rsid w:val="00443E08"/>
    <w:rsid w:val="00444EC2"/>
    <w:rsid w:val="00452E83"/>
    <w:rsid w:val="00453832"/>
    <w:rsid w:val="004561AC"/>
    <w:rsid w:val="00456285"/>
    <w:rsid w:val="00460A2E"/>
    <w:rsid w:val="0046434A"/>
    <w:rsid w:val="00464383"/>
    <w:rsid w:val="004667EA"/>
    <w:rsid w:val="00466B11"/>
    <w:rsid w:val="00467EFA"/>
    <w:rsid w:val="0047114A"/>
    <w:rsid w:val="00473677"/>
    <w:rsid w:val="0047470F"/>
    <w:rsid w:val="004762A8"/>
    <w:rsid w:val="00480B0C"/>
    <w:rsid w:val="00483EDA"/>
    <w:rsid w:val="0048560F"/>
    <w:rsid w:val="00485D47"/>
    <w:rsid w:val="004870FF"/>
    <w:rsid w:val="004877B2"/>
    <w:rsid w:val="0049104A"/>
    <w:rsid w:val="00493769"/>
    <w:rsid w:val="004952A0"/>
    <w:rsid w:val="0049660D"/>
    <w:rsid w:val="00497E64"/>
    <w:rsid w:val="004A04F1"/>
    <w:rsid w:val="004A1806"/>
    <w:rsid w:val="004A1900"/>
    <w:rsid w:val="004A33CA"/>
    <w:rsid w:val="004A3567"/>
    <w:rsid w:val="004A3912"/>
    <w:rsid w:val="004A6BDF"/>
    <w:rsid w:val="004A760B"/>
    <w:rsid w:val="004B0934"/>
    <w:rsid w:val="004B0C67"/>
    <w:rsid w:val="004B119B"/>
    <w:rsid w:val="004B22B2"/>
    <w:rsid w:val="004B4BCA"/>
    <w:rsid w:val="004B6C03"/>
    <w:rsid w:val="004C14A6"/>
    <w:rsid w:val="004C2F79"/>
    <w:rsid w:val="004C3B7A"/>
    <w:rsid w:val="004C5511"/>
    <w:rsid w:val="004C64C4"/>
    <w:rsid w:val="004C6933"/>
    <w:rsid w:val="004C76A3"/>
    <w:rsid w:val="004D1092"/>
    <w:rsid w:val="004D2CFB"/>
    <w:rsid w:val="004D4EEC"/>
    <w:rsid w:val="004D56BF"/>
    <w:rsid w:val="004E3588"/>
    <w:rsid w:val="004F0095"/>
    <w:rsid w:val="004F24F3"/>
    <w:rsid w:val="004F517F"/>
    <w:rsid w:val="004F526D"/>
    <w:rsid w:val="004F5B20"/>
    <w:rsid w:val="004F5D31"/>
    <w:rsid w:val="00504A22"/>
    <w:rsid w:val="0050562C"/>
    <w:rsid w:val="0050704F"/>
    <w:rsid w:val="0050788F"/>
    <w:rsid w:val="0051004E"/>
    <w:rsid w:val="0051217A"/>
    <w:rsid w:val="00515FB0"/>
    <w:rsid w:val="00521593"/>
    <w:rsid w:val="00522399"/>
    <w:rsid w:val="00524695"/>
    <w:rsid w:val="00526C0B"/>
    <w:rsid w:val="00526DD1"/>
    <w:rsid w:val="00526E05"/>
    <w:rsid w:val="00526F8D"/>
    <w:rsid w:val="005271BA"/>
    <w:rsid w:val="0052749C"/>
    <w:rsid w:val="00530D1E"/>
    <w:rsid w:val="005322C3"/>
    <w:rsid w:val="00533668"/>
    <w:rsid w:val="00534A78"/>
    <w:rsid w:val="00535410"/>
    <w:rsid w:val="0053776F"/>
    <w:rsid w:val="005402B9"/>
    <w:rsid w:val="005429D6"/>
    <w:rsid w:val="0054330A"/>
    <w:rsid w:val="00543624"/>
    <w:rsid w:val="00550CCA"/>
    <w:rsid w:val="00550F29"/>
    <w:rsid w:val="0055275D"/>
    <w:rsid w:val="00552B61"/>
    <w:rsid w:val="00552FC6"/>
    <w:rsid w:val="00554C68"/>
    <w:rsid w:val="00557A4E"/>
    <w:rsid w:val="00563510"/>
    <w:rsid w:val="005645B4"/>
    <w:rsid w:val="00564FC4"/>
    <w:rsid w:val="00567A6A"/>
    <w:rsid w:val="0057118D"/>
    <w:rsid w:val="0057129D"/>
    <w:rsid w:val="00572336"/>
    <w:rsid w:val="005742FA"/>
    <w:rsid w:val="00574F66"/>
    <w:rsid w:val="00576345"/>
    <w:rsid w:val="00577ADA"/>
    <w:rsid w:val="0058152C"/>
    <w:rsid w:val="00583D53"/>
    <w:rsid w:val="00584F85"/>
    <w:rsid w:val="0058545C"/>
    <w:rsid w:val="00585DD7"/>
    <w:rsid w:val="00587495"/>
    <w:rsid w:val="00587547"/>
    <w:rsid w:val="005951EF"/>
    <w:rsid w:val="005953D6"/>
    <w:rsid w:val="005A0684"/>
    <w:rsid w:val="005A3008"/>
    <w:rsid w:val="005B0403"/>
    <w:rsid w:val="005B05FD"/>
    <w:rsid w:val="005B0E1E"/>
    <w:rsid w:val="005B184B"/>
    <w:rsid w:val="005B19F4"/>
    <w:rsid w:val="005B1ACD"/>
    <w:rsid w:val="005B4F97"/>
    <w:rsid w:val="005B56D1"/>
    <w:rsid w:val="005B6E0C"/>
    <w:rsid w:val="005B79D4"/>
    <w:rsid w:val="005B7E86"/>
    <w:rsid w:val="005C0B00"/>
    <w:rsid w:val="005C203E"/>
    <w:rsid w:val="005C5EF9"/>
    <w:rsid w:val="005C66A6"/>
    <w:rsid w:val="005D0ACF"/>
    <w:rsid w:val="005D39DB"/>
    <w:rsid w:val="005D4E41"/>
    <w:rsid w:val="005D5A5D"/>
    <w:rsid w:val="005D7CD8"/>
    <w:rsid w:val="005D7D92"/>
    <w:rsid w:val="005E11D1"/>
    <w:rsid w:val="005E4144"/>
    <w:rsid w:val="005E41CC"/>
    <w:rsid w:val="005E43B8"/>
    <w:rsid w:val="005E4603"/>
    <w:rsid w:val="005E7A28"/>
    <w:rsid w:val="005E7A34"/>
    <w:rsid w:val="005F0454"/>
    <w:rsid w:val="005F1CA2"/>
    <w:rsid w:val="005F78A1"/>
    <w:rsid w:val="0060093F"/>
    <w:rsid w:val="006013E3"/>
    <w:rsid w:val="006039AC"/>
    <w:rsid w:val="0060655B"/>
    <w:rsid w:val="00606E78"/>
    <w:rsid w:val="00606EBA"/>
    <w:rsid w:val="0061188E"/>
    <w:rsid w:val="006123FC"/>
    <w:rsid w:val="00612EC4"/>
    <w:rsid w:val="006163ED"/>
    <w:rsid w:val="00617243"/>
    <w:rsid w:val="00622868"/>
    <w:rsid w:val="006234AA"/>
    <w:rsid w:val="00623564"/>
    <w:rsid w:val="00624494"/>
    <w:rsid w:val="00627B22"/>
    <w:rsid w:val="00631368"/>
    <w:rsid w:val="006316A7"/>
    <w:rsid w:val="00632BF7"/>
    <w:rsid w:val="00633012"/>
    <w:rsid w:val="00636DC8"/>
    <w:rsid w:val="0065011C"/>
    <w:rsid w:val="00650205"/>
    <w:rsid w:val="006515B1"/>
    <w:rsid w:val="00653A9D"/>
    <w:rsid w:val="00655F6A"/>
    <w:rsid w:val="00657257"/>
    <w:rsid w:val="006574C7"/>
    <w:rsid w:val="00662090"/>
    <w:rsid w:val="00662440"/>
    <w:rsid w:val="006632B8"/>
    <w:rsid w:val="006640E7"/>
    <w:rsid w:val="00664D3E"/>
    <w:rsid w:val="00665BC0"/>
    <w:rsid w:val="00666938"/>
    <w:rsid w:val="006705AA"/>
    <w:rsid w:val="00674636"/>
    <w:rsid w:val="00675194"/>
    <w:rsid w:val="00675539"/>
    <w:rsid w:val="006765A7"/>
    <w:rsid w:val="00676D7D"/>
    <w:rsid w:val="0067718B"/>
    <w:rsid w:val="0068618A"/>
    <w:rsid w:val="00686B61"/>
    <w:rsid w:val="00694F88"/>
    <w:rsid w:val="006953D7"/>
    <w:rsid w:val="0069732C"/>
    <w:rsid w:val="00697A97"/>
    <w:rsid w:val="006A1E34"/>
    <w:rsid w:val="006A2603"/>
    <w:rsid w:val="006A69AE"/>
    <w:rsid w:val="006A6DB7"/>
    <w:rsid w:val="006B0161"/>
    <w:rsid w:val="006B53A0"/>
    <w:rsid w:val="006B6BDE"/>
    <w:rsid w:val="006C39F7"/>
    <w:rsid w:val="006C3F9B"/>
    <w:rsid w:val="006C4A03"/>
    <w:rsid w:val="006C6891"/>
    <w:rsid w:val="006D18E7"/>
    <w:rsid w:val="006D1D01"/>
    <w:rsid w:val="006D227C"/>
    <w:rsid w:val="006D3E6F"/>
    <w:rsid w:val="006D4927"/>
    <w:rsid w:val="006E18FD"/>
    <w:rsid w:val="006E1E63"/>
    <w:rsid w:val="006E3349"/>
    <w:rsid w:val="006E39AE"/>
    <w:rsid w:val="006E4C42"/>
    <w:rsid w:val="006E4DDC"/>
    <w:rsid w:val="006E61F9"/>
    <w:rsid w:val="006E6784"/>
    <w:rsid w:val="006F09C1"/>
    <w:rsid w:val="006F278F"/>
    <w:rsid w:val="006F5101"/>
    <w:rsid w:val="006F770A"/>
    <w:rsid w:val="007004FC"/>
    <w:rsid w:val="00700754"/>
    <w:rsid w:val="007009CC"/>
    <w:rsid w:val="00711B0B"/>
    <w:rsid w:val="00711E1A"/>
    <w:rsid w:val="0071490C"/>
    <w:rsid w:val="007151B3"/>
    <w:rsid w:val="00717A79"/>
    <w:rsid w:val="007245BC"/>
    <w:rsid w:val="007259C4"/>
    <w:rsid w:val="007329BC"/>
    <w:rsid w:val="00734B6C"/>
    <w:rsid w:val="00742332"/>
    <w:rsid w:val="007423C0"/>
    <w:rsid w:val="00744FB4"/>
    <w:rsid w:val="00746189"/>
    <w:rsid w:val="007463B2"/>
    <w:rsid w:val="007475C5"/>
    <w:rsid w:val="00751DB3"/>
    <w:rsid w:val="00751FCF"/>
    <w:rsid w:val="00753045"/>
    <w:rsid w:val="00753083"/>
    <w:rsid w:val="007570E7"/>
    <w:rsid w:val="00761338"/>
    <w:rsid w:val="00761C43"/>
    <w:rsid w:val="00773438"/>
    <w:rsid w:val="00775351"/>
    <w:rsid w:val="00776737"/>
    <w:rsid w:val="007802C5"/>
    <w:rsid w:val="0078743D"/>
    <w:rsid w:val="00787C73"/>
    <w:rsid w:val="007928CA"/>
    <w:rsid w:val="007930D1"/>
    <w:rsid w:val="0079757C"/>
    <w:rsid w:val="007A0E26"/>
    <w:rsid w:val="007A2A2C"/>
    <w:rsid w:val="007A30D0"/>
    <w:rsid w:val="007A3EC6"/>
    <w:rsid w:val="007A47BE"/>
    <w:rsid w:val="007A6F60"/>
    <w:rsid w:val="007B03DB"/>
    <w:rsid w:val="007B06BA"/>
    <w:rsid w:val="007B1E6E"/>
    <w:rsid w:val="007B5452"/>
    <w:rsid w:val="007B5E61"/>
    <w:rsid w:val="007B6256"/>
    <w:rsid w:val="007B712D"/>
    <w:rsid w:val="007B7DCB"/>
    <w:rsid w:val="007B7F5F"/>
    <w:rsid w:val="007C0D42"/>
    <w:rsid w:val="007C0D7E"/>
    <w:rsid w:val="007C16BC"/>
    <w:rsid w:val="007C229E"/>
    <w:rsid w:val="007C287F"/>
    <w:rsid w:val="007C5A1C"/>
    <w:rsid w:val="007D0295"/>
    <w:rsid w:val="007D07CD"/>
    <w:rsid w:val="007D0AA4"/>
    <w:rsid w:val="007D0ECC"/>
    <w:rsid w:val="007D24BB"/>
    <w:rsid w:val="007D3192"/>
    <w:rsid w:val="007D405A"/>
    <w:rsid w:val="007D565A"/>
    <w:rsid w:val="007D62F8"/>
    <w:rsid w:val="007D69B0"/>
    <w:rsid w:val="007E12ED"/>
    <w:rsid w:val="007E2A2A"/>
    <w:rsid w:val="007E3BB3"/>
    <w:rsid w:val="007E4451"/>
    <w:rsid w:val="007E5BC4"/>
    <w:rsid w:val="007E7744"/>
    <w:rsid w:val="007F093B"/>
    <w:rsid w:val="007F0AE8"/>
    <w:rsid w:val="007F0DDC"/>
    <w:rsid w:val="007F4BCE"/>
    <w:rsid w:val="007F588C"/>
    <w:rsid w:val="007F7129"/>
    <w:rsid w:val="00800DFD"/>
    <w:rsid w:val="00802A19"/>
    <w:rsid w:val="00804866"/>
    <w:rsid w:val="00811F78"/>
    <w:rsid w:val="00812D9B"/>
    <w:rsid w:val="008146A5"/>
    <w:rsid w:val="00817132"/>
    <w:rsid w:val="0082231B"/>
    <w:rsid w:val="008267B3"/>
    <w:rsid w:val="00827F9C"/>
    <w:rsid w:val="00831AC6"/>
    <w:rsid w:val="00835895"/>
    <w:rsid w:val="00836CF4"/>
    <w:rsid w:val="00840105"/>
    <w:rsid w:val="008412DA"/>
    <w:rsid w:val="008413B2"/>
    <w:rsid w:val="00841981"/>
    <w:rsid w:val="008444CF"/>
    <w:rsid w:val="0084670A"/>
    <w:rsid w:val="00850130"/>
    <w:rsid w:val="00850A9F"/>
    <w:rsid w:val="00851EFD"/>
    <w:rsid w:val="00852A38"/>
    <w:rsid w:val="0085742B"/>
    <w:rsid w:val="00874700"/>
    <w:rsid w:val="0087645A"/>
    <w:rsid w:val="008765A3"/>
    <w:rsid w:val="008771D7"/>
    <w:rsid w:val="00880B81"/>
    <w:rsid w:val="0088106E"/>
    <w:rsid w:val="00882710"/>
    <w:rsid w:val="00882DE5"/>
    <w:rsid w:val="0088309D"/>
    <w:rsid w:val="0088395F"/>
    <w:rsid w:val="00884385"/>
    <w:rsid w:val="008871E7"/>
    <w:rsid w:val="0089290E"/>
    <w:rsid w:val="00894487"/>
    <w:rsid w:val="00894EE4"/>
    <w:rsid w:val="0089501B"/>
    <w:rsid w:val="00897F19"/>
    <w:rsid w:val="008A43DA"/>
    <w:rsid w:val="008A6C64"/>
    <w:rsid w:val="008B0FD7"/>
    <w:rsid w:val="008B10AD"/>
    <w:rsid w:val="008B40B2"/>
    <w:rsid w:val="008B5532"/>
    <w:rsid w:val="008B6C2C"/>
    <w:rsid w:val="008B72B1"/>
    <w:rsid w:val="008C08C6"/>
    <w:rsid w:val="008C5C47"/>
    <w:rsid w:val="008C5C5C"/>
    <w:rsid w:val="008D35E4"/>
    <w:rsid w:val="008D4F7B"/>
    <w:rsid w:val="008D57AF"/>
    <w:rsid w:val="008E103C"/>
    <w:rsid w:val="008E4788"/>
    <w:rsid w:val="008E5D64"/>
    <w:rsid w:val="008E7AE8"/>
    <w:rsid w:val="008F10EF"/>
    <w:rsid w:val="008F11A5"/>
    <w:rsid w:val="008F2E88"/>
    <w:rsid w:val="008F3090"/>
    <w:rsid w:val="008F3C69"/>
    <w:rsid w:val="008F4AD6"/>
    <w:rsid w:val="008F7F64"/>
    <w:rsid w:val="00900799"/>
    <w:rsid w:val="00906622"/>
    <w:rsid w:val="0091143D"/>
    <w:rsid w:val="00912045"/>
    <w:rsid w:val="009124F7"/>
    <w:rsid w:val="0091448D"/>
    <w:rsid w:val="00914B9B"/>
    <w:rsid w:val="00914D8A"/>
    <w:rsid w:val="009150E7"/>
    <w:rsid w:val="009154F4"/>
    <w:rsid w:val="009157D6"/>
    <w:rsid w:val="00917A17"/>
    <w:rsid w:val="00920F31"/>
    <w:rsid w:val="00926A21"/>
    <w:rsid w:val="00927A9A"/>
    <w:rsid w:val="00931D1D"/>
    <w:rsid w:val="00932407"/>
    <w:rsid w:val="009343DE"/>
    <w:rsid w:val="009344B3"/>
    <w:rsid w:val="00936699"/>
    <w:rsid w:val="0094293F"/>
    <w:rsid w:val="009453F1"/>
    <w:rsid w:val="00947BC0"/>
    <w:rsid w:val="00950D82"/>
    <w:rsid w:val="0095130F"/>
    <w:rsid w:val="00956089"/>
    <w:rsid w:val="00957181"/>
    <w:rsid w:val="00960692"/>
    <w:rsid w:val="00967746"/>
    <w:rsid w:val="0097011C"/>
    <w:rsid w:val="009716A6"/>
    <w:rsid w:val="00973888"/>
    <w:rsid w:val="00976D4C"/>
    <w:rsid w:val="00977165"/>
    <w:rsid w:val="0098146D"/>
    <w:rsid w:val="00981B74"/>
    <w:rsid w:val="009858B2"/>
    <w:rsid w:val="00987C2D"/>
    <w:rsid w:val="0099045B"/>
    <w:rsid w:val="00992590"/>
    <w:rsid w:val="00994209"/>
    <w:rsid w:val="00996E9E"/>
    <w:rsid w:val="00997574"/>
    <w:rsid w:val="009A09B4"/>
    <w:rsid w:val="009A1CEA"/>
    <w:rsid w:val="009A1DE0"/>
    <w:rsid w:val="009A2EFE"/>
    <w:rsid w:val="009A35B1"/>
    <w:rsid w:val="009A49DE"/>
    <w:rsid w:val="009A50D0"/>
    <w:rsid w:val="009A50DA"/>
    <w:rsid w:val="009A77D0"/>
    <w:rsid w:val="009A7B75"/>
    <w:rsid w:val="009B0146"/>
    <w:rsid w:val="009B036C"/>
    <w:rsid w:val="009B0FD5"/>
    <w:rsid w:val="009B11E0"/>
    <w:rsid w:val="009B3CDF"/>
    <w:rsid w:val="009B4512"/>
    <w:rsid w:val="009B4947"/>
    <w:rsid w:val="009B4A9D"/>
    <w:rsid w:val="009B4E82"/>
    <w:rsid w:val="009B7010"/>
    <w:rsid w:val="009B720C"/>
    <w:rsid w:val="009C0083"/>
    <w:rsid w:val="009C018E"/>
    <w:rsid w:val="009C062F"/>
    <w:rsid w:val="009C06CA"/>
    <w:rsid w:val="009C3FE1"/>
    <w:rsid w:val="009C72D8"/>
    <w:rsid w:val="009C73E4"/>
    <w:rsid w:val="009D09E5"/>
    <w:rsid w:val="009D3B8D"/>
    <w:rsid w:val="009D611E"/>
    <w:rsid w:val="009D710E"/>
    <w:rsid w:val="009D735F"/>
    <w:rsid w:val="009D76CD"/>
    <w:rsid w:val="009E14ED"/>
    <w:rsid w:val="009E6287"/>
    <w:rsid w:val="009F0F40"/>
    <w:rsid w:val="009F1FC6"/>
    <w:rsid w:val="009F26E8"/>
    <w:rsid w:val="009F3A67"/>
    <w:rsid w:val="009F4681"/>
    <w:rsid w:val="009F4B68"/>
    <w:rsid w:val="009F5280"/>
    <w:rsid w:val="009F69B3"/>
    <w:rsid w:val="00A0329F"/>
    <w:rsid w:val="00A0352A"/>
    <w:rsid w:val="00A041A2"/>
    <w:rsid w:val="00A05197"/>
    <w:rsid w:val="00A064B3"/>
    <w:rsid w:val="00A140E7"/>
    <w:rsid w:val="00A21B91"/>
    <w:rsid w:val="00A2226E"/>
    <w:rsid w:val="00A25000"/>
    <w:rsid w:val="00A3117D"/>
    <w:rsid w:val="00A319B4"/>
    <w:rsid w:val="00A3334C"/>
    <w:rsid w:val="00A41181"/>
    <w:rsid w:val="00A41655"/>
    <w:rsid w:val="00A4209A"/>
    <w:rsid w:val="00A42A7D"/>
    <w:rsid w:val="00A42D15"/>
    <w:rsid w:val="00A442E2"/>
    <w:rsid w:val="00A446CD"/>
    <w:rsid w:val="00A503DC"/>
    <w:rsid w:val="00A5055A"/>
    <w:rsid w:val="00A5074C"/>
    <w:rsid w:val="00A51F07"/>
    <w:rsid w:val="00A534D0"/>
    <w:rsid w:val="00A559D2"/>
    <w:rsid w:val="00A57897"/>
    <w:rsid w:val="00A61E96"/>
    <w:rsid w:val="00A63391"/>
    <w:rsid w:val="00A63B6C"/>
    <w:rsid w:val="00A6585D"/>
    <w:rsid w:val="00A67710"/>
    <w:rsid w:val="00A707EF"/>
    <w:rsid w:val="00A72A33"/>
    <w:rsid w:val="00A73631"/>
    <w:rsid w:val="00A74FCA"/>
    <w:rsid w:val="00A801CD"/>
    <w:rsid w:val="00A81341"/>
    <w:rsid w:val="00A830D0"/>
    <w:rsid w:val="00A832F6"/>
    <w:rsid w:val="00A844FB"/>
    <w:rsid w:val="00A84A79"/>
    <w:rsid w:val="00A85E00"/>
    <w:rsid w:val="00A86050"/>
    <w:rsid w:val="00A87069"/>
    <w:rsid w:val="00A87582"/>
    <w:rsid w:val="00A9054F"/>
    <w:rsid w:val="00A90D41"/>
    <w:rsid w:val="00A90DBE"/>
    <w:rsid w:val="00A92A60"/>
    <w:rsid w:val="00A93E52"/>
    <w:rsid w:val="00AA2362"/>
    <w:rsid w:val="00AA265E"/>
    <w:rsid w:val="00AA2E94"/>
    <w:rsid w:val="00AA44AA"/>
    <w:rsid w:val="00AA46A0"/>
    <w:rsid w:val="00AA7716"/>
    <w:rsid w:val="00AB03BA"/>
    <w:rsid w:val="00AB169C"/>
    <w:rsid w:val="00AB4C12"/>
    <w:rsid w:val="00AB735A"/>
    <w:rsid w:val="00AC2DF3"/>
    <w:rsid w:val="00AC4D5C"/>
    <w:rsid w:val="00AC6A11"/>
    <w:rsid w:val="00AC6F39"/>
    <w:rsid w:val="00AC7012"/>
    <w:rsid w:val="00AD17F8"/>
    <w:rsid w:val="00AD3901"/>
    <w:rsid w:val="00AD43A0"/>
    <w:rsid w:val="00AD50E0"/>
    <w:rsid w:val="00AD5F4F"/>
    <w:rsid w:val="00AD63BD"/>
    <w:rsid w:val="00AD7575"/>
    <w:rsid w:val="00AE01EE"/>
    <w:rsid w:val="00AE0AA6"/>
    <w:rsid w:val="00AE1CA8"/>
    <w:rsid w:val="00AF0137"/>
    <w:rsid w:val="00AF23F2"/>
    <w:rsid w:val="00AF2706"/>
    <w:rsid w:val="00AF44D6"/>
    <w:rsid w:val="00AF542B"/>
    <w:rsid w:val="00B00373"/>
    <w:rsid w:val="00B0115F"/>
    <w:rsid w:val="00B023A5"/>
    <w:rsid w:val="00B036B6"/>
    <w:rsid w:val="00B03DDE"/>
    <w:rsid w:val="00B05674"/>
    <w:rsid w:val="00B102A8"/>
    <w:rsid w:val="00B11707"/>
    <w:rsid w:val="00B17605"/>
    <w:rsid w:val="00B17688"/>
    <w:rsid w:val="00B22372"/>
    <w:rsid w:val="00B227A6"/>
    <w:rsid w:val="00B31B0E"/>
    <w:rsid w:val="00B33E6D"/>
    <w:rsid w:val="00B347A2"/>
    <w:rsid w:val="00B356A4"/>
    <w:rsid w:val="00B35EDC"/>
    <w:rsid w:val="00B47182"/>
    <w:rsid w:val="00B5258E"/>
    <w:rsid w:val="00B540ED"/>
    <w:rsid w:val="00B551C8"/>
    <w:rsid w:val="00B55D17"/>
    <w:rsid w:val="00B573BB"/>
    <w:rsid w:val="00B603F0"/>
    <w:rsid w:val="00B607DA"/>
    <w:rsid w:val="00B6444D"/>
    <w:rsid w:val="00B6631B"/>
    <w:rsid w:val="00B730D0"/>
    <w:rsid w:val="00B733AF"/>
    <w:rsid w:val="00B77407"/>
    <w:rsid w:val="00B80D5B"/>
    <w:rsid w:val="00B823FD"/>
    <w:rsid w:val="00B824FF"/>
    <w:rsid w:val="00B82956"/>
    <w:rsid w:val="00B84B1E"/>
    <w:rsid w:val="00B85C64"/>
    <w:rsid w:val="00B87B76"/>
    <w:rsid w:val="00B90C8A"/>
    <w:rsid w:val="00B930E9"/>
    <w:rsid w:val="00B9402F"/>
    <w:rsid w:val="00B94864"/>
    <w:rsid w:val="00B9541A"/>
    <w:rsid w:val="00BA1B88"/>
    <w:rsid w:val="00BA2F1A"/>
    <w:rsid w:val="00BA3036"/>
    <w:rsid w:val="00BA4898"/>
    <w:rsid w:val="00BA4F35"/>
    <w:rsid w:val="00BA6B23"/>
    <w:rsid w:val="00BA6EE0"/>
    <w:rsid w:val="00BB06E6"/>
    <w:rsid w:val="00BB4517"/>
    <w:rsid w:val="00BB593C"/>
    <w:rsid w:val="00BB6446"/>
    <w:rsid w:val="00BC0A9D"/>
    <w:rsid w:val="00BC7830"/>
    <w:rsid w:val="00BD1557"/>
    <w:rsid w:val="00BD1E9C"/>
    <w:rsid w:val="00BD7F4E"/>
    <w:rsid w:val="00BE003F"/>
    <w:rsid w:val="00BE275E"/>
    <w:rsid w:val="00BE5E4A"/>
    <w:rsid w:val="00BE6531"/>
    <w:rsid w:val="00BE6F06"/>
    <w:rsid w:val="00BE7D16"/>
    <w:rsid w:val="00BF0D4E"/>
    <w:rsid w:val="00BF582D"/>
    <w:rsid w:val="00BF5EE3"/>
    <w:rsid w:val="00C001A7"/>
    <w:rsid w:val="00C002B4"/>
    <w:rsid w:val="00C0201F"/>
    <w:rsid w:val="00C02C57"/>
    <w:rsid w:val="00C02D97"/>
    <w:rsid w:val="00C02EA9"/>
    <w:rsid w:val="00C040D1"/>
    <w:rsid w:val="00C04C7E"/>
    <w:rsid w:val="00C06985"/>
    <w:rsid w:val="00C07662"/>
    <w:rsid w:val="00C1076D"/>
    <w:rsid w:val="00C16214"/>
    <w:rsid w:val="00C1738A"/>
    <w:rsid w:val="00C238B1"/>
    <w:rsid w:val="00C23B2F"/>
    <w:rsid w:val="00C31D0B"/>
    <w:rsid w:val="00C31FC3"/>
    <w:rsid w:val="00C33326"/>
    <w:rsid w:val="00C34766"/>
    <w:rsid w:val="00C34C59"/>
    <w:rsid w:val="00C35651"/>
    <w:rsid w:val="00C43460"/>
    <w:rsid w:val="00C451CF"/>
    <w:rsid w:val="00C4749E"/>
    <w:rsid w:val="00C500AD"/>
    <w:rsid w:val="00C52576"/>
    <w:rsid w:val="00C557B7"/>
    <w:rsid w:val="00C563F0"/>
    <w:rsid w:val="00C57C14"/>
    <w:rsid w:val="00C64061"/>
    <w:rsid w:val="00C672EB"/>
    <w:rsid w:val="00C70A47"/>
    <w:rsid w:val="00C712A3"/>
    <w:rsid w:val="00C716FE"/>
    <w:rsid w:val="00C71AEC"/>
    <w:rsid w:val="00C71E2F"/>
    <w:rsid w:val="00C779EB"/>
    <w:rsid w:val="00C80E40"/>
    <w:rsid w:val="00C81167"/>
    <w:rsid w:val="00C84597"/>
    <w:rsid w:val="00C85BEB"/>
    <w:rsid w:val="00C87221"/>
    <w:rsid w:val="00C90887"/>
    <w:rsid w:val="00C917D9"/>
    <w:rsid w:val="00C91B0D"/>
    <w:rsid w:val="00C94EE4"/>
    <w:rsid w:val="00C9682C"/>
    <w:rsid w:val="00C96F41"/>
    <w:rsid w:val="00CA2653"/>
    <w:rsid w:val="00CA42FF"/>
    <w:rsid w:val="00CA6E7D"/>
    <w:rsid w:val="00CA7489"/>
    <w:rsid w:val="00CB1706"/>
    <w:rsid w:val="00CB1D54"/>
    <w:rsid w:val="00CB50FB"/>
    <w:rsid w:val="00CB7D67"/>
    <w:rsid w:val="00CB7D68"/>
    <w:rsid w:val="00CC4CBF"/>
    <w:rsid w:val="00CD0DE2"/>
    <w:rsid w:val="00CD2A92"/>
    <w:rsid w:val="00CD3594"/>
    <w:rsid w:val="00CD5545"/>
    <w:rsid w:val="00CD7A76"/>
    <w:rsid w:val="00CE0217"/>
    <w:rsid w:val="00CE06DB"/>
    <w:rsid w:val="00CE1478"/>
    <w:rsid w:val="00CE2944"/>
    <w:rsid w:val="00CE2B31"/>
    <w:rsid w:val="00CE2D25"/>
    <w:rsid w:val="00CE47D2"/>
    <w:rsid w:val="00CE5BBD"/>
    <w:rsid w:val="00CE68C8"/>
    <w:rsid w:val="00CE6DF6"/>
    <w:rsid w:val="00CE7FB5"/>
    <w:rsid w:val="00CF1D12"/>
    <w:rsid w:val="00CF2588"/>
    <w:rsid w:val="00CF3716"/>
    <w:rsid w:val="00CF4986"/>
    <w:rsid w:val="00CF5997"/>
    <w:rsid w:val="00CF5F7D"/>
    <w:rsid w:val="00CF669B"/>
    <w:rsid w:val="00CF71AE"/>
    <w:rsid w:val="00CF72BA"/>
    <w:rsid w:val="00D00D66"/>
    <w:rsid w:val="00D050E9"/>
    <w:rsid w:val="00D061FC"/>
    <w:rsid w:val="00D07DE8"/>
    <w:rsid w:val="00D10026"/>
    <w:rsid w:val="00D125F1"/>
    <w:rsid w:val="00D13BEC"/>
    <w:rsid w:val="00D14C21"/>
    <w:rsid w:val="00D20208"/>
    <w:rsid w:val="00D205F0"/>
    <w:rsid w:val="00D21F6C"/>
    <w:rsid w:val="00D2512E"/>
    <w:rsid w:val="00D30A2C"/>
    <w:rsid w:val="00D31044"/>
    <w:rsid w:val="00D31625"/>
    <w:rsid w:val="00D324E1"/>
    <w:rsid w:val="00D32992"/>
    <w:rsid w:val="00D33384"/>
    <w:rsid w:val="00D33448"/>
    <w:rsid w:val="00D34D4B"/>
    <w:rsid w:val="00D353E8"/>
    <w:rsid w:val="00D3562A"/>
    <w:rsid w:val="00D35766"/>
    <w:rsid w:val="00D36817"/>
    <w:rsid w:val="00D42C43"/>
    <w:rsid w:val="00D434DD"/>
    <w:rsid w:val="00D436A1"/>
    <w:rsid w:val="00D526F5"/>
    <w:rsid w:val="00D5639B"/>
    <w:rsid w:val="00D61300"/>
    <w:rsid w:val="00D627B6"/>
    <w:rsid w:val="00D661CA"/>
    <w:rsid w:val="00D668D9"/>
    <w:rsid w:val="00D74DC6"/>
    <w:rsid w:val="00D77207"/>
    <w:rsid w:val="00D80A83"/>
    <w:rsid w:val="00D80E7B"/>
    <w:rsid w:val="00D81C8F"/>
    <w:rsid w:val="00D81EB4"/>
    <w:rsid w:val="00D824F1"/>
    <w:rsid w:val="00D82A7F"/>
    <w:rsid w:val="00D84330"/>
    <w:rsid w:val="00D84F11"/>
    <w:rsid w:val="00D85DCF"/>
    <w:rsid w:val="00D94607"/>
    <w:rsid w:val="00D94BBD"/>
    <w:rsid w:val="00D960D6"/>
    <w:rsid w:val="00D9737C"/>
    <w:rsid w:val="00DA1338"/>
    <w:rsid w:val="00DA5CE6"/>
    <w:rsid w:val="00DA5DBA"/>
    <w:rsid w:val="00DA66D9"/>
    <w:rsid w:val="00DB440C"/>
    <w:rsid w:val="00DB53DA"/>
    <w:rsid w:val="00DB6596"/>
    <w:rsid w:val="00DB746F"/>
    <w:rsid w:val="00DC36D5"/>
    <w:rsid w:val="00DC3F57"/>
    <w:rsid w:val="00DC5E50"/>
    <w:rsid w:val="00DC69C3"/>
    <w:rsid w:val="00DD0639"/>
    <w:rsid w:val="00DD0C64"/>
    <w:rsid w:val="00DD31F1"/>
    <w:rsid w:val="00DD5B93"/>
    <w:rsid w:val="00DD6449"/>
    <w:rsid w:val="00DD658B"/>
    <w:rsid w:val="00DD79CC"/>
    <w:rsid w:val="00DD7F40"/>
    <w:rsid w:val="00DE17E9"/>
    <w:rsid w:val="00DE3CA5"/>
    <w:rsid w:val="00DE51E8"/>
    <w:rsid w:val="00DE643F"/>
    <w:rsid w:val="00DE70BA"/>
    <w:rsid w:val="00DE7722"/>
    <w:rsid w:val="00DF0244"/>
    <w:rsid w:val="00DF1861"/>
    <w:rsid w:val="00DF2E86"/>
    <w:rsid w:val="00DF387B"/>
    <w:rsid w:val="00DF3D2D"/>
    <w:rsid w:val="00DF6448"/>
    <w:rsid w:val="00DF65B0"/>
    <w:rsid w:val="00E024EC"/>
    <w:rsid w:val="00E039F8"/>
    <w:rsid w:val="00E03FA8"/>
    <w:rsid w:val="00E10584"/>
    <w:rsid w:val="00E151EC"/>
    <w:rsid w:val="00E15B7F"/>
    <w:rsid w:val="00E20A07"/>
    <w:rsid w:val="00E21887"/>
    <w:rsid w:val="00E237FE"/>
    <w:rsid w:val="00E23810"/>
    <w:rsid w:val="00E262C5"/>
    <w:rsid w:val="00E300E1"/>
    <w:rsid w:val="00E33C1C"/>
    <w:rsid w:val="00E358FD"/>
    <w:rsid w:val="00E41777"/>
    <w:rsid w:val="00E43B4C"/>
    <w:rsid w:val="00E43C50"/>
    <w:rsid w:val="00E44BE7"/>
    <w:rsid w:val="00E4513D"/>
    <w:rsid w:val="00E45E32"/>
    <w:rsid w:val="00E46C1F"/>
    <w:rsid w:val="00E53272"/>
    <w:rsid w:val="00E55B3E"/>
    <w:rsid w:val="00E6089B"/>
    <w:rsid w:val="00E60F91"/>
    <w:rsid w:val="00E617AE"/>
    <w:rsid w:val="00E627DD"/>
    <w:rsid w:val="00E62DEF"/>
    <w:rsid w:val="00E63C29"/>
    <w:rsid w:val="00E64AE0"/>
    <w:rsid w:val="00E65BE4"/>
    <w:rsid w:val="00E65E44"/>
    <w:rsid w:val="00E73CAC"/>
    <w:rsid w:val="00E76090"/>
    <w:rsid w:val="00E770EC"/>
    <w:rsid w:val="00E807B3"/>
    <w:rsid w:val="00E839C4"/>
    <w:rsid w:val="00E90398"/>
    <w:rsid w:val="00E9487C"/>
    <w:rsid w:val="00E9505D"/>
    <w:rsid w:val="00E95BCD"/>
    <w:rsid w:val="00E97191"/>
    <w:rsid w:val="00E978B4"/>
    <w:rsid w:val="00EA0B67"/>
    <w:rsid w:val="00EA150C"/>
    <w:rsid w:val="00EB29D4"/>
    <w:rsid w:val="00EB2DE8"/>
    <w:rsid w:val="00EC0B5B"/>
    <w:rsid w:val="00EC1CB6"/>
    <w:rsid w:val="00EC25F0"/>
    <w:rsid w:val="00EC455D"/>
    <w:rsid w:val="00EC668A"/>
    <w:rsid w:val="00EC72F5"/>
    <w:rsid w:val="00ED14E7"/>
    <w:rsid w:val="00ED3943"/>
    <w:rsid w:val="00ED4165"/>
    <w:rsid w:val="00ED4DB0"/>
    <w:rsid w:val="00ED647A"/>
    <w:rsid w:val="00ED7107"/>
    <w:rsid w:val="00EE15A7"/>
    <w:rsid w:val="00EE193B"/>
    <w:rsid w:val="00EE4446"/>
    <w:rsid w:val="00EF17FE"/>
    <w:rsid w:val="00EF2D1D"/>
    <w:rsid w:val="00EF3177"/>
    <w:rsid w:val="00EF3505"/>
    <w:rsid w:val="00EF3786"/>
    <w:rsid w:val="00EF3D1B"/>
    <w:rsid w:val="00EF6BE4"/>
    <w:rsid w:val="00F0058F"/>
    <w:rsid w:val="00F03A51"/>
    <w:rsid w:val="00F04FBD"/>
    <w:rsid w:val="00F10A87"/>
    <w:rsid w:val="00F10B1E"/>
    <w:rsid w:val="00F10E24"/>
    <w:rsid w:val="00F11907"/>
    <w:rsid w:val="00F12B1E"/>
    <w:rsid w:val="00F13B4C"/>
    <w:rsid w:val="00F13EEE"/>
    <w:rsid w:val="00F1515E"/>
    <w:rsid w:val="00F17E89"/>
    <w:rsid w:val="00F203E5"/>
    <w:rsid w:val="00F21E1F"/>
    <w:rsid w:val="00F23D39"/>
    <w:rsid w:val="00F253F0"/>
    <w:rsid w:val="00F25E03"/>
    <w:rsid w:val="00F31816"/>
    <w:rsid w:val="00F32433"/>
    <w:rsid w:val="00F32C81"/>
    <w:rsid w:val="00F338CD"/>
    <w:rsid w:val="00F34F80"/>
    <w:rsid w:val="00F3552A"/>
    <w:rsid w:val="00F356F6"/>
    <w:rsid w:val="00F3739F"/>
    <w:rsid w:val="00F37B47"/>
    <w:rsid w:val="00F4001E"/>
    <w:rsid w:val="00F41C12"/>
    <w:rsid w:val="00F41C71"/>
    <w:rsid w:val="00F42334"/>
    <w:rsid w:val="00F43493"/>
    <w:rsid w:val="00F449EF"/>
    <w:rsid w:val="00F4572E"/>
    <w:rsid w:val="00F46874"/>
    <w:rsid w:val="00F46D05"/>
    <w:rsid w:val="00F47AC8"/>
    <w:rsid w:val="00F527F8"/>
    <w:rsid w:val="00F52FC4"/>
    <w:rsid w:val="00F54A99"/>
    <w:rsid w:val="00F57791"/>
    <w:rsid w:val="00F61AB6"/>
    <w:rsid w:val="00F63B77"/>
    <w:rsid w:val="00F64E37"/>
    <w:rsid w:val="00F65E72"/>
    <w:rsid w:val="00F67599"/>
    <w:rsid w:val="00F71AC8"/>
    <w:rsid w:val="00F71DE4"/>
    <w:rsid w:val="00F72759"/>
    <w:rsid w:val="00F72B4A"/>
    <w:rsid w:val="00F74106"/>
    <w:rsid w:val="00F75BE1"/>
    <w:rsid w:val="00F7774A"/>
    <w:rsid w:val="00F802DD"/>
    <w:rsid w:val="00F82E2E"/>
    <w:rsid w:val="00F8743E"/>
    <w:rsid w:val="00F90F7B"/>
    <w:rsid w:val="00F91839"/>
    <w:rsid w:val="00F91A4E"/>
    <w:rsid w:val="00F928EA"/>
    <w:rsid w:val="00F92B73"/>
    <w:rsid w:val="00FA04D5"/>
    <w:rsid w:val="00FA0A87"/>
    <w:rsid w:val="00FA5435"/>
    <w:rsid w:val="00FA5B03"/>
    <w:rsid w:val="00FA6875"/>
    <w:rsid w:val="00FB1060"/>
    <w:rsid w:val="00FB21E2"/>
    <w:rsid w:val="00FB263C"/>
    <w:rsid w:val="00FB3E6D"/>
    <w:rsid w:val="00FB539F"/>
    <w:rsid w:val="00FB7AEB"/>
    <w:rsid w:val="00FC17D7"/>
    <w:rsid w:val="00FC18C3"/>
    <w:rsid w:val="00FC49F5"/>
    <w:rsid w:val="00FC56E7"/>
    <w:rsid w:val="00FC739D"/>
    <w:rsid w:val="00FD3CBE"/>
    <w:rsid w:val="00FD7768"/>
    <w:rsid w:val="00FD7A5F"/>
    <w:rsid w:val="00FE747E"/>
    <w:rsid w:val="00FF219F"/>
    <w:rsid w:val="00FF3ACA"/>
    <w:rsid w:val="00FF57AF"/>
    <w:rsid w:val="00FF6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EF496E"/>
  <w15:docId w15:val="{72F110E8-1923-4BE7-BF9B-AFFDA34AA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F0E"/>
    <w:pPr>
      <w:spacing w:after="200" w:line="276" w:lineRule="auto"/>
    </w:pPr>
    <w:rPr>
      <w:rFonts w:ascii="Times New Roman" w:hAnsi="Times New Roman"/>
    </w:rPr>
  </w:style>
  <w:style w:type="paragraph" w:styleId="Heading1">
    <w:name w:val="heading 1"/>
    <w:basedOn w:val="ListParagraph"/>
    <w:next w:val="Normal"/>
    <w:link w:val="Heading1Char"/>
    <w:qFormat/>
    <w:locked/>
    <w:rsid w:val="00827F9C"/>
    <w:pPr>
      <w:numPr>
        <w:numId w:val="1"/>
      </w:numPr>
      <w:spacing w:after="0" w:line="240" w:lineRule="auto"/>
      <w:outlineLvl w:val="0"/>
    </w:pPr>
    <w:rPr>
      <w:rFonts w:ascii="Arial" w:hAnsi="Arial" w:cs="Arial"/>
      <w:b/>
    </w:rPr>
  </w:style>
  <w:style w:type="paragraph" w:styleId="Heading2">
    <w:name w:val="heading 2"/>
    <w:basedOn w:val="ListParagraph"/>
    <w:next w:val="Normal"/>
    <w:link w:val="Heading2Char"/>
    <w:unhideWhenUsed/>
    <w:qFormat/>
    <w:locked/>
    <w:rsid w:val="00894EE4"/>
    <w:pPr>
      <w:numPr>
        <w:numId w:val="6"/>
      </w:numPr>
      <w:spacing w:after="0" w:line="240" w:lineRule="auto"/>
      <w:outlineLvl w:val="1"/>
    </w:pPr>
    <w:rPr>
      <w:rFonts w:ascii="Arial" w:hAnsi="Arial" w:cs="Arial"/>
      <w:b/>
      <w:bCs/>
    </w:rPr>
  </w:style>
  <w:style w:type="paragraph" w:styleId="Heading3">
    <w:name w:val="heading 3"/>
    <w:basedOn w:val="Normal"/>
    <w:next w:val="Normal"/>
    <w:link w:val="Heading3Char"/>
    <w:unhideWhenUsed/>
    <w:qFormat/>
    <w:locked/>
    <w:rsid w:val="00A2500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17334"/>
    <w:rPr>
      <w:rFonts w:cs="Times New Roman"/>
      <w:color w:val="0000FF"/>
      <w:u w:val="single"/>
    </w:rPr>
  </w:style>
  <w:style w:type="paragraph" w:styleId="ListParagraph">
    <w:name w:val="List Paragraph"/>
    <w:basedOn w:val="Normal"/>
    <w:uiPriority w:val="34"/>
    <w:qFormat/>
    <w:rsid w:val="00317334"/>
    <w:pPr>
      <w:ind w:left="720"/>
      <w:contextualSpacing/>
    </w:pPr>
  </w:style>
  <w:style w:type="paragraph" w:customStyle="1" w:styleId="Default">
    <w:name w:val="Default"/>
    <w:uiPriority w:val="99"/>
    <w:rsid w:val="0058152C"/>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rsid w:val="0041160F"/>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41160F"/>
    <w:rPr>
      <w:rFonts w:ascii="Times New Roman" w:hAnsi="Times New Roman" w:cs="Times New Roman"/>
    </w:rPr>
  </w:style>
  <w:style w:type="paragraph" w:styleId="Footer">
    <w:name w:val="footer"/>
    <w:basedOn w:val="Normal"/>
    <w:link w:val="FooterChar"/>
    <w:uiPriority w:val="99"/>
    <w:rsid w:val="0041160F"/>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1160F"/>
    <w:rPr>
      <w:rFonts w:ascii="Times New Roman" w:hAnsi="Times New Roman" w:cs="Times New Roman"/>
    </w:rPr>
  </w:style>
  <w:style w:type="paragraph" w:styleId="BalloonText">
    <w:name w:val="Balloon Text"/>
    <w:basedOn w:val="Normal"/>
    <w:link w:val="BalloonTextChar"/>
    <w:uiPriority w:val="99"/>
    <w:semiHidden/>
    <w:rsid w:val="009F468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D57AF"/>
    <w:rPr>
      <w:rFonts w:ascii="Times New Roman" w:hAnsi="Times New Roman" w:cs="Times New Roman"/>
      <w:sz w:val="2"/>
    </w:rPr>
  </w:style>
  <w:style w:type="character" w:styleId="CommentReference">
    <w:name w:val="annotation reference"/>
    <w:basedOn w:val="DefaultParagraphFont"/>
    <w:uiPriority w:val="99"/>
    <w:semiHidden/>
    <w:rsid w:val="00776737"/>
    <w:rPr>
      <w:rFonts w:cs="Times New Roman"/>
      <w:sz w:val="16"/>
      <w:szCs w:val="16"/>
    </w:rPr>
  </w:style>
  <w:style w:type="paragraph" w:styleId="CommentText">
    <w:name w:val="annotation text"/>
    <w:basedOn w:val="Normal"/>
    <w:link w:val="CommentTextChar"/>
    <w:uiPriority w:val="99"/>
    <w:semiHidden/>
    <w:rsid w:val="00776737"/>
    <w:rPr>
      <w:sz w:val="20"/>
      <w:szCs w:val="20"/>
    </w:rPr>
  </w:style>
  <w:style w:type="character" w:customStyle="1" w:styleId="CommentTextChar">
    <w:name w:val="Comment Text Char"/>
    <w:basedOn w:val="DefaultParagraphFont"/>
    <w:link w:val="CommentText"/>
    <w:uiPriority w:val="99"/>
    <w:semiHidden/>
    <w:locked/>
    <w:rsid w:val="008D57A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776737"/>
    <w:rPr>
      <w:b/>
      <w:bCs/>
    </w:rPr>
  </w:style>
  <w:style w:type="character" w:customStyle="1" w:styleId="CommentSubjectChar">
    <w:name w:val="Comment Subject Char"/>
    <w:basedOn w:val="CommentTextChar"/>
    <w:link w:val="CommentSubject"/>
    <w:uiPriority w:val="99"/>
    <w:semiHidden/>
    <w:locked/>
    <w:rsid w:val="008D57AF"/>
    <w:rPr>
      <w:rFonts w:ascii="Times New Roman" w:hAnsi="Times New Roman" w:cs="Times New Roman"/>
      <w:b/>
      <w:bCs/>
      <w:sz w:val="20"/>
      <w:szCs w:val="20"/>
    </w:rPr>
  </w:style>
  <w:style w:type="character" w:customStyle="1" w:styleId="Heading1Char">
    <w:name w:val="Heading 1 Char"/>
    <w:basedOn w:val="DefaultParagraphFont"/>
    <w:link w:val="Heading1"/>
    <w:rsid w:val="00827F9C"/>
    <w:rPr>
      <w:rFonts w:ascii="Arial" w:hAnsi="Arial" w:cs="Arial"/>
      <w:b/>
    </w:rPr>
  </w:style>
  <w:style w:type="paragraph" w:styleId="TOC1">
    <w:name w:val="toc 1"/>
    <w:basedOn w:val="Normal"/>
    <w:next w:val="Normal"/>
    <w:autoRedefine/>
    <w:uiPriority w:val="39"/>
    <w:locked/>
    <w:rsid w:val="001B142C"/>
    <w:pPr>
      <w:numPr>
        <w:numId w:val="8"/>
      </w:numPr>
      <w:tabs>
        <w:tab w:val="left" w:pos="720"/>
        <w:tab w:val="right" w:leader="dot" w:pos="9350"/>
      </w:tabs>
      <w:spacing w:after="0" w:line="240" w:lineRule="auto"/>
    </w:pPr>
    <w:rPr>
      <w:rFonts w:ascii="Arial" w:hAnsi="Arial" w:cs="Arial"/>
      <w:color w:val="000000" w:themeColor="text1"/>
    </w:rPr>
  </w:style>
  <w:style w:type="character" w:styleId="FollowedHyperlink">
    <w:name w:val="FollowedHyperlink"/>
    <w:basedOn w:val="DefaultParagraphFont"/>
    <w:uiPriority w:val="99"/>
    <w:semiHidden/>
    <w:unhideWhenUsed/>
    <w:rsid w:val="00950D82"/>
    <w:rPr>
      <w:color w:val="800080" w:themeColor="followedHyperlink"/>
      <w:u w:val="single"/>
    </w:rPr>
  </w:style>
  <w:style w:type="paragraph" w:styleId="Revision">
    <w:name w:val="Revision"/>
    <w:hidden/>
    <w:uiPriority w:val="99"/>
    <w:semiHidden/>
    <w:rsid w:val="00453832"/>
    <w:rPr>
      <w:rFonts w:ascii="Times New Roman" w:hAnsi="Times New Roman"/>
    </w:rPr>
  </w:style>
  <w:style w:type="character" w:styleId="UnresolvedMention">
    <w:name w:val="Unresolved Mention"/>
    <w:basedOn w:val="DefaultParagraphFont"/>
    <w:uiPriority w:val="99"/>
    <w:semiHidden/>
    <w:unhideWhenUsed/>
    <w:rsid w:val="00CB7D68"/>
    <w:rPr>
      <w:color w:val="605E5C"/>
      <w:shd w:val="clear" w:color="auto" w:fill="E1DFDD"/>
    </w:rPr>
  </w:style>
  <w:style w:type="character" w:customStyle="1" w:styleId="Heading2Char">
    <w:name w:val="Heading 2 Char"/>
    <w:basedOn w:val="DefaultParagraphFont"/>
    <w:link w:val="Heading2"/>
    <w:rsid w:val="00894EE4"/>
    <w:rPr>
      <w:rFonts w:ascii="Arial" w:hAnsi="Arial" w:cs="Arial"/>
      <w:b/>
      <w:bCs/>
    </w:rPr>
  </w:style>
  <w:style w:type="numbering" w:customStyle="1" w:styleId="CurrentList1">
    <w:name w:val="Current List1"/>
    <w:uiPriority w:val="99"/>
    <w:rsid w:val="00A503DC"/>
    <w:pPr>
      <w:numPr>
        <w:numId w:val="2"/>
      </w:numPr>
    </w:pPr>
  </w:style>
  <w:style w:type="numbering" w:customStyle="1" w:styleId="CurrentList2">
    <w:name w:val="Current List2"/>
    <w:uiPriority w:val="99"/>
    <w:rsid w:val="00A503DC"/>
    <w:pPr>
      <w:numPr>
        <w:numId w:val="3"/>
      </w:numPr>
    </w:pPr>
  </w:style>
  <w:style w:type="numbering" w:customStyle="1" w:styleId="CurrentList3">
    <w:name w:val="Current List3"/>
    <w:uiPriority w:val="99"/>
    <w:rsid w:val="00356FCC"/>
    <w:pPr>
      <w:numPr>
        <w:numId w:val="4"/>
      </w:numPr>
    </w:pPr>
  </w:style>
  <w:style w:type="numbering" w:customStyle="1" w:styleId="CurrentList4">
    <w:name w:val="Current List4"/>
    <w:uiPriority w:val="99"/>
    <w:rsid w:val="00C33326"/>
    <w:pPr>
      <w:numPr>
        <w:numId w:val="5"/>
      </w:numPr>
    </w:pPr>
  </w:style>
  <w:style w:type="paragraph" w:styleId="TOC2">
    <w:name w:val="toc 2"/>
    <w:basedOn w:val="Normal"/>
    <w:next w:val="Normal"/>
    <w:autoRedefine/>
    <w:uiPriority w:val="39"/>
    <w:locked/>
    <w:rsid w:val="001B142C"/>
    <w:pPr>
      <w:numPr>
        <w:numId w:val="9"/>
      </w:numPr>
      <w:tabs>
        <w:tab w:val="left" w:pos="1200"/>
        <w:tab w:val="right" w:leader="dot" w:pos="9350"/>
      </w:tabs>
      <w:spacing w:after="0" w:line="240" w:lineRule="auto"/>
    </w:pPr>
    <w:rPr>
      <w:rFonts w:ascii="Arial" w:hAnsi="Arial"/>
    </w:rPr>
  </w:style>
  <w:style w:type="paragraph" w:styleId="FootnoteText">
    <w:name w:val="footnote text"/>
    <w:basedOn w:val="Normal"/>
    <w:link w:val="FootnoteTextChar"/>
    <w:uiPriority w:val="99"/>
    <w:unhideWhenUsed/>
    <w:rsid w:val="00AA2E94"/>
    <w:pPr>
      <w:spacing w:after="0" w:line="240" w:lineRule="auto"/>
      <w:jc w:val="both"/>
    </w:pPr>
    <w:rPr>
      <w:rFonts w:eastAsiaTheme="minorHAnsi"/>
      <w:kern w:val="2"/>
      <w:sz w:val="20"/>
      <w:szCs w:val="20"/>
    </w:rPr>
  </w:style>
  <w:style w:type="character" w:customStyle="1" w:styleId="FootnoteTextChar">
    <w:name w:val="Footnote Text Char"/>
    <w:basedOn w:val="DefaultParagraphFont"/>
    <w:link w:val="FootnoteText"/>
    <w:uiPriority w:val="99"/>
    <w:rsid w:val="00AA2E94"/>
    <w:rPr>
      <w:rFonts w:ascii="Times New Roman" w:eastAsiaTheme="minorHAnsi" w:hAnsi="Times New Roman"/>
      <w:kern w:val="2"/>
      <w:sz w:val="20"/>
      <w:szCs w:val="20"/>
    </w:rPr>
  </w:style>
  <w:style w:type="character" w:styleId="FootnoteReference">
    <w:name w:val="footnote reference"/>
    <w:basedOn w:val="DefaultParagraphFont"/>
    <w:uiPriority w:val="99"/>
    <w:semiHidden/>
    <w:unhideWhenUsed/>
    <w:rsid w:val="00AA2E94"/>
    <w:rPr>
      <w:vertAlign w:val="superscript"/>
    </w:rPr>
  </w:style>
  <w:style w:type="character" w:customStyle="1" w:styleId="Heading3Char">
    <w:name w:val="Heading 3 Char"/>
    <w:basedOn w:val="DefaultParagraphFont"/>
    <w:link w:val="Heading3"/>
    <w:rsid w:val="00A25000"/>
    <w:rPr>
      <w:rFonts w:asciiTheme="majorHAnsi" w:eastAsiaTheme="majorEastAsia" w:hAnsiTheme="majorHAnsi" w:cstheme="majorBidi"/>
      <w:color w:val="243F60" w:themeColor="accent1" w:themeShade="7F"/>
      <w:sz w:val="24"/>
      <w:szCs w:val="24"/>
    </w:rPr>
  </w:style>
  <w:style w:type="paragraph" w:styleId="TOC3">
    <w:name w:val="toc 3"/>
    <w:basedOn w:val="Normal"/>
    <w:next w:val="Normal"/>
    <w:autoRedefine/>
    <w:uiPriority w:val="39"/>
    <w:unhideWhenUsed/>
    <w:locked/>
    <w:rsid w:val="0015654E"/>
    <w:pPr>
      <w:spacing w:after="100" w:line="278" w:lineRule="auto"/>
      <w:ind w:left="480"/>
    </w:pPr>
    <w:rPr>
      <w:rFonts w:asciiTheme="minorHAnsi" w:eastAsiaTheme="minorEastAsia" w:hAnsiTheme="minorHAnsi" w:cstheme="minorBidi"/>
      <w:kern w:val="2"/>
      <w:sz w:val="24"/>
      <w:szCs w:val="24"/>
    </w:rPr>
  </w:style>
  <w:style w:type="paragraph" w:styleId="TOC4">
    <w:name w:val="toc 4"/>
    <w:basedOn w:val="Normal"/>
    <w:next w:val="Normal"/>
    <w:autoRedefine/>
    <w:uiPriority w:val="39"/>
    <w:unhideWhenUsed/>
    <w:locked/>
    <w:rsid w:val="0015654E"/>
    <w:pPr>
      <w:spacing w:after="100" w:line="278" w:lineRule="auto"/>
      <w:ind w:left="720"/>
    </w:pPr>
    <w:rPr>
      <w:rFonts w:asciiTheme="minorHAnsi" w:eastAsiaTheme="minorEastAsia" w:hAnsiTheme="minorHAnsi" w:cstheme="minorBidi"/>
      <w:kern w:val="2"/>
      <w:sz w:val="24"/>
      <w:szCs w:val="24"/>
    </w:rPr>
  </w:style>
  <w:style w:type="paragraph" w:styleId="TOC5">
    <w:name w:val="toc 5"/>
    <w:basedOn w:val="Normal"/>
    <w:next w:val="Normal"/>
    <w:autoRedefine/>
    <w:uiPriority w:val="39"/>
    <w:unhideWhenUsed/>
    <w:locked/>
    <w:rsid w:val="0015654E"/>
    <w:pPr>
      <w:spacing w:after="100" w:line="278" w:lineRule="auto"/>
      <w:ind w:left="960"/>
    </w:pPr>
    <w:rPr>
      <w:rFonts w:asciiTheme="minorHAnsi" w:eastAsiaTheme="minorEastAsia" w:hAnsiTheme="minorHAnsi" w:cstheme="minorBidi"/>
      <w:kern w:val="2"/>
      <w:sz w:val="24"/>
      <w:szCs w:val="24"/>
    </w:rPr>
  </w:style>
  <w:style w:type="paragraph" w:styleId="TOC6">
    <w:name w:val="toc 6"/>
    <w:basedOn w:val="Normal"/>
    <w:next w:val="Normal"/>
    <w:autoRedefine/>
    <w:uiPriority w:val="39"/>
    <w:unhideWhenUsed/>
    <w:locked/>
    <w:rsid w:val="0015654E"/>
    <w:pPr>
      <w:spacing w:after="100" w:line="278" w:lineRule="auto"/>
      <w:ind w:left="1200"/>
    </w:pPr>
    <w:rPr>
      <w:rFonts w:asciiTheme="minorHAnsi" w:eastAsiaTheme="minorEastAsia" w:hAnsiTheme="minorHAnsi" w:cstheme="minorBidi"/>
      <w:kern w:val="2"/>
      <w:sz w:val="24"/>
      <w:szCs w:val="24"/>
    </w:rPr>
  </w:style>
  <w:style w:type="paragraph" w:styleId="TOC7">
    <w:name w:val="toc 7"/>
    <w:basedOn w:val="Normal"/>
    <w:next w:val="Normal"/>
    <w:autoRedefine/>
    <w:uiPriority w:val="39"/>
    <w:unhideWhenUsed/>
    <w:locked/>
    <w:rsid w:val="0015654E"/>
    <w:pPr>
      <w:spacing w:after="100" w:line="278" w:lineRule="auto"/>
      <w:ind w:left="1440"/>
    </w:pPr>
    <w:rPr>
      <w:rFonts w:asciiTheme="minorHAnsi" w:eastAsiaTheme="minorEastAsia" w:hAnsiTheme="minorHAnsi" w:cstheme="minorBidi"/>
      <w:kern w:val="2"/>
      <w:sz w:val="24"/>
      <w:szCs w:val="24"/>
    </w:rPr>
  </w:style>
  <w:style w:type="paragraph" w:styleId="TOC8">
    <w:name w:val="toc 8"/>
    <w:basedOn w:val="Normal"/>
    <w:next w:val="Normal"/>
    <w:autoRedefine/>
    <w:uiPriority w:val="39"/>
    <w:unhideWhenUsed/>
    <w:locked/>
    <w:rsid w:val="0015654E"/>
    <w:pPr>
      <w:spacing w:after="100" w:line="278" w:lineRule="auto"/>
      <w:ind w:left="1680"/>
    </w:pPr>
    <w:rPr>
      <w:rFonts w:asciiTheme="minorHAnsi" w:eastAsiaTheme="minorEastAsia" w:hAnsiTheme="minorHAnsi" w:cstheme="minorBidi"/>
      <w:kern w:val="2"/>
      <w:sz w:val="24"/>
      <w:szCs w:val="24"/>
    </w:rPr>
  </w:style>
  <w:style w:type="paragraph" w:styleId="TOC9">
    <w:name w:val="toc 9"/>
    <w:basedOn w:val="Normal"/>
    <w:next w:val="Normal"/>
    <w:autoRedefine/>
    <w:uiPriority w:val="39"/>
    <w:unhideWhenUsed/>
    <w:locked/>
    <w:rsid w:val="0015654E"/>
    <w:pPr>
      <w:spacing w:after="100" w:line="278" w:lineRule="auto"/>
      <w:ind w:left="1920"/>
    </w:pPr>
    <w:rPr>
      <w:rFonts w:asciiTheme="minorHAnsi" w:eastAsiaTheme="minorEastAsia" w:hAnsiTheme="minorHAnsi" w:cstheme="minorBidi"/>
      <w:kern w:val="2"/>
      <w:sz w:val="24"/>
      <w:szCs w:val="24"/>
    </w:rPr>
  </w:style>
  <w:style w:type="paragraph" w:styleId="TOCHeading">
    <w:name w:val="TOC Heading"/>
    <w:basedOn w:val="Heading1"/>
    <w:next w:val="Normal"/>
    <w:uiPriority w:val="39"/>
    <w:unhideWhenUsed/>
    <w:qFormat/>
    <w:rsid w:val="001B142C"/>
    <w:pPr>
      <w:keepNext/>
      <w:keepLines/>
      <w:numPr>
        <w:numId w:val="0"/>
      </w:numPr>
      <w:spacing w:before="240" w:line="259" w:lineRule="auto"/>
      <w:contextualSpacing w:val="0"/>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359357">
      <w:bodyDiv w:val="1"/>
      <w:marLeft w:val="0"/>
      <w:marRight w:val="0"/>
      <w:marTop w:val="0"/>
      <w:marBottom w:val="0"/>
      <w:divBdr>
        <w:top w:val="none" w:sz="0" w:space="0" w:color="auto"/>
        <w:left w:val="none" w:sz="0" w:space="0" w:color="auto"/>
        <w:bottom w:val="none" w:sz="0" w:space="0" w:color="auto"/>
        <w:right w:val="none" w:sz="0" w:space="0" w:color="auto"/>
      </w:divBdr>
      <w:divsChild>
        <w:div w:id="1905489055">
          <w:marLeft w:val="0"/>
          <w:marRight w:val="0"/>
          <w:marTop w:val="0"/>
          <w:marBottom w:val="0"/>
          <w:divBdr>
            <w:top w:val="none" w:sz="0" w:space="0" w:color="3D3D3D"/>
            <w:left w:val="none" w:sz="0" w:space="0" w:color="3D3D3D"/>
            <w:bottom w:val="none" w:sz="0" w:space="0" w:color="3D3D3D"/>
            <w:right w:val="none" w:sz="0" w:space="0" w:color="3D3D3D"/>
          </w:divBdr>
          <w:divsChild>
            <w:div w:id="1169294952">
              <w:marLeft w:val="0"/>
              <w:marRight w:val="0"/>
              <w:marTop w:val="0"/>
              <w:marBottom w:val="0"/>
              <w:divBdr>
                <w:top w:val="none" w:sz="0" w:space="0" w:color="3D3D3D"/>
                <w:left w:val="none" w:sz="0" w:space="0" w:color="3D3D3D"/>
                <w:bottom w:val="none" w:sz="0" w:space="0" w:color="3D3D3D"/>
                <w:right w:val="none" w:sz="0" w:space="0" w:color="3D3D3D"/>
              </w:divBdr>
              <w:divsChild>
                <w:div w:id="1244073303">
                  <w:marLeft w:val="0"/>
                  <w:marRight w:val="0"/>
                  <w:marTop w:val="0"/>
                  <w:marBottom w:val="0"/>
                  <w:divBdr>
                    <w:top w:val="none" w:sz="0" w:space="0" w:color="3D3D3D"/>
                    <w:left w:val="none" w:sz="0" w:space="0" w:color="3D3D3D"/>
                    <w:bottom w:val="none" w:sz="0" w:space="0" w:color="3D3D3D"/>
                    <w:right w:val="none" w:sz="0" w:space="0" w:color="3D3D3D"/>
                  </w:divBdr>
                </w:div>
              </w:divsChild>
            </w:div>
            <w:div w:id="715816316">
              <w:marLeft w:val="0"/>
              <w:marRight w:val="0"/>
              <w:marTop w:val="218"/>
              <w:marBottom w:val="0"/>
              <w:divBdr>
                <w:top w:val="none" w:sz="0" w:space="0" w:color="3D3D3D"/>
                <w:left w:val="none" w:sz="0" w:space="0" w:color="3D3D3D"/>
                <w:bottom w:val="none" w:sz="0" w:space="0" w:color="3D3D3D"/>
                <w:right w:val="none" w:sz="0" w:space="0" w:color="3D3D3D"/>
              </w:divBdr>
              <w:divsChild>
                <w:div w:id="1470249489">
                  <w:marLeft w:val="0"/>
                  <w:marRight w:val="0"/>
                  <w:marTop w:val="0"/>
                  <w:marBottom w:val="0"/>
                  <w:divBdr>
                    <w:top w:val="none" w:sz="0" w:space="0" w:color="3D3D3D"/>
                    <w:left w:val="none" w:sz="0" w:space="0" w:color="3D3D3D"/>
                    <w:bottom w:val="none" w:sz="0" w:space="0" w:color="3D3D3D"/>
                    <w:right w:val="none" w:sz="0" w:space="0" w:color="3D3D3D"/>
                  </w:divBdr>
                </w:div>
              </w:divsChild>
            </w:div>
            <w:div w:id="98948284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65314808">
      <w:bodyDiv w:val="1"/>
      <w:marLeft w:val="0"/>
      <w:marRight w:val="0"/>
      <w:marTop w:val="0"/>
      <w:marBottom w:val="0"/>
      <w:divBdr>
        <w:top w:val="none" w:sz="0" w:space="0" w:color="auto"/>
        <w:left w:val="none" w:sz="0" w:space="0" w:color="auto"/>
        <w:bottom w:val="none" w:sz="0" w:space="0" w:color="auto"/>
        <w:right w:val="none" w:sz="0" w:space="0" w:color="auto"/>
      </w:divBdr>
      <w:divsChild>
        <w:div w:id="502623347">
          <w:marLeft w:val="0"/>
          <w:marRight w:val="0"/>
          <w:marTop w:val="0"/>
          <w:marBottom w:val="0"/>
          <w:divBdr>
            <w:top w:val="none" w:sz="0" w:space="0" w:color="3D3D3D"/>
            <w:left w:val="none" w:sz="0" w:space="0" w:color="3D3D3D"/>
            <w:bottom w:val="none" w:sz="0" w:space="0" w:color="3D3D3D"/>
            <w:right w:val="none" w:sz="0" w:space="0" w:color="3D3D3D"/>
          </w:divBdr>
          <w:divsChild>
            <w:div w:id="153997658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26165842">
      <w:bodyDiv w:val="1"/>
      <w:marLeft w:val="0"/>
      <w:marRight w:val="0"/>
      <w:marTop w:val="0"/>
      <w:marBottom w:val="0"/>
      <w:divBdr>
        <w:top w:val="none" w:sz="0" w:space="0" w:color="auto"/>
        <w:left w:val="none" w:sz="0" w:space="0" w:color="auto"/>
        <w:bottom w:val="none" w:sz="0" w:space="0" w:color="auto"/>
        <w:right w:val="none" w:sz="0" w:space="0" w:color="auto"/>
      </w:divBdr>
      <w:divsChild>
        <w:div w:id="1486896187">
          <w:marLeft w:val="0"/>
          <w:marRight w:val="0"/>
          <w:marTop w:val="0"/>
          <w:marBottom w:val="0"/>
          <w:divBdr>
            <w:top w:val="none" w:sz="0" w:space="0" w:color="3D3D3D"/>
            <w:left w:val="none" w:sz="0" w:space="0" w:color="3D3D3D"/>
            <w:bottom w:val="none" w:sz="0" w:space="0" w:color="3D3D3D"/>
            <w:right w:val="none" w:sz="0" w:space="0" w:color="3D3D3D"/>
          </w:divBdr>
          <w:divsChild>
            <w:div w:id="203520156">
              <w:marLeft w:val="0"/>
              <w:marRight w:val="0"/>
              <w:marTop w:val="0"/>
              <w:marBottom w:val="0"/>
              <w:divBdr>
                <w:top w:val="none" w:sz="0" w:space="0" w:color="3D3D3D"/>
                <w:left w:val="none" w:sz="0" w:space="0" w:color="3D3D3D"/>
                <w:bottom w:val="none" w:sz="0" w:space="0" w:color="3D3D3D"/>
                <w:right w:val="none" w:sz="0" w:space="0" w:color="3D3D3D"/>
              </w:divBdr>
              <w:divsChild>
                <w:div w:id="1555002870">
                  <w:marLeft w:val="0"/>
                  <w:marRight w:val="0"/>
                  <w:marTop w:val="0"/>
                  <w:marBottom w:val="0"/>
                  <w:divBdr>
                    <w:top w:val="none" w:sz="0" w:space="0" w:color="3D3D3D"/>
                    <w:left w:val="none" w:sz="0" w:space="0" w:color="3D3D3D"/>
                    <w:bottom w:val="none" w:sz="0" w:space="0" w:color="3D3D3D"/>
                    <w:right w:val="none" w:sz="0" w:space="0" w:color="3D3D3D"/>
                  </w:divBdr>
                </w:div>
              </w:divsChild>
            </w:div>
            <w:div w:id="1680038902">
              <w:marLeft w:val="0"/>
              <w:marRight w:val="0"/>
              <w:marTop w:val="218"/>
              <w:marBottom w:val="0"/>
              <w:divBdr>
                <w:top w:val="none" w:sz="0" w:space="0" w:color="3D3D3D"/>
                <w:left w:val="none" w:sz="0" w:space="0" w:color="3D3D3D"/>
                <w:bottom w:val="none" w:sz="0" w:space="0" w:color="3D3D3D"/>
                <w:right w:val="none" w:sz="0" w:space="0" w:color="3D3D3D"/>
              </w:divBdr>
              <w:divsChild>
                <w:div w:id="906845123">
                  <w:marLeft w:val="0"/>
                  <w:marRight w:val="0"/>
                  <w:marTop w:val="0"/>
                  <w:marBottom w:val="0"/>
                  <w:divBdr>
                    <w:top w:val="none" w:sz="0" w:space="0" w:color="3D3D3D"/>
                    <w:left w:val="none" w:sz="0" w:space="0" w:color="3D3D3D"/>
                    <w:bottom w:val="none" w:sz="0" w:space="0" w:color="3D3D3D"/>
                    <w:right w:val="none" w:sz="0" w:space="0" w:color="3D3D3D"/>
                  </w:divBdr>
                </w:div>
              </w:divsChild>
            </w:div>
            <w:div w:id="16759572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99577313">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activity xmlns="1dd9b365-2dee-445a-8029-dd3730e20ec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3C23B7A315D434A8072106EED37CA6B" ma:contentTypeVersion="17" ma:contentTypeDescription="Create a new document." ma:contentTypeScope="" ma:versionID="f7c2f9501d8168c0d2f4bc7d55b9f18c">
  <xsd:schema xmlns:xsd="http://www.w3.org/2001/XMLSchema" xmlns:xs="http://www.w3.org/2001/XMLSchema" xmlns:p="http://schemas.microsoft.com/office/2006/metadata/properties" xmlns:ns3="047c0153-4877-46d5-b392-4dc4097c5831" xmlns:ns4="1dd9b365-2dee-445a-8029-dd3730e20ecb" targetNamespace="http://schemas.microsoft.com/office/2006/metadata/properties" ma:root="true" ma:fieldsID="d40d3a8626058ccabfd7a6d59a409447" ns3:_="" ns4:_="">
    <xsd:import namespace="047c0153-4877-46d5-b392-4dc4097c5831"/>
    <xsd:import namespace="1dd9b365-2dee-445a-8029-dd3730e20ec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_activity" minOccurs="0"/>
                <xsd:element ref="ns4:MediaLengthInSeconds"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7c0153-4877-46d5-b392-4dc4097c583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d9b365-2dee-445a-8029-dd3730e20ec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1471ED-1C91-448F-8BAB-4C7FCECA17E3}">
  <ds:schemaRefs>
    <ds:schemaRef ds:uri="http://schemas.microsoft.com/sharepoint/v3/contenttype/forms"/>
  </ds:schemaRefs>
</ds:datastoreItem>
</file>

<file path=customXml/itemProps2.xml><?xml version="1.0" encoding="utf-8"?>
<ds:datastoreItem xmlns:ds="http://schemas.openxmlformats.org/officeDocument/2006/customXml" ds:itemID="{C763DCA6-987A-4FC1-8582-A121C195533A}">
  <ds:schemaRefs>
    <ds:schemaRef ds:uri="http://schemas.openxmlformats.org/officeDocument/2006/bibliography"/>
  </ds:schemaRefs>
</ds:datastoreItem>
</file>

<file path=customXml/itemProps3.xml><?xml version="1.0" encoding="utf-8"?>
<ds:datastoreItem xmlns:ds="http://schemas.openxmlformats.org/officeDocument/2006/customXml" ds:itemID="{867B9C21-0563-48D9-9BDE-F91725F1E6BF}">
  <ds:schemaRefs>
    <ds:schemaRef ds:uri="http://schemas.microsoft.com/office/2006/metadata/properties"/>
    <ds:schemaRef ds:uri="http://schemas.microsoft.com/office/infopath/2007/PartnerControls"/>
    <ds:schemaRef ds:uri="1dd9b365-2dee-445a-8029-dd3730e20ecb"/>
  </ds:schemaRefs>
</ds:datastoreItem>
</file>

<file path=customXml/itemProps4.xml><?xml version="1.0" encoding="utf-8"?>
<ds:datastoreItem xmlns:ds="http://schemas.openxmlformats.org/officeDocument/2006/customXml" ds:itemID="{AAA9437E-77D7-4F06-A879-EDD267678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7c0153-4877-46d5-b392-4dc4097c5831"/>
    <ds:schemaRef ds:uri="1dd9b365-2dee-445a-8029-dd3730e20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2206</Words>
  <Characters>10792</Characters>
  <Application>Microsoft Office Word</Application>
  <DocSecurity>4</DocSecurity>
  <Lines>234</Lines>
  <Paragraphs>75</Paragraphs>
  <ScaleCrop>false</ScaleCrop>
  <HeadingPairs>
    <vt:vector size="2" baseType="variant">
      <vt:variant>
        <vt:lpstr>Title</vt:lpstr>
      </vt:variant>
      <vt:variant>
        <vt:i4>1</vt:i4>
      </vt:variant>
    </vt:vector>
  </HeadingPairs>
  <TitlesOfParts>
    <vt:vector size="1" baseType="lpstr">
      <vt:lpstr/>
    </vt:vector>
  </TitlesOfParts>
  <Company>UNC-CH School of Government</Company>
  <LinksUpToDate>false</LinksUpToDate>
  <CharactersWithSpaces>12923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Smith</dc:creator>
  <cp:keywords/>
  <dc:description/>
  <cp:lastModifiedBy>Denning, Shea R.</cp:lastModifiedBy>
  <cp:revision>2</cp:revision>
  <cp:lastPrinted>2023-12-08T17:25:00Z</cp:lastPrinted>
  <dcterms:created xsi:type="dcterms:W3CDTF">2026-02-23T20:53:00Z</dcterms:created>
  <dcterms:modified xsi:type="dcterms:W3CDTF">2026-02-23T20:53:00Z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0x01010083C23B7A315D434A8072106EED37CA6B</vt:lpwstr>
  </property>
</Properties>
</file>