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83EE" w14:textId="77777777" w:rsidR="0089405B" w:rsidRPr="00F33D10" w:rsidRDefault="00DB36DF" w:rsidP="009C09BC">
      <w:pPr>
        <w:spacing w:after="0" w:line="240" w:lineRule="auto"/>
        <w:jc w:val="center"/>
        <w:rPr>
          <w:rFonts w:ascii="Arial" w:hAnsi="Arial" w:cs="Arial"/>
          <w:b/>
          <w:sz w:val="24"/>
          <w:szCs w:val="24"/>
        </w:rPr>
      </w:pPr>
      <w:r>
        <w:rPr>
          <w:noProof/>
        </w:rPr>
        <w:drawing>
          <wp:anchor distT="0" distB="0" distL="114300" distR="114300" simplePos="0" relativeHeight="251659264" behindDoc="0" locked="0" layoutInCell="1" allowOverlap="0" wp14:anchorId="0E707CBC" wp14:editId="0C6DE808">
            <wp:simplePos x="0" y="0"/>
            <wp:positionH relativeFrom="page">
              <wp:posOffset>152400</wp:posOffset>
            </wp:positionH>
            <wp:positionV relativeFrom="page">
              <wp:posOffset>152400</wp:posOffset>
            </wp:positionV>
            <wp:extent cx="7772400" cy="3429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 SOG  NC Superior Court Judges' Benchbook title page masthead UNC BLACK.pdf"/>
                    <pic:cNvPicPr/>
                  </pic:nvPicPr>
                  <pic:blipFill>
                    <a:blip r:embed="rId8">
                      <a:extLst>
                        <a:ext uri="{28A0092B-C50C-407E-A947-70E740481C1C}">
                          <a14:useLocalDpi xmlns:a14="http://schemas.microsoft.com/office/drawing/2010/main" val="0"/>
                        </a:ext>
                      </a:extLst>
                    </a:blip>
                    <a:stretch>
                      <a:fillRect/>
                    </a:stretch>
                  </pic:blipFill>
                  <pic:spPr>
                    <a:xfrm>
                      <a:off x="0" y="0"/>
                      <a:ext cx="777240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89405B" w:rsidRPr="00F33D10">
        <w:rPr>
          <w:rFonts w:ascii="Arial" w:hAnsi="Arial" w:cs="Arial"/>
          <w:b/>
          <w:sz w:val="24"/>
          <w:szCs w:val="24"/>
        </w:rPr>
        <w:t>INEFFECTIVE ASSISTANCE OF COUNSEL CLAIMS</w:t>
      </w:r>
    </w:p>
    <w:p w14:paraId="5C09FE60" w14:textId="77777777" w:rsidR="0089405B" w:rsidRPr="00F33D10" w:rsidRDefault="0089405B" w:rsidP="009C09BC">
      <w:pPr>
        <w:spacing w:after="0" w:line="240" w:lineRule="auto"/>
        <w:jc w:val="both"/>
        <w:rPr>
          <w:rFonts w:ascii="Arial" w:hAnsi="Arial" w:cs="Arial"/>
        </w:rPr>
      </w:pPr>
    </w:p>
    <w:p w14:paraId="06709C91" w14:textId="77777777" w:rsidR="0089405B" w:rsidRDefault="0089405B" w:rsidP="009C09BC">
      <w:pPr>
        <w:spacing w:after="0" w:line="240" w:lineRule="auto"/>
        <w:jc w:val="both"/>
        <w:rPr>
          <w:rFonts w:ascii="Arial" w:hAnsi="Arial" w:cs="Arial"/>
        </w:rPr>
      </w:pPr>
      <w:r w:rsidRPr="00F33D10">
        <w:rPr>
          <w:rFonts w:ascii="Arial" w:hAnsi="Arial" w:cs="Arial"/>
        </w:rPr>
        <w:t>Jessica Smith, UNC School of Government (July 2010)</w:t>
      </w:r>
    </w:p>
    <w:p w14:paraId="3605DE7F" w14:textId="072A7FDA" w:rsidR="005866D4" w:rsidRPr="00F33D10" w:rsidRDefault="005866D4" w:rsidP="009C09BC">
      <w:pPr>
        <w:spacing w:after="0" w:line="240" w:lineRule="auto"/>
        <w:jc w:val="both"/>
        <w:rPr>
          <w:rFonts w:ascii="Arial" w:hAnsi="Arial" w:cs="Arial"/>
        </w:rPr>
      </w:pPr>
      <w:r>
        <w:rPr>
          <w:rFonts w:ascii="Arial" w:hAnsi="Arial" w:cs="Arial"/>
        </w:rPr>
        <w:t>Updated by Christopher Tyner (May 2023)</w:t>
      </w:r>
    </w:p>
    <w:p w14:paraId="29332B89" w14:textId="77777777" w:rsidR="0089405B" w:rsidRDefault="0089405B" w:rsidP="009C09BC">
      <w:pPr>
        <w:spacing w:after="0" w:line="240" w:lineRule="auto"/>
        <w:jc w:val="both"/>
        <w:rPr>
          <w:rFonts w:ascii="Arial" w:hAnsi="Arial" w:cs="Arial"/>
        </w:rPr>
      </w:pPr>
    </w:p>
    <w:p w14:paraId="2B19FDD6" w14:textId="77777777" w:rsidR="00DB2854" w:rsidRPr="00DB2854" w:rsidRDefault="00DB2854" w:rsidP="009C09BC">
      <w:pPr>
        <w:spacing w:after="0" w:line="240" w:lineRule="auto"/>
        <w:jc w:val="both"/>
        <w:rPr>
          <w:rFonts w:ascii="Arial" w:hAnsi="Arial" w:cs="Arial"/>
          <w:b/>
        </w:rPr>
      </w:pPr>
      <w:r>
        <w:rPr>
          <w:rFonts w:ascii="Arial" w:hAnsi="Arial" w:cs="Arial"/>
          <w:b/>
        </w:rPr>
        <w:t>Contents</w:t>
      </w:r>
    </w:p>
    <w:p w14:paraId="1F2BD722" w14:textId="25DBB5B7" w:rsidR="00DB2854" w:rsidRDefault="005C3391">
      <w:pPr>
        <w:pStyle w:val="TOC1"/>
        <w:tabs>
          <w:tab w:val="left" w:pos="720"/>
          <w:tab w:val="right" w:leader="dot" w:pos="9350"/>
        </w:tabs>
        <w:rPr>
          <w:rFonts w:asciiTheme="minorHAnsi" w:eastAsiaTheme="minorEastAsia" w:hAnsiTheme="minorHAnsi" w:cstheme="minorBidi"/>
          <w:noProof/>
        </w:rPr>
      </w:pPr>
      <w:r>
        <w:rPr>
          <w:rFonts w:cs="Arial"/>
        </w:rPr>
        <w:fldChar w:fldCharType="begin"/>
      </w:r>
      <w:r w:rsidR="00DB2854">
        <w:rPr>
          <w:rFonts w:cs="Arial"/>
        </w:rPr>
        <w:instrText xml:space="preserve"> TOC \o "1-2" \h \z \u </w:instrText>
      </w:r>
      <w:r>
        <w:rPr>
          <w:rFonts w:cs="Arial"/>
        </w:rPr>
        <w:fldChar w:fldCharType="separate"/>
      </w:r>
      <w:hyperlink w:anchor="_Toc402959265" w:history="1">
        <w:r w:rsidR="00DB2854" w:rsidRPr="004B2767">
          <w:rPr>
            <w:rStyle w:val="Hyperlink"/>
            <w:noProof/>
          </w:rPr>
          <w:t>I.</w:t>
        </w:r>
        <w:r w:rsidR="00DB2854">
          <w:rPr>
            <w:rFonts w:asciiTheme="minorHAnsi" w:eastAsiaTheme="minorEastAsia" w:hAnsiTheme="minorHAnsi" w:cstheme="minorBidi"/>
            <w:noProof/>
          </w:rPr>
          <w:tab/>
        </w:r>
        <w:r w:rsidR="00DB2854" w:rsidRPr="004B2767">
          <w:rPr>
            <w:rStyle w:val="Hyperlink"/>
            <w:noProof/>
          </w:rPr>
          <w:t>Introduction.</w:t>
        </w:r>
        <w:r w:rsidR="00DB2854">
          <w:rPr>
            <w:noProof/>
            <w:webHidden/>
          </w:rPr>
          <w:tab/>
        </w:r>
        <w:r>
          <w:rPr>
            <w:noProof/>
            <w:webHidden/>
          </w:rPr>
          <w:fldChar w:fldCharType="begin"/>
        </w:r>
        <w:r w:rsidR="00DB2854">
          <w:rPr>
            <w:noProof/>
            <w:webHidden/>
          </w:rPr>
          <w:instrText xml:space="preserve"> PAGEREF _Toc402959265 \h </w:instrText>
        </w:r>
        <w:r>
          <w:rPr>
            <w:noProof/>
            <w:webHidden/>
          </w:rPr>
        </w:r>
        <w:r>
          <w:rPr>
            <w:noProof/>
            <w:webHidden/>
          </w:rPr>
          <w:fldChar w:fldCharType="separate"/>
        </w:r>
        <w:r w:rsidR="00872C61">
          <w:rPr>
            <w:noProof/>
            <w:webHidden/>
          </w:rPr>
          <w:t>1</w:t>
        </w:r>
        <w:r>
          <w:rPr>
            <w:noProof/>
            <w:webHidden/>
          </w:rPr>
          <w:fldChar w:fldCharType="end"/>
        </w:r>
      </w:hyperlink>
    </w:p>
    <w:p w14:paraId="6FE8E567" w14:textId="6BF7BE77" w:rsidR="00DB2854" w:rsidRDefault="004F4CA0">
      <w:pPr>
        <w:pStyle w:val="TOC1"/>
        <w:tabs>
          <w:tab w:val="left" w:pos="720"/>
          <w:tab w:val="right" w:leader="dot" w:pos="9350"/>
        </w:tabs>
        <w:rPr>
          <w:rFonts w:asciiTheme="minorHAnsi" w:eastAsiaTheme="minorEastAsia" w:hAnsiTheme="minorHAnsi" w:cstheme="minorBidi"/>
          <w:noProof/>
        </w:rPr>
      </w:pPr>
      <w:hyperlink w:anchor="_Toc402959266" w:history="1">
        <w:r w:rsidR="00DB2854" w:rsidRPr="004B2767">
          <w:rPr>
            <w:rStyle w:val="Hyperlink"/>
            <w:noProof/>
          </w:rPr>
          <w:t>II.</w:t>
        </w:r>
        <w:r w:rsidR="00DB2854">
          <w:rPr>
            <w:rFonts w:asciiTheme="minorHAnsi" w:eastAsiaTheme="minorEastAsia" w:hAnsiTheme="minorHAnsi" w:cstheme="minorBidi"/>
            <w:noProof/>
          </w:rPr>
          <w:tab/>
        </w:r>
        <w:r w:rsidR="00DB2854" w:rsidRPr="004B2767">
          <w:rPr>
            <w:rStyle w:val="Hyperlink"/>
            <w:noProof/>
          </w:rPr>
          <w:t>Types of IAC Claims</w:t>
        </w:r>
        <w:r w:rsidR="00DB2854">
          <w:rPr>
            <w:noProof/>
            <w:webHidden/>
          </w:rPr>
          <w:tab/>
        </w:r>
        <w:r w:rsidR="005C3391">
          <w:rPr>
            <w:noProof/>
            <w:webHidden/>
          </w:rPr>
          <w:fldChar w:fldCharType="begin"/>
        </w:r>
        <w:r w:rsidR="00DB2854">
          <w:rPr>
            <w:noProof/>
            <w:webHidden/>
          </w:rPr>
          <w:instrText xml:space="preserve"> PAGEREF _Toc402959266 \h </w:instrText>
        </w:r>
        <w:r w:rsidR="005C3391">
          <w:rPr>
            <w:noProof/>
            <w:webHidden/>
          </w:rPr>
        </w:r>
        <w:r w:rsidR="005C3391">
          <w:rPr>
            <w:noProof/>
            <w:webHidden/>
          </w:rPr>
          <w:fldChar w:fldCharType="separate"/>
        </w:r>
        <w:r w:rsidR="00872C61">
          <w:rPr>
            <w:noProof/>
            <w:webHidden/>
          </w:rPr>
          <w:t>1</w:t>
        </w:r>
        <w:r w:rsidR="005C3391">
          <w:rPr>
            <w:noProof/>
            <w:webHidden/>
          </w:rPr>
          <w:fldChar w:fldCharType="end"/>
        </w:r>
      </w:hyperlink>
    </w:p>
    <w:p w14:paraId="54B58725" w14:textId="6490D427" w:rsidR="00DB2854" w:rsidRDefault="004F4CA0">
      <w:pPr>
        <w:pStyle w:val="TOC2"/>
        <w:tabs>
          <w:tab w:val="left" w:pos="1320"/>
          <w:tab w:val="right" w:leader="dot" w:pos="9350"/>
        </w:tabs>
        <w:rPr>
          <w:rFonts w:asciiTheme="minorHAnsi" w:eastAsiaTheme="minorEastAsia" w:hAnsiTheme="minorHAnsi" w:cstheme="minorBidi"/>
          <w:noProof/>
        </w:rPr>
      </w:pPr>
      <w:hyperlink w:anchor="_Toc402959267" w:history="1">
        <w:r w:rsidR="00DB2854" w:rsidRPr="004B2767">
          <w:rPr>
            <w:rStyle w:val="Hyperlink"/>
            <w:noProof/>
          </w:rPr>
          <w:t>A.</w:t>
        </w:r>
        <w:r w:rsidR="00DB2854">
          <w:rPr>
            <w:rFonts w:asciiTheme="minorHAnsi" w:eastAsiaTheme="minorEastAsia" w:hAnsiTheme="minorHAnsi" w:cstheme="minorBidi"/>
            <w:noProof/>
          </w:rPr>
          <w:tab/>
        </w:r>
        <w:r w:rsidR="00DB2854" w:rsidRPr="004B2767">
          <w:rPr>
            <w:rStyle w:val="Hyperlink"/>
            <w:noProof/>
          </w:rPr>
          <w:t>Attorney Error Claims</w:t>
        </w:r>
        <w:r w:rsidR="00DB2854">
          <w:rPr>
            <w:noProof/>
            <w:webHidden/>
          </w:rPr>
          <w:tab/>
        </w:r>
        <w:r w:rsidR="005C3391">
          <w:rPr>
            <w:noProof/>
            <w:webHidden/>
          </w:rPr>
          <w:fldChar w:fldCharType="begin"/>
        </w:r>
        <w:r w:rsidR="00DB2854">
          <w:rPr>
            <w:noProof/>
            <w:webHidden/>
          </w:rPr>
          <w:instrText xml:space="preserve"> PAGEREF _Toc402959267 \h </w:instrText>
        </w:r>
        <w:r w:rsidR="005C3391">
          <w:rPr>
            <w:noProof/>
            <w:webHidden/>
          </w:rPr>
        </w:r>
        <w:r w:rsidR="005C3391">
          <w:rPr>
            <w:noProof/>
            <w:webHidden/>
          </w:rPr>
          <w:fldChar w:fldCharType="separate"/>
        </w:r>
        <w:r w:rsidR="00872C61">
          <w:rPr>
            <w:noProof/>
            <w:webHidden/>
          </w:rPr>
          <w:t>1</w:t>
        </w:r>
        <w:r w:rsidR="005C3391">
          <w:rPr>
            <w:noProof/>
            <w:webHidden/>
          </w:rPr>
          <w:fldChar w:fldCharType="end"/>
        </w:r>
      </w:hyperlink>
    </w:p>
    <w:p w14:paraId="530E717A" w14:textId="24F408AF" w:rsidR="00DB2854" w:rsidRDefault="004F4CA0">
      <w:pPr>
        <w:pStyle w:val="TOC2"/>
        <w:tabs>
          <w:tab w:val="left" w:pos="1320"/>
          <w:tab w:val="right" w:leader="dot" w:pos="9350"/>
        </w:tabs>
        <w:rPr>
          <w:rFonts w:asciiTheme="minorHAnsi" w:eastAsiaTheme="minorEastAsia" w:hAnsiTheme="minorHAnsi" w:cstheme="minorBidi"/>
          <w:noProof/>
        </w:rPr>
      </w:pPr>
      <w:hyperlink w:anchor="_Toc402959268" w:history="1">
        <w:r w:rsidR="00DB2854" w:rsidRPr="004B2767">
          <w:rPr>
            <w:rStyle w:val="Hyperlink"/>
            <w:noProof/>
          </w:rPr>
          <w:t>B.</w:t>
        </w:r>
        <w:r w:rsidR="00DB2854">
          <w:rPr>
            <w:rFonts w:asciiTheme="minorHAnsi" w:eastAsiaTheme="minorEastAsia" w:hAnsiTheme="minorHAnsi" w:cstheme="minorBidi"/>
            <w:noProof/>
          </w:rPr>
          <w:tab/>
        </w:r>
        <w:r w:rsidR="00DB2854" w:rsidRPr="004B2767">
          <w:rPr>
            <w:rStyle w:val="Hyperlink"/>
            <w:noProof/>
          </w:rPr>
          <w:t>Denial of Counsel Claims</w:t>
        </w:r>
        <w:r w:rsidR="00DB2854">
          <w:rPr>
            <w:noProof/>
            <w:webHidden/>
          </w:rPr>
          <w:tab/>
        </w:r>
        <w:r w:rsidR="005C3391">
          <w:rPr>
            <w:noProof/>
            <w:webHidden/>
          </w:rPr>
          <w:fldChar w:fldCharType="begin"/>
        </w:r>
        <w:r w:rsidR="00DB2854">
          <w:rPr>
            <w:noProof/>
            <w:webHidden/>
          </w:rPr>
          <w:instrText xml:space="preserve"> PAGEREF _Toc402959268 \h </w:instrText>
        </w:r>
        <w:r w:rsidR="005C3391">
          <w:rPr>
            <w:noProof/>
            <w:webHidden/>
          </w:rPr>
        </w:r>
        <w:r w:rsidR="005C3391">
          <w:rPr>
            <w:noProof/>
            <w:webHidden/>
          </w:rPr>
          <w:fldChar w:fldCharType="separate"/>
        </w:r>
        <w:r w:rsidR="00872C61">
          <w:rPr>
            <w:noProof/>
            <w:webHidden/>
          </w:rPr>
          <w:t>4</w:t>
        </w:r>
        <w:r w:rsidR="005C3391">
          <w:rPr>
            <w:noProof/>
            <w:webHidden/>
          </w:rPr>
          <w:fldChar w:fldCharType="end"/>
        </w:r>
      </w:hyperlink>
    </w:p>
    <w:p w14:paraId="6C2449C2" w14:textId="56916FBB" w:rsidR="00DB2854" w:rsidRDefault="004F4CA0">
      <w:pPr>
        <w:pStyle w:val="TOC2"/>
        <w:tabs>
          <w:tab w:val="left" w:pos="1320"/>
          <w:tab w:val="right" w:leader="dot" w:pos="9350"/>
        </w:tabs>
        <w:rPr>
          <w:rFonts w:asciiTheme="minorHAnsi" w:eastAsiaTheme="minorEastAsia" w:hAnsiTheme="minorHAnsi" w:cstheme="minorBidi"/>
          <w:noProof/>
        </w:rPr>
      </w:pPr>
      <w:hyperlink w:anchor="_Toc402959269" w:history="1">
        <w:r w:rsidR="00DB2854" w:rsidRPr="004B2767">
          <w:rPr>
            <w:rStyle w:val="Hyperlink"/>
            <w:noProof/>
          </w:rPr>
          <w:t>C.</w:t>
        </w:r>
        <w:r w:rsidR="00DB2854">
          <w:rPr>
            <w:rFonts w:asciiTheme="minorHAnsi" w:eastAsiaTheme="minorEastAsia" w:hAnsiTheme="minorHAnsi" w:cstheme="minorBidi"/>
            <w:noProof/>
          </w:rPr>
          <w:tab/>
        </w:r>
        <w:r w:rsidR="00DB2854" w:rsidRPr="004B2767">
          <w:rPr>
            <w:rStyle w:val="Hyperlink"/>
            <w:noProof/>
          </w:rPr>
          <w:t>Conflict of Interest Claims</w:t>
        </w:r>
        <w:r w:rsidR="00DB2854">
          <w:rPr>
            <w:noProof/>
            <w:webHidden/>
          </w:rPr>
          <w:tab/>
        </w:r>
        <w:r w:rsidR="005C3391">
          <w:rPr>
            <w:noProof/>
            <w:webHidden/>
          </w:rPr>
          <w:fldChar w:fldCharType="begin"/>
        </w:r>
        <w:r w:rsidR="00DB2854">
          <w:rPr>
            <w:noProof/>
            <w:webHidden/>
          </w:rPr>
          <w:instrText xml:space="preserve"> PAGEREF _Toc402959269 \h </w:instrText>
        </w:r>
        <w:r w:rsidR="005C3391">
          <w:rPr>
            <w:noProof/>
            <w:webHidden/>
          </w:rPr>
        </w:r>
        <w:r w:rsidR="005C3391">
          <w:rPr>
            <w:noProof/>
            <w:webHidden/>
          </w:rPr>
          <w:fldChar w:fldCharType="separate"/>
        </w:r>
        <w:r w:rsidR="00872C61">
          <w:rPr>
            <w:noProof/>
            <w:webHidden/>
          </w:rPr>
          <w:t>5</w:t>
        </w:r>
        <w:r w:rsidR="005C3391">
          <w:rPr>
            <w:noProof/>
            <w:webHidden/>
          </w:rPr>
          <w:fldChar w:fldCharType="end"/>
        </w:r>
      </w:hyperlink>
    </w:p>
    <w:p w14:paraId="472E7BA8" w14:textId="0D89D940" w:rsidR="00DB2854" w:rsidRDefault="004F4CA0">
      <w:pPr>
        <w:pStyle w:val="TOC2"/>
        <w:tabs>
          <w:tab w:val="left" w:pos="1320"/>
          <w:tab w:val="right" w:leader="dot" w:pos="9350"/>
        </w:tabs>
        <w:rPr>
          <w:rFonts w:asciiTheme="minorHAnsi" w:eastAsiaTheme="minorEastAsia" w:hAnsiTheme="minorHAnsi" w:cstheme="minorBidi"/>
          <w:noProof/>
        </w:rPr>
      </w:pPr>
      <w:hyperlink w:anchor="_Toc402959270" w:history="1">
        <w:r w:rsidR="00DB2854" w:rsidRPr="004B2767">
          <w:rPr>
            <w:rStyle w:val="Hyperlink"/>
            <w:noProof/>
          </w:rPr>
          <w:t>D.</w:t>
        </w:r>
        <w:r w:rsidR="00DB2854">
          <w:rPr>
            <w:rFonts w:asciiTheme="minorHAnsi" w:eastAsiaTheme="minorEastAsia" w:hAnsiTheme="minorHAnsi" w:cstheme="minorBidi"/>
            <w:noProof/>
          </w:rPr>
          <w:tab/>
        </w:r>
        <w:r w:rsidR="00DB2854" w:rsidRPr="004B2767">
          <w:rPr>
            <w:rStyle w:val="Hyperlink"/>
            <w:noProof/>
          </w:rPr>
          <w:t>Harbison Claims</w:t>
        </w:r>
        <w:r w:rsidR="00DB2854">
          <w:rPr>
            <w:noProof/>
            <w:webHidden/>
          </w:rPr>
          <w:tab/>
        </w:r>
        <w:r w:rsidR="005C3391">
          <w:rPr>
            <w:noProof/>
            <w:webHidden/>
          </w:rPr>
          <w:fldChar w:fldCharType="begin"/>
        </w:r>
        <w:r w:rsidR="00DB2854">
          <w:rPr>
            <w:noProof/>
            <w:webHidden/>
          </w:rPr>
          <w:instrText xml:space="preserve"> PAGEREF _Toc402959270 \h </w:instrText>
        </w:r>
        <w:r w:rsidR="005C3391">
          <w:rPr>
            <w:noProof/>
            <w:webHidden/>
          </w:rPr>
        </w:r>
        <w:r w:rsidR="005C3391">
          <w:rPr>
            <w:noProof/>
            <w:webHidden/>
          </w:rPr>
          <w:fldChar w:fldCharType="separate"/>
        </w:r>
        <w:r w:rsidR="00872C61">
          <w:rPr>
            <w:noProof/>
            <w:webHidden/>
          </w:rPr>
          <w:t>7</w:t>
        </w:r>
        <w:r w:rsidR="005C3391">
          <w:rPr>
            <w:noProof/>
            <w:webHidden/>
          </w:rPr>
          <w:fldChar w:fldCharType="end"/>
        </w:r>
      </w:hyperlink>
    </w:p>
    <w:p w14:paraId="5D4AB053" w14:textId="77777777" w:rsidR="00E54159" w:rsidRDefault="005C3391" w:rsidP="009C09BC">
      <w:pPr>
        <w:spacing w:after="0" w:line="240" w:lineRule="auto"/>
        <w:jc w:val="both"/>
        <w:rPr>
          <w:rFonts w:ascii="Arial" w:hAnsi="Arial" w:cs="Arial"/>
        </w:rPr>
      </w:pPr>
      <w:r>
        <w:rPr>
          <w:rFonts w:ascii="Arial" w:hAnsi="Arial" w:cs="Arial"/>
        </w:rPr>
        <w:fldChar w:fldCharType="end"/>
      </w:r>
    </w:p>
    <w:p w14:paraId="155B4742" w14:textId="77777777" w:rsidR="00E54159" w:rsidRPr="00F33D10" w:rsidRDefault="00E54159" w:rsidP="009C09BC">
      <w:pPr>
        <w:spacing w:after="0" w:line="240" w:lineRule="auto"/>
        <w:jc w:val="both"/>
        <w:rPr>
          <w:rFonts w:ascii="Arial" w:hAnsi="Arial" w:cs="Arial"/>
        </w:rPr>
      </w:pPr>
    </w:p>
    <w:p w14:paraId="69C9600D" w14:textId="77777777" w:rsidR="0089405B" w:rsidRPr="00F33D10" w:rsidRDefault="0089405B" w:rsidP="00EC21B7">
      <w:pPr>
        <w:spacing w:after="0" w:line="240" w:lineRule="auto"/>
        <w:rPr>
          <w:rFonts w:ascii="Arial" w:hAnsi="Arial" w:cs="Arial"/>
        </w:rPr>
      </w:pPr>
      <w:r w:rsidRPr="00F33D10">
        <w:rPr>
          <w:rFonts w:ascii="Arial" w:hAnsi="Arial" w:cs="Arial"/>
        </w:rPr>
        <w:t xml:space="preserve">For more information on </w:t>
      </w:r>
      <w:proofErr w:type="gramStart"/>
      <w:r w:rsidRPr="00F33D10">
        <w:rPr>
          <w:rFonts w:ascii="Arial" w:hAnsi="Arial" w:cs="Arial"/>
        </w:rPr>
        <w:t>all of</w:t>
      </w:r>
      <w:proofErr w:type="gramEnd"/>
      <w:r w:rsidRPr="00F33D10">
        <w:rPr>
          <w:rFonts w:ascii="Arial" w:hAnsi="Arial" w:cs="Arial"/>
        </w:rPr>
        <w:t xml:space="preserve"> the topics covered in this outline, see Jessica Smith, </w:t>
      </w:r>
      <w:r w:rsidRPr="00F33D10">
        <w:rPr>
          <w:rFonts w:ascii="Arial" w:hAnsi="Arial" w:cs="Arial"/>
          <w:smallCaps/>
        </w:rPr>
        <w:t xml:space="preserve">Ineffective Assistance of Counsel Claims in North Carolina in Criminal Cases </w:t>
      </w:r>
      <w:r w:rsidRPr="00F33D10">
        <w:rPr>
          <w:rFonts w:ascii="Arial" w:hAnsi="Arial" w:cs="Arial"/>
        </w:rPr>
        <w:t>(UNC School of Government 2003) (provided to all superior court judges by the NC AOC).</w:t>
      </w:r>
    </w:p>
    <w:p w14:paraId="6D76D1F3" w14:textId="77777777" w:rsidR="0089405B" w:rsidRPr="00F33D10" w:rsidRDefault="0089405B" w:rsidP="00EC21B7">
      <w:pPr>
        <w:spacing w:after="0" w:line="240" w:lineRule="auto"/>
        <w:rPr>
          <w:rFonts w:ascii="Arial" w:hAnsi="Arial" w:cs="Arial"/>
        </w:rPr>
      </w:pPr>
    </w:p>
    <w:p w14:paraId="02614174" w14:textId="77777777" w:rsidR="00E54159" w:rsidRPr="00525E34" w:rsidRDefault="0089405B" w:rsidP="00EC21B7">
      <w:pPr>
        <w:pStyle w:val="Heading1"/>
        <w:jc w:val="left"/>
        <w:rPr>
          <w:b w:val="0"/>
          <w:vanish/>
          <w:specVanish/>
        </w:rPr>
      </w:pPr>
      <w:bookmarkStart w:id="0" w:name="_Toc402959265"/>
      <w:r w:rsidRPr="00525E34">
        <w:rPr>
          <w:rStyle w:val="Heading1Char"/>
          <w:b/>
        </w:rPr>
        <w:t>Introduction</w:t>
      </w:r>
      <w:r w:rsidRPr="00525E34">
        <w:rPr>
          <w:b w:val="0"/>
        </w:rPr>
        <w:t>.</w:t>
      </w:r>
      <w:bookmarkEnd w:id="0"/>
    </w:p>
    <w:p w14:paraId="6818C173" w14:textId="77777777" w:rsidR="0089405B" w:rsidRPr="00525E34" w:rsidRDefault="0089405B" w:rsidP="00EC21B7">
      <w:pPr>
        <w:pStyle w:val="ListParagraph"/>
        <w:spacing w:after="0" w:line="240" w:lineRule="auto"/>
        <w:rPr>
          <w:rFonts w:ascii="Arial" w:hAnsi="Arial" w:cs="Arial"/>
        </w:rPr>
      </w:pPr>
      <w:r w:rsidRPr="00525E34">
        <w:rPr>
          <w:rFonts w:ascii="Arial" w:hAnsi="Arial" w:cs="Arial"/>
          <w:b/>
        </w:rPr>
        <w:t xml:space="preserve"> </w:t>
      </w:r>
      <w:r w:rsidRPr="00525E34">
        <w:rPr>
          <w:rFonts w:ascii="Arial" w:hAnsi="Arial" w:cs="Arial"/>
        </w:rPr>
        <w:t xml:space="preserve">The Sixth Amendment to the federal Constitution guarantees that, in all criminal prosecutions, the accused has the right to assistance of counsel. This guarantee has been interpreted to include the right to effective assistance of counsel. Ineffective assistance of counsel (IAC) claims </w:t>
      </w:r>
      <w:proofErr w:type="gramStart"/>
      <w:r w:rsidRPr="00525E34">
        <w:rPr>
          <w:rFonts w:ascii="Arial" w:hAnsi="Arial" w:cs="Arial"/>
        </w:rPr>
        <w:t>are</w:t>
      </w:r>
      <w:proofErr w:type="gramEnd"/>
      <w:r w:rsidRPr="00525E34">
        <w:rPr>
          <w:rFonts w:ascii="Arial" w:hAnsi="Arial" w:cs="Arial"/>
        </w:rPr>
        <w:t xml:space="preserve"> commonly asserted in post-conviction motions for appropriate relief. This outline describes the different types of IAC claims and the standards that apply to them.</w:t>
      </w:r>
    </w:p>
    <w:p w14:paraId="18C24F78" w14:textId="77777777" w:rsidR="0089405B" w:rsidRPr="00F33D10" w:rsidRDefault="0089405B" w:rsidP="00EC21B7">
      <w:pPr>
        <w:pStyle w:val="ListParagraph"/>
        <w:spacing w:after="0" w:line="240" w:lineRule="auto"/>
        <w:ind w:left="360"/>
        <w:rPr>
          <w:rFonts w:ascii="Arial" w:hAnsi="Arial" w:cs="Arial"/>
          <w:b/>
        </w:rPr>
      </w:pPr>
    </w:p>
    <w:p w14:paraId="716F6E48" w14:textId="77777777" w:rsidR="0089405B" w:rsidRPr="00F33D10" w:rsidRDefault="00DB2854" w:rsidP="00EC21B7">
      <w:pPr>
        <w:pStyle w:val="Heading1"/>
        <w:jc w:val="left"/>
      </w:pPr>
      <w:bookmarkStart w:id="1" w:name="_Toc402959266"/>
      <w:r>
        <w:t>Types of IAC C</w:t>
      </w:r>
      <w:r w:rsidR="0089405B" w:rsidRPr="00F33D10">
        <w:t>laims</w:t>
      </w:r>
      <w:bookmarkEnd w:id="1"/>
    </w:p>
    <w:p w14:paraId="5AE6A921" w14:textId="77777777" w:rsidR="0089405B" w:rsidRPr="00E54159" w:rsidRDefault="0089405B" w:rsidP="00EC21B7">
      <w:pPr>
        <w:pStyle w:val="Heading2"/>
        <w:jc w:val="left"/>
      </w:pPr>
      <w:bookmarkStart w:id="2" w:name="_Toc402959267"/>
      <w:r w:rsidRPr="00E54159">
        <w:t xml:space="preserve">Attorney </w:t>
      </w:r>
      <w:r w:rsidR="00DB2854">
        <w:t>Error C</w:t>
      </w:r>
      <w:r w:rsidRPr="00E54159">
        <w:t>laims</w:t>
      </w:r>
      <w:bookmarkEnd w:id="2"/>
    </w:p>
    <w:p w14:paraId="5DF34342" w14:textId="360FC796" w:rsidR="0089405B" w:rsidRPr="00F33D10" w:rsidRDefault="0089405B" w:rsidP="00EC21B7">
      <w:pPr>
        <w:pStyle w:val="ListParagraph"/>
        <w:numPr>
          <w:ilvl w:val="0"/>
          <w:numId w:val="3"/>
        </w:numPr>
        <w:spacing w:after="0" w:line="240" w:lineRule="auto"/>
        <w:rPr>
          <w:rFonts w:ascii="Arial" w:hAnsi="Arial" w:cs="Arial"/>
          <w:b/>
        </w:rPr>
      </w:pPr>
      <w:r w:rsidRPr="00F33D10">
        <w:rPr>
          <w:rFonts w:ascii="Arial" w:hAnsi="Arial" w:cs="Arial"/>
          <w:b/>
        </w:rPr>
        <w:t xml:space="preserve">Defined. </w:t>
      </w:r>
      <w:r w:rsidRPr="00F33D10">
        <w:rPr>
          <w:rFonts w:ascii="Arial" w:hAnsi="Arial" w:cs="Arial"/>
        </w:rPr>
        <w:t xml:space="preserve">Attorney error claims, sometimes called </w:t>
      </w:r>
      <w:r w:rsidRPr="00F33D10">
        <w:rPr>
          <w:rFonts w:ascii="Arial" w:hAnsi="Arial" w:cs="Arial"/>
          <w:i/>
        </w:rPr>
        <w:t>Strickland</w:t>
      </w:r>
      <w:r w:rsidRPr="00F33D10">
        <w:rPr>
          <w:rFonts w:ascii="Arial" w:hAnsi="Arial" w:cs="Arial"/>
        </w:rPr>
        <w:t xml:space="preserve"> claims, are the most common types of IAC claims. Essentially these claims allege that counsel handled the case improperly. For example, </w:t>
      </w:r>
      <w:r w:rsidR="00F62C5F">
        <w:rPr>
          <w:rFonts w:ascii="Arial" w:hAnsi="Arial" w:cs="Arial"/>
        </w:rPr>
        <w:t>a</w:t>
      </w:r>
      <w:r w:rsidRPr="00F33D10">
        <w:rPr>
          <w:rFonts w:ascii="Arial" w:hAnsi="Arial" w:cs="Arial"/>
        </w:rPr>
        <w:t xml:space="preserve"> defendant might allege that </w:t>
      </w:r>
      <w:r w:rsidR="00F62C5F">
        <w:rPr>
          <w:rFonts w:ascii="Arial" w:hAnsi="Arial" w:cs="Arial"/>
        </w:rPr>
        <w:t xml:space="preserve">trial </w:t>
      </w:r>
      <w:r w:rsidRPr="00F33D10">
        <w:rPr>
          <w:rFonts w:ascii="Arial" w:hAnsi="Arial" w:cs="Arial"/>
        </w:rPr>
        <w:t xml:space="preserve">counsel failed to object to evidence, request a jury instruction, or call a witness. </w:t>
      </w:r>
      <w:r w:rsidR="00D34D99">
        <w:rPr>
          <w:rFonts w:ascii="Arial" w:hAnsi="Arial" w:cs="Arial"/>
        </w:rPr>
        <w:t>A defendant who has plead guilty</w:t>
      </w:r>
      <w:r w:rsidR="002D0CF7">
        <w:rPr>
          <w:rFonts w:ascii="Arial" w:hAnsi="Arial" w:cs="Arial"/>
        </w:rPr>
        <w:t xml:space="preserve">, who </w:t>
      </w:r>
      <w:r w:rsidR="00BF0A43">
        <w:rPr>
          <w:rFonts w:ascii="Arial" w:hAnsi="Arial" w:cs="Arial"/>
        </w:rPr>
        <w:t>lost an opportunity to</w:t>
      </w:r>
      <w:r w:rsidR="002D0CF7">
        <w:rPr>
          <w:rFonts w:ascii="Arial" w:hAnsi="Arial" w:cs="Arial"/>
        </w:rPr>
        <w:t xml:space="preserve"> plead guilty,</w:t>
      </w:r>
      <w:r w:rsidR="00D34D99">
        <w:rPr>
          <w:rFonts w:ascii="Arial" w:hAnsi="Arial" w:cs="Arial"/>
        </w:rPr>
        <w:t xml:space="preserve"> or who has rejected a plea offer might allege that his or her counsel was ineffective in connection with the plea process. </w:t>
      </w:r>
      <w:r w:rsidR="00F62C5F">
        <w:rPr>
          <w:rFonts w:ascii="Arial" w:hAnsi="Arial" w:cs="Arial"/>
        </w:rPr>
        <w:t>A</w:t>
      </w:r>
      <w:r w:rsidR="00D34D99">
        <w:rPr>
          <w:rFonts w:ascii="Arial" w:hAnsi="Arial" w:cs="Arial"/>
        </w:rPr>
        <w:t>dditionally, a</w:t>
      </w:r>
      <w:r w:rsidR="00F62C5F">
        <w:rPr>
          <w:rFonts w:ascii="Arial" w:hAnsi="Arial" w:cs="Arial"/>
        </w:rPr>
        <w:t xml:space="preserve"> </w:t>
      </w:r>
      <w:r w:rsidR="00F62C5F">
        <w:rPr>
          <w:rFonts w:ascii="Arial" w:hAnsi="Arial" w:cs="Arial"/>
          <w:i/>
          <w:iCs/>
        </w:rPr>
        <w:t xml:space="preserve">Strickland </w:t>
      </w:r>
      <w:r w:rsidR="00F62C5F">
        <w:rPr>
          <w:rFonts w:ascii="Arial" w:hAnsi="Arial" w:cs="Arial"/>
        </w:rPr>
        <w:t>claim may</w:t>
      </w:r>
      <w:r w:rsidR="001D7D88">
        <w:rPr>
          <w:rFonts w:ascii="Arial" w:hAnsi="Arial" w:cs="Arial"/>
        </w:rPr>
        <w:t xml:space="preserve"> </w:t>
      </w:r>
      <w:r w:rsidR="00F62C5F">
        <w:rPr>
          <w:rFonts w:ascii="Arial" w:hAnsi="Arial" w:cs="Arial"/>
        </w:rPr>
        <w:t>assert deficient performance of appellate counsel</w:t>
      </w:r>
      <w:r w:rsidR="002E62A9">
        <w:rPr>
          <w:rFonts w:ascii="Arial" w:hAnsi="Arial" w:cs="Arial"/>
        </w:rPr>
        <w:t>.</w:t>
      </w:r>
    </w:p>
    <w:p w14:paraId="586826DF" w14:textId="19728B0B" w:rsidR="0089405B" w:rsidRPr="00F33D10" w:rsidRDefault="0089405B" w:rsidP="00EC21B7">
      <w:pPr>
        <w:pStyle w:val="ListParagraph"/>
        <w:numPr>
          <w:ilvl w:val="0"/>
          <w:numId w:val="3"/>
        </w:numPr>
        <w:spacing w:after="0" w:line="240" w:lineRule="auto"/>
        <w:rPr>
          <w:rFonts w:ascii="Arial" w:hAnsi="Arial" w:cs="Arial"/>
          <w:b/>
        </w:rPr>
      </w:pPr>
      <w:r w:rsidRPr="00F33D10">
        <w:rPr>
          <w:rFonts w:ascii="Arial" w:hAnsi="Arial" w:cs="Arial"/>
          <w:b/>
        </w:rPr>
        <w:t>Standard.</w:t>
      </w:r>
      <w:r w:rsidRPr="00F33D10">
        <w:rPr>
          <w:rFonts w:ascii="Arial" w:hAnsi="Arial" w:cs="Arial"/>
        </w:rPr>
        <w:t xml:space="preserve"> In </w:t>
      </w:r>
      <w:r w:rsidRPr="00F33D10">
        <w:rPr>
          <w:rFonts w:ascii="Arial" w:hAnsi="Arial" w:cs="Arial"/>
          <w:i/>
        </w:rPr>
        <w:t>Strickland v. Washington</w:t>
      </w:r>
      <w:r w:rsidRPr="00F33D10">
        <w:rPr>
          <w:rFonts w:ascii="Arial" w:hAnsi="Arial" w:cs="Arial"/>
        </w:rPr>
        <w:t>, 466 U.S. 668 (1984), the United States Supreme Court set forth a two-part test for evaluating attorney error IAC claims. Under the test, a defendant asserting this type of claim must show that: (1) counsel</w:t>
      </w:r>
      <w:r w:rsidR="006251C2">
        <w:rPr>
          <w:rFonts w:ascii="Arial" w:hAnsi="Arial" w:cs="Arial"/>
        </w:rPr>
        <w:t>’</w:t>
      </w:r>
      <w:r w:rsidRPr="00F33D10">
        <w:rPr>
          <w:rFonts w:ascii="Arial" w:hAnsi="Arial" w:cs="Arial"/>
        </w:rPr>
        <w:t>s performance was deficient and (2) the deficient performance prejudiced the defense.</w:t>
      </w:r>
      <w:r w:rsidR="0054079A">
        <w:rPr>
          <w:rFonts w:ascii="Arial" w:hAnsi="Arial" w:cs="Arial"/>
        </w:rPr>
        <w:t xml:space="preserve"> </w:t>
      </w:r>
      <w:r w:rsidR="0054079A">
        <w:rPr>
          <w:rFonts w:ascii="Arial" w:hAnsi="Arial" w:cs="Arial"/>
          <w:i/>
          <w:iCs/>
        </w:rPr>
        <w:t xml:space="preserve">See also </w:t>
      </w:r>
      <w:r w:rsidR="0054079A">
        <w:rPr>
          <w:rFonts w:ascii="Arial" w:hAnsi="Arial" w:cs="Arial"/>
        </w:rPr>
        <w:t xml:space="preserve">State v. Braswell, 312 N.C. 553, 562-63 (1985) (expressly adopting the </w:t>
      </w:r>
      <w:r w:rsidR="0054079A">
        <w:rPr>
          <w:rFonts w:ascii="Arial" w:hAnsi="Arial" w:cs="Arial"/>
          <w:i/>
          <w:iCs/>
        </w:rPr>
        <w:t xml:space="preserve">Strickland </w:t>
      </w:r>
      <w:r w:rsidR="0054079A">
        <w:rPr>
          <w:rFonts w:ascii="Arial" w:hAnsi="Arial" w:cs="Arial"/>
        </w:rPr>
        <w:t>analysis as applicable to IAC claims under the North Carolina Constitution).</w:t>
      </w:r>
      <w:r w:rsidR="00B262F6">
        <w:rPr>
          <w:rFonts w:ascii="Arial" w:hAnsi="Arial" w:cs="Arial"/>
        </w:rPr>
        <w:t xml:space="preserve"> </w:t>
      </w:r>
      <w:r w:rsidR="00403906">
        <w:rPr>
          <w:rFonts w:ascii="Arial" w:hAnsi="Arial" w:cs="Arial"/>
        </w:rPr>
        <w:t>I</w:t>
      </w:r>
      <w:r w:rsidR="00B262F6">
        <w:rPr>
          <w:rFonts w:ascii="Arial" w:hAnsi="Arial" w:cs="Arial"/>
        </w:rPr>
        <w:t xml:space="preserve">n </w:t>
      </w:r>
      <w:r w:rsidR="00B262F6">
        <w:rPr>
          <w:rFonts w:ascii="Arial" w:hAnsi="Arial" w:cs="Arial"/>
          <w:i/>
          <w:iCs/>
        </w:rPr>
        <w:t xml:space="preserve">Strickland </w:t>
      </w:r>
      <w:r w:rsidR="00B262F6">
        <w:rPr>
          <w:rFonts w:ascii="Arial" w:hAnsi="Arial" w:cs="Arial"/>
        </w:rPr>
        <w:t>the Court explained that it is not necessary to address both prongs of the analysis if a defendant’s showing on any one prong is insufficient and noted</w:t>
      </w:r>
      <w:r w:rsidR="00403906">
        <w:rPr>
          <w:rFonts w:ascii="Arial" w:hAnsi="Arial" w:cs="Arial"/>
        </w:rPr>
        <w:t xml:space="preserve"> as a matter of practicality</w:t>
      </w:r>
      <w:r w:rsidR="00B262F6">
        <w:rPr>
          <w:rFonts w:ascii="Arial" w:hAnsi="Arial" w:cs="Arial"/>
        </w:rPr>
        <w:t xml:space="preserve"> that it often</w:t>
      </w:r>
      <w:r w:rsidR="00403906">
        <w:rPr>
          <w:rFonts w:ascii="Arial" w:hAnsi="Arial" w:cs="Arial"/>
        </w:rPr>
        <w:t xml:space="preserve"> may</w:t>
      </w:r>
      <w:r w:rsidR="00B262F6">
        <w:rPr>
          <w:rFonts w:ascii="Arial" w:hAnsi="Arial" w:cs="Arial"/>
        </w:rPr>
        <w:t xml:space="preserve"> be “easier [for a trial court] to dispose of an ineffectiveness claim on the ground of </w:t>
      </w:r>
      <w:r w:rsidR="00403906">
        <w:rPr>
          <w:rFonts w:ascii="Arial" w:hAnsi="Arial" w:cs="Arial"/>
        </w:rPr>
        <w:t>lack of sufficient prejudice.” 466 U.S. at 697.</w:t>
      </w:r>
    </w:p>
    <w:p w14:paraId="2EA8286E" w14:textId="36EF57E6" w:rsidR="0089405B" w:rsidRPr="00F33D10" w:rsidRDefault="00DB2854" w:rsidP="00EC21B7">
      <w:pPr>
        <w:pStyle w:val="ListParagraph"/>
        <w:numPr>
          <w:ilvl w:val="0"/>
          <w:numId w:val="4"/>
        </w:numPr>
        <w:spacing w:after="0" w:line="240" w:lineRule="auto"/>
        <w:rPr>
          <w:rFonts w:ascii="Arial" w:hAnsi="Arial" w:cs="Arial"/>
          <w:b/>
        </w:rPr>
      </w:pPr>
      <w:r>
        <w:rPr>
          <w:rFonts w:ascii="Arial" w:hAnsi="Arial" w:cs="Arial"/>
          <w:b/>
        </w:rPr>
        <w:t>Deficient P</w:t>
      </w:r>
      <w:r w:rsidR="0089405B" w:rsidRPr="00F33D10">
        <w:rPr>
          <w:rFonts w:ascii="Arial" w:hAnsi="Arial" w:cs="Arial"/>
          <w:b/>
        </w:rPr>
        <w:t xml:space="preserve">erformance. </w:t>
      </w:r>
      <w:r w:rsidR="0089405B" w:rsidRPr="00F33D10">
        <w:rPr>
          <w:rFonts w:ascii="Arial" w:hAnsi="Arial" w:cs="Arial"/>
        </w:rPr>
        <w:t>Deficient performance means that counsel</w:t>
      </w:r>
      <w:r w:rsidR="006251C2">
        <w:rPr>
          <w:rFonts w:ascii="Arial" w:hAnsi="Arial" w:cs="Arial"/>
        </w:rPr>
        <w:t>’</w:t>
      </w:r>
      <w:r w:rsidR="0089405B" w:rsidRPr="00F33D10">
        <w:rPr>
          <w:rFonts w:ascii="Arial" w:hAnsi="Arial" w:cs="Arial"/>
        </w:rPr>
        <w:t xml:space="preserve">s conduct fell below an objective standard of </w:t>
      </w:r>
      <w:r w:rsidR="0089405B" w:rsidRPr="00F33D10">
        <w:rPr>
          <w:rFonts w:ascii="Arial" w:hAnsi="Arial" w:cs="Arial"/>
        </w:rPr>
        <w:lastRenderedPageBreak/>
        <w:t>reasonableness. Objectively reasonable performance is performance that is reasonable under prevailing professional norms. Reasonableness is evaluated on a case-by-case basis</w:t>
      </w:r>
      <w:r w:rsidR="001A21F0">
        <w:rPr>
          <w:rFonts w:ascii="Arial" w:hAnsi="Arial" w:cs="Arial"/>
        </w:rPr>
        <w:t>, taking account of the totality of the circumstances</w:t>
      </w:r>
      <w:r w:rsidR="006251C2">
        <w:rPr>
          <w:rFonts w:ascii="Arial" w:hAnsi="Arial" w:cs="Arial"/>
        </w:rPr>
        <w:t>.</w:t>
      </w:r>
      <w:r w:rsidR="001A21F0">
        <w:rPr>
          <w:rFonts w:ascii="Arial" w:hAnsi="Arial" w:cs="Arial"/>
        </w:rPr>
        <w:t xml:space="preserve"> </w:t>
      </w:r>
      <w:r w:rsidR="001A21F0">
        <w:rPr>
          <w:rFonts w:ascii="Arial" w:hAnsi="Arial" w:cs="Arial"/>
          <w:i/>
          <w:iCs/>
        </w:rPr>
        <w:t>Strickland</w:t>
      </w:r>
      <w:r w:rsidR="001A21F0">
        <w:rPr>
          <w:rFonts w:ascii="Arial" w:hAnsi="Arial" w:cs="Arial"/>
        </w:rPr>
        <w:t>, 466 U.S. at 688.</w:t>
      </w:r>
      <w:r w:rsidR="006251C2">
        <w:rPr>
          <w:rFonts w:ascii="Arial" w:hAnsi="Arial" w:cs="Arial"/>
        </w:rPr>
        <w:t xml:space="preserve"> </w:t>
      </w:r>
      <w:r w:rsidR="00B262F6">
        <w:rPr>
          <w:rFonts w:ascii="Arial" w:hAnsi="Arial" w:cs="Arial"/>
        </w:rPr>
        <w:t>Note, however</w:t>
      </w:r>
      <w:r w:rsidR="006251C2">
        <w:rPr>
          <w:rFonts w:ascii="Arial" w:hAnsi="Arial" w:cs="Arial"/>
        </w:rPr>
        <w:t xml:space="preserve">, </w:t>
      </w:r>
      <w:r w:rsidR="00B262F6">
        <w:rPr>
          <w:rFonts w:ascii="Arial" w:hAnsi="Arial" w:cs="Arial"/>
        </w:rPr>
        <w:t xml:space="preserve">that </w:t>
      </w:r>
      <w:r w:rsidR="006251C2">
        <w:rPr>
          <w:rFonts w:ascii="Arial" w:hAnsi="Arial" w:cs="Arial"/>
        </w:rPr>
        <w:t xml:space="preserve">the United States Supreme Court has held that it is categorically unreasonable for an attorney to disregard specific instructions from a defendant to file a notice of appeal, even where the defendant waives his or her right to appeal </w:t>
      </w:r>
      <w:r w:rsidR="0074780F">
        <w:rPr>
          <w:rFonts w:ascii="Arial" w:hAnsi="Arial" w:cs="Arial"/>
        </w:rPr>
        <w:t>as part of</w:t>
      </w:r>
      <w:r w:rsidR="006251C2">
        <w:rPr>
          <w:rFonts w:ascii="Arial" w:hAnsi="Arial" w:cs="Arial"/>
        </w:rPr>
        <w:t xml:space="preserve"> a plea agreement</w:t>
      </w:r>
      <w:r w:rsidR="007F3648">
        <w:rPr>
          <w:rFonts w:ascii="Arial" w:hAnsi="Arial" w:cs="Arial"/>
        </w:rPr>
        <w:t>,</w:t>
      </w:r>
      <w:r w:rsidR="006251C2">
        <w:rPr>
          <w:rFonts w:ascii="Arial" w:hAnsi="Arial" w:cs="Arial"/>
        </w:rPr>
        <w:t xml:space="preserve"> </w:t>
      </w:r>
      <w:r w:rsidR="0074780F">
        <w:rPr>
          <w:rFonts w:ascii="Arial" w:hAnsi="Arial" w:cs="Arial"/>
          <w:i/>
          <w:iCs/>
        </w:rPr>
        <w:t xml:space="preserve">see </w:t>
      </w:r>
      <w:r w:rsidR="006251C2" w:rsidRPr="007C0926">
        <w:rPr>
          <w:rFonts w:ascii="Arial" w:hAnsi="Arial" w:cs="Arial"/>
        </w:rPr>
        <w:t>Garza v. Idaho</w:t>
      </w:r>
      <w:r w:rsidR="006251C2">
        <w:rPr>
          <w:rFonts w:ascii="Arial" w:hAnsi="Arial" w:cs="Arial"/>
        </w:rPr>
        <w:t>, 139 S. Ct. 738 (2019)</w:t>
      </w:r>
      <w:r w:rsidR="007F3648">
        <w:rPr>
          <w:rFonts w:ascii="Arial" w:hAnsi="Arial" w:cs="Arial"/>
        </w:rPr>
        <w:t xml:space="preserve">, and has held that it is categorically unreasonable to give incorrect advice about the deportation consequences of a </w:t>
      </w:r>
      <w:r w:rsidR="0074780F">
        <w:rPr>
          <w:rFonts w:ascii="Arial" w:hAnsi="Arial" w:cs="Arial"/>
        </w:rPr>
        <w:t xml:space="preserve">criminal </w:t>
      </w:r>
      <w:r w:rsidR="007F3648">
        <w:rPr>
          <w:rFonts w:ascii="Arial" w:hAnsi="Arial" w:cs="Arial"/>
        </w:rPr>
        <w:t>conviction when the law on the issue is “truly clear.” Padilla v. Kentucky, 559 U.S. 356, 366-69 (2010).</w:t>
      </w:r>
    </w:p>
    <w:p w14:paraId="0423E1A0" w14:textId="08DCF447" w:rsidR="0089405B" w:rsidRPr="00F33D10" w:rsidRDefault="00DB2854" w:rsidP="00EC21B7">
      <w:pPr>
        <w:pStyle w:val="ListParagraph"/>
        <w:numPr>
          <w:ilvl w:val="0"/>
          <w:numId w:val="5"/>
        </w:numPr>
        <w:spacing w:after="0" w:line="240" w:lineRule="auto"/>
        <w:ind w:left="3240" w:hanging="360"/>
        <w:rPr>
          <w:rFonts w:ascii="Arial" w:hAnsi="Arial" w:cs="Arial"/>
          <w:b/>
        </w:rPr>
      </w:pPr>
      <w:r>
        <w:rPr>
          <w:rFonts w:ascii="Arial" w:hAnsi="Arial" w:cs="Arial"/>
          <w:b/>
        </w:rPr>
        <w:t>Evidence of Deficient P</w:t>
      </w:r>
      <w:r w:rsidR="0089405B" w:rsidRPr="00F33D10">
        <w:rPr>
          <w:rFonts w:ascii="Arial" w:hAnsi="Arial" w:cs="Arial"/>
          <w:b/>
        </w:rPr>
        <w:t xml:space="preserve">erformance. </w:t>
      </w:r>
      <w:r w:rsidR="0089405B" w:rsidRPr="00F33D10">
        <w:rPr>
          <w:rFonts w:ascii="Arial" w:hAnsi="Arial" w:cs="Arial"/>
        </w:rPr>
        <w:t>Evidence that a defendant might present in order to establish deficient performance, could include, for example, testimony by other attorneys regarding prevailing professional norms or current standards of attorney conduct, issued by the North Carolina Indigent Defense Services</w:t>
      </w:r>
      <w:r w:rsidR="00A069C3">
        <w:rPr>
          <w:rFonts w:ascii="Arial" w:hAnsi="Arial" w:cs="Arial"/>
        </w:rPr>
        <w:t>, the North Carolina State Bar,</w:t>
      </w:r>
      <w:r w:rsidR="0089405B" w:rsidRPr="00F33D10">
        <w:rPr>
          <w:rFonts w:ascii="Arial" w:hAnsi="Arial" w:cs="Arial"/>
        </w:rPr>
        <w:t xml:space="preserve"> or the American Bar Association.</w:t>
      </w:r>
      <w:r w:rsidR="00A069C3">
        <w:rPr>
          <w:rFonts w:ascii="Arial" w:hAnsi="Arial" w:cs="Arial"/>
        </w:rPr>
        <w:t xml:space="preserve"> Missouri v. Frye, 566 U.S. 134 (2012) (codified standards of professional practice are not sole determinants of the standard for counsel’s performance but can be “important guides”).</w:t>
      </w:r>
    </w:p>
    <w:p w14:paraId="6F936C8C" w14:textId="1458F8FB" w:rsidR="0089405B" w:rsidRPr="00F33D10" w:rsidRDefault="00DB2854" w:rsidP="00EC21B7">
      <w:pPr>
        <w:pStyle w:val="ListParagraph"/>
        <w:numPr>
          <w:ilvl w:val="0"/>
          <w:numId w:val="5"/>
        </w:numPr>
        <w:spacing w:after="0" w:line="240" w:lineRule="auto"/>
        <w:ind w:left="3240" w:hanging="360"/>
        <w:rPr>
          <w:rFonts w:ascii="Arial" w:hAnsi="Arial" w:cs="Arial"/>
          <w:b/>
        </w:rPr>
      </w:pPr>
      <w:r>
        <w:rPr>
          <w:rFonts w:ascii="Arial" w:hAnsi="Arial" w:cs="Arial"/>
          <w:b/>
        </w:rPr>
        <w:t>Not a Hindsight D</w:t>
      </w:r>
      <w:r w:rsidR="0089405B" w:rsidRPr="00F33D10">
        <w:rPr>
          <w:rFonts w:ascii="Arial" w:hAnsi="Arial" w:cs="Arial"/>
          <w:b/>
        </w:rPr>
        <w:t>etermination.</w:t>
      </w:r>
      <w:r w:rsidR="0089405B" w:rsidRPr="00F33D10">
        <w:rPr>
          <w:rFonts w:ascii="Arial" w:hAnsi="Arial" w:cs="Arial"/>
        </w:rPr>
        <w:t xml:space="preserve"> When determining whether conduct was deficient, the judge should not engage in hindsight. Rather, the judge should consider the</w:t>
      </w:r>
      <w:r w:rsidR="00CC7342">
        <w:rPr>
          <w:rFonts w:ascii="Arial" w:hAnsi="Arial" w:cs="Arial"/>
        </w:rPr>
        <w:t xml:space="preserve"> objective reasonableness of the</w:t>
      </w:r>
      <w:r w:rsidR="0089405B" w:rsidRPr="00F33D10">
        <w:rPr>
          <w:rFonts w:ascii="Arial" w:hAnsi="Arial" w:cs="Arial"/>
        </w:rPr>
        <w:t xml:space="preserve"> conduct </w:t>
      </w:r>
      <w:proofErr w:type="gramStart"/>
      <w:r w:rsidR="00E3656E">
        <w:rPr>
          <w:rFonts w:ascii="Arial" w:hAnsi="Arial" w:cs="Arial"/>
        </w:rPr>
        <w:t>in light of</w:t>
      </w:r>
      <w:proofErr w:type="gramEnd"/>
      <w:r w:rsidR="00E3656E">
        <w:rPr>
          <w:rFonts w:ascii="Arial" w:hAnsi="Arial" w:cs="Arial"/>
        </w:rPr>
        <w:t xml:space="preserve"> the circumstances that existed at</w:t>
      </w:r>
      <w:r w:rsidR="00E3656E" w:rsidRPr="00F33D10">
        <w:rPr>
          <w:rFonts w:ascii="Arial" w:hAnsi="Arial" w:cs="Arial"/>
        </w:rPr>
        <w:t xml:space="preserve"> </w:t>
      </w:r>
      <w:r w:rsidR="0089405B" w:rsidRPr="00F33D10">
        <w:rPr>
          <w:rFonts w:ascii="Arial" w:hAnsi="Arial" w:cs="Arial"/>
        </w:rPr>
        <w:t>the time of the alleged deficient performance.</w:t>
      </w:r>
      <w:r w:rsidR="00DB6A4E">
        <w:rPr>
          <w:rFonts w:ascii="Arial" w:hAnsi="Arial" w:cs="Arial"/>
        </w:rPr>
        <w:t xml:space="preserve"> </w:t>
      </w:r>
      <w:r w:rsidR="00DB6A4E">
        <w:rPr>
          <w:rFonts w:ascii="Arial" w:hAnsi="Arial" w:cs="Arial"/>
          <w:i/>
          <w:iCs/>
        </w:rPr>
        <w:t>Strickland</w:t>
      </w:r>
      <w:r w:rsidR="00DB6A4E">
        <w:rPr>
          <w:rFonts w:ascii="Arial" w:hAnsi="Arial" w:cs="Arial"/>
        </w:rPr>
        <w:t>, 466 U.S. at 689</w:t>
      </w:r>
      <w:r w:rsidR="00275135">
        <w:rPr>
          <w:rFonts w:ascii="Arial" w:hAnsi="Arial" w:cs="Arial"/>
        </w:rPr>
        <w:t>;</w:t>
      </w:r>
      <w:r w:rsidR="00DB6A4E">
        <w:rPr>
          <w:rFonts w:ascii="Arial" w:hAnsi="Arial" w:cs="Arial"/>
        </w:rPr>
        <w:t xml:space="preserve"> Maryland v. </w:t>
      </w:r>
      <w:proofErr w:type="spellStart"/>
      <w:r w:rsidR="00DB6A4E">
        <w:rPr>
          <w:rFonts w:ascii="Arial" w:hAnsi="Arial" w:cs="Arial"/>
        </w:rPr>
        <w:t>Kulbicki</w:t>
      </w:r>
      <w:proofErr w:type="spellEnd"/>
      <w:r w:rsidR="00DB6A4E">
        <w:rPr>
          <w:rFonts w:ascii="Arial" w:hAnsi="Arial" w:cs="Arial"/>
        </w:rPr>
        <w:t xml:space="preserve">, 577 U.S. 1, 4-5 (2015) (per </w:t>
      </w:r>
      <w:proofErr w:type="spellStart"/>
      <w:r w:rsidR="00DB6A4E">
        <w:rPr>
          <w:rFonts w:ascii="Arial" w:hAnsi="Arial" w:cs="Arial"/>
        </w:rPr>
        <w:t>curiam</w:t>
      </w:r>
      <w:proofErr w:type="spellEnd"/>
      <w:r w:rsidR="00DB6A4E">
        <w:rPr>
          <w:rFonts w:ascii="Arial" w:hAnsi="Arial" w:cs="Arial"/>
        </w:rPr>
        <w:t>) (counsel was not deficient by focusing on elements of the defense not related to undermining a method of ballistics analysis that was uncontroversial at the time of trial).</w:t>
      </w:r>
    </w:p>
    <w:p w14:paraId="05B82442" w14:textId="5619E9A9" w:rsidR="0089405B" w:rsidRPr="00F33D10" w:rsidRDefault="00DB2854" w:rsidP="00EC21B7">
      <w:pPr>
        <w:pStyle w:val="ListParagraph"/>
        <w:numPr>
          <w:ilvl w:val="0"/>
          <w:numId w:val="5"/>
        </w:numPr>
        <w:spacing w:after="0" w:line="240" w:lineRule="auto"/>
        <w:ind w:left="3240" w:hanging="360"/>
        <w:rPr>
          <w:rFonts w:ascii="Arial" w:hAnsi="Arial" w:cs="Arial"/>
          <w:b/>
        </w:rPr>
      </w:pPr>
      <w:r>
        <w:rPr>
          <w:rFonts w:ascii="Arial" w:hAnsi="Arial" w:cs="Arial"/>
          <w:b/>
        </w:rPr>
        <w:t>Presumption of Reasonableness and its L</w:t>
      </w:r>
      <w:r w:rsidR="0089405B" w:rsidRPr="00F33D10">
        <w:rPr>
          <w:rFonts w:ascii="Arial" w:hAnsi="Arial" w:cs="Arial"/>
          <w:b/>
        </w:rPr>
        <w:t>imits.</w:t>
      </w:r>
      <w:r w:rsidR="0089405B" w:rsidRPr="00F33D10">
        <w:rPr>
          <w:rFonts w:ascii="Arial" w:hAnsi="Arial" w:cs="Arial"/>
        </w:rPr>
        <w:t xml:space="preserve"> Because of the difficulties inherent in evaluating the reasonableness of counsel’s conduct, the court should indulge a strong presumption that the conduct falls within the wide range of reasonable professional assistance.</w:t>
      </w:r>
      <w:r w:rsidR="00C22322">
        <w:rPr>
          <w:rFonts w:ascii="Arial" w:hAnsi="Arial" w:cs="Arial"/>
        </w:rPr>
        <w:t xml:space="preserve"> Buck v. Davis, 580 U.S. 100, 118 (2017) (“</w:t>
      </w:r>
      <w:r w:rsidR="00C22322">
        <w:rPr>
          <w:rFonts w:ascii="Arial" w:hAnsi="Arial" w:cs="Arial"/>
          <w:i/>
          <w:iCs/>
        </w:rPr>
        <w:t xml:space="preserve">Strickland’s </w:t>
      </w:r>
      <w:r w:rsidR="00C22322">
        <w:rPr>
          <w:rFonts w:ascii="Arial" w:hAnsi="Arial" w:cs="Arial"/>
        </w:rPr>
        <w:t>first prong sets a high bar. A defense lawyer navigating a criminal proceeding faces any number of choices about how best to make a client’s case. The lawyer has discharged his constitutional responsibility so long as his decisions fall within the wide range of professionally competent assistance” (internal quotation omitted)).</w:t>
      </w:r>
      <w:r w:rsidR="0089405B" w:rsidRPr="00F33D10">
        <w:rPr>
          <w:rFonts w:ascii="Arial" w:hAnsi="Arial" w:cs="Arial"/>
        </w:rPr>
        <w:t xml:space="preserve"> However, this does not mean that all strategic decisions are insulated from attack.</w:t>
      </w:r>
      <w:r w:rsidR="000306B7">
        <w:rPr>
          <w:rFonts w:ascii="Arial" w:hAnsi="Arial" w:cs="Arial"/>
        </w:rPr>
        <w:t xml:space="preserve"> </w:t>
      </w:r>
      <w:r w:rsidR="00C22322">
        <w:rPr>
          <w:rFonts w:ascii="Arial" w:hAnsi="Arial" w:cs="Arial"/>
          <w:i/>
          <w:iCs/>
        </w:rPr>
        <w:t>Id</w:t>
      </w:r>
      <w:r w:rsidR="00C22322">
        <w:rPr>
          <w:rFonts w:ascii="Arial" w:hAnsi="Arial" w:cs="Arial"/>
        </w:rPr>
        <w:t>.</w:t>
      </w:r>
      <w:r w:rsidR="00C22322" w:rsidRPr="007C0926">
        <w:rPr>
          <w:rFonts w:ascii="Arial" w:hAnsi="Arial" w:cs="Arial"/>
        </w:rPr>
        <w:t xml:space="preserve"> </w:t>
      </w:r>
      <w:r w:rsidR="00C22322">
        <w:rPr>
          <w:rFonts w:ascii="Arial" w:hAnsi="Arial" w:cs="Arial"/>
        </w:rPr>
        <w:t xml:space="preserve">at 118-19 </w:t>
      </w:r>
      <w:r w:rsidR="000306B7" w:rsidRPr="00C22322">
        <w:rPr>
          <w:rFonts w:ascii="Arial" w:hAnsi="Arial" w:cs="Arial"/>
        </w:rPr>
        <w:t>(</w:t>
      </w:r>
      <w:r w:rsidR="000306B7">
        <w:rPr>
          <w:rFonts w:ascii="Arial" w:hAnsi="Arial" w:cs="Arial"/>
        </w:rPr>
        <w:t>counsel was deficient in punishment phase of capital trial by choosing to pursue argument connecti</w:t>
      </w:r>
      <w:r w:rsidR="007A2D6F">
        <w:rPr>
          <w:rFonts w:ascii="Arial" w:hAnsi="Arial" w:cs="Arial"/>
        </w:rPr>
        <w:t>ng</w:t>
      </w:r>
      <w:r w:rsidR="000306B7">
        <w:rPr>
          <w:rFonts w:ascii="Arial" w:hAnsi="Arial" w:cs="Arial"/>
        </w:rPr>
        <w:t xml:space="preserve"> the defendant’s race </w:t>
      </w:r>
      <w:r w:rsidR="007A2D6F">
        <w:rPr>
          <w:rFonts w:ascii="Arial" w:hAnsi="Arial" w:cs="Arial"/>
        </w:rPr>
        <w:t>with</w:t>
      </w:r>
      <w:r w:rsidR="000306B7">
        <w:rPr>
          <w:rFonts w:ascii="Arial" w:hAnsi="Arial" w:cs="Arial"/>
        </w:rPr>
        <w:t xml:space="preserve"> hi</w:t>
      </w:r>
      <w:r w:rsidR="007A2D6F">
        <w:rPr>
          <w:rFonts w:ascii="Arial" w:hAnsi="Arial" w:cs="Arial"/>
        </w:rPr>
        <w:t>s liability for future dangerousness, an argument that would be “patently unconstitutional” if offered by the State</w:t>
      </w:r>
      <w:r w:rsidR="000306B7">
        <w:rPr>
          <w:rFonts w:ascii="Arial" w:hAnsi="Arial" w:cs="Arial"/>
        </w:rPr>
        <w:t>).</w:t>
      </w:r>
      <w:r w:rsidR="0089405B" w:rsidRPr="00F33D10">
        <w:rPr>
          <w:rFonts w:ascii="Arial" w:hAnsi="Arial" w:cs="Arial"/>
        </w:rPr>
        <w:t xml:space="preserve"> Although it is </w:t>
      </w:r>
      <w:r w:rsidR="0089405B" w:rsidRPr="00F33D10">
        <w:rPr>
          <w:rFonts w:ascii="Arial" w:hAnsi="Arial" w:cs="Arial"/>
        </w:rPr>
        <w:lastRenderedPageBreak/>
        <w:t>true that strategic choices made after a thorough investigation of the law and facts are virtually unchallengeable,</w:t>
      </w:r>
      <w:r w:rsidR="008A726B">
        <w:rPr>
          <w:rFonts w:ascii="Arial" w:hAnsi="Arial" w:cs="Arial"/>
        </w:rPr>
        <w:t xml:space="preserve"> </w:t>
      </w:r>
      <w:r w:rsidR="008A726B">
        <w:rPr>
          <w:rFonts w:ascii="Arial" w:hAnsi="Arial" w:cs="Arial"/>
          <w:i/>
          <w:iCs/>
        </w:rPr>
        <w:t>Strickland</w:t>
      </w:r>
      <w:r w:rsidR="008A726B">
        <w:rPr>
          <w:rFonts w:ascii="Arial" w:hAnsi="Arial" w:cs="Arial"/>
        </w:rPr>
        <w:t>, 466 U.S. at 690,</w:t>
      </w:r>
      <w:r w:rsidR="0089405B" w:rsidRPr="00F33D10">
        <w:rPr>
          <w:rFonts w:ascii="Arial" w:hAnsi="Arial" w:cs="Arial"/>
        </w:rPr>
        <w:t xml:space="preserve"> strategic choices made after less than complete investigation are reasonable only to the extent that reasonable professional judgments support the limitations on the investigation.</w:t>
      </w:r>
      <w:r w:rsidR="00C107D1">
        <w:rPr>
          <w:rFonts w:ascii="Arial" w:hAnsi="Arial" w:cs="Arial"/>
        </w:rPr>
        <w:t xml:space="preserve"> </w:t>
      </w:r>
      <w:r w:rsidR="00C107D1">
        <w:rPr>
          <w:rFonts w:ascii="Arial" w:hAnsi="Arial" w:cs="Arial"/>
          <w:i/>
          <w:iCs/>
        </w:rPr>
        <w:t>See, e.g.</w:t>
      </w:r>
      <w:r w:rsidR="00C107D1">
        <w:rPr>
          <w:rFonts w:ascii="Arial" w:hAnsi="Arial" w:cs="Arial"/>
        </w:rPr>
        <w:t xml:space="preserve">, Andrus v. Texas, 140 S. Ct. 1875, </w:t>
      </w:r>
      <w:r w:rsidR="00FD6EAB">
        <w:rPr>
          <w:rFonts w:ascii="Arial" w:hAnsi="Arial" w:cs="Arial"/>
        </w:rPr>
        <w:t>1882-85</w:t>
      </w:r>
      <w:r w:rsidR="007345BB">
        <w:rPr>
          <w:rFonts w:ascii="Arial" w:hAnsi="Arial" w:cs="Arial"/>
        </w:rPr>
        <w:t xml:space="preserve"> (2020)</w:t>
      </w:r>
      <w:r w:rsidR="00C107D1">
        <w:rPr>
          <w:rFonts w:ascii="Arial" w:hAnsi="Arial" w:cs="Arial"/>
        </w:rPr>
        <w:t xml:space="preserve"> (</w:t>
      </w:r>
      <w:r w:rsidR="00FD6EAB">
        <w:rPr>
          <w:rFonts w:ascii="Arial" w:hAnsi="Arial" w:cs="Arial"/>
        </w:rPr>
        <w:t xml:space="preserve">counsel was deficient </w:t>
      </w:r>
      <w:r w:rsidR="00A86961">
        <w:rPr>
          <w:rFonts w:ascii="Arial" w:hAnsi="Arial" w:cs="Arial"/>
        </w:rPr>
        <w:t xml:space="preserve">in punishment phase of capital trial </w:t>
      </w:r>
      <w:r w:rsidR="00FD6EAB">
        <w:rPr>
          <w:rFonts w:ascii="Arial" w:hAnsi="Arial" w:cs="Arial"/>
        </w:rPr>
        <w:t>where he “performed virtually no investigation” of facts</w:t>
      </w:r>
      <w:r w:rsidR="00A86961">
        <w:rPr>
          <w:rFonts w:ascii="Arial" w:hAnsi="Arial" w:cs="Arial"/>
        </w:rPr>
        <w:t xml:space="preserve"> or</w:t>
      </w:r>
      <w:r w:rsidR="00FD6EAB">
        <w:rPr>
          <w:rFonts w:ascii="Arial" w:hAnsi="Arial" w:cs="Arial"/>
        </w:rPr>
        <w:t xml:space="preserve"> witnesses</w:t>
      </w:r>
      <w:r w:rsidR="00A86961">
        <w:rPr>
          <w:rFonts w:ascii="Arial" w:hAnsi="Arial" w:cs="Arial"/>
        </w:rPr>
        <w:t xml:space="preserve"> relevant to mitigation</w:t>
      </w:r>
      <w:r w:rsidR="00FD6EAB">
        <w:rPr>
          <w:rFonts w:ascii="Arial" w:hAnsi="Arial" w:cs="Arial"/>
        </w:rPr>
        <w:t xml:space="preserve"> or </w:t>
      </w:r>
      <w:r w:rsidR="00A86961">
        <w:rPr>
          <w:rFonts w:ascii="Arial" w:hAnsi="Arial" w:cs="Arial"/>
        </w:rPr>
        <w:t xml:space="preserve">of </w:t>
      </w:r>
      <w:r w:rsidR="00FD6EAB">
        <w:rPr>
          <w:rFonts w:ascii="Arial" w:hAnsi="Arial" w:cs="Arial"/>
        </w:rPr>
        <w:t>the State’s</w:t>
      </w:r>
      <w:r w:rsidR="00A86961">
        <w:rPr>
          <w:rFonts w:ascii="Arial" w:hAnsi="Arial" w:cs="Arial"/>
        </w:rPr>
        <w:t xml:space="preserve"> aggravation</w:t>
      </w:r>
      <w:r w:rsidR="00220E06">
        <w:rPr>
          <w:rFonts w:ascii="Arial" w:hAnsi="Arial" w:cs="Arial"/>
        </w:rPr>
        <w:t xml:space="preserve"> case</w:t>
      </w:r>
      <w:r w:rsidR="00C107D1">
        <w:rPr>
          <w:rFonts w:ascii="Arial" w:hAnsi="Arial" w:cs="Arial"/>
        </w:rPr>
        <w:t>)</w:t>
      </w:r>
      <w:r w:rsidR="008A726B">
        <w:rPr>
          <w:rFonts w:ascii="Arial" w:hAnsi="Arial" w:cs="Arial"/>
        </w:rPr>
        <w:t xml:space="preserve">; Hinton v. Alabama, 571 U.S. 263, 274 (2014) (per </w:t>
      </w:r>
      <w:proofErr w:type="spellStart"/>
      <w:r w:rsidR="008A726B">
        <w:rPr>
          <w:rFonts w:ascii="Arial" w:hAnsi="Arial" w:cs="Arial"/>
        </w:rPr>
        <w:t>curiam</w:t>
      </w:r>
      <w:proofErr w:type="spellEnd"/>
      <w:r w:rsidR="008A726B">
        <w:rPr>
          <w:rFonts w:ascii="Arial" w:hAnsi="Arial" w:cs="Arial"/>
        </w:rPr>
        <w:t>) (“</w:t>
      </w:r>
      <w:r w:rsidR="008A726B" w:rsidRPr="008A726B">
        <w:rPr>
          <w:rFonts w:ascii="Arial" w:hAnsi="Arial" w:cs="Arial"/>
        </w:rPr>
        <w:t>An attorney's ignorance of a point of law that is fundamental to his case combined with his failure to perform basic research on that point is a quintessential example of unreasonable performance under Strickland.</w:t>
      </w:r>
      <w:r w:rsidR="008A726B">
        <w:rPr>
          <w:rFonts w:ascii="Arial" w:hAnsi="Arial" w:cs="Arial"/>
        </w:rPr>
        <w:t>”)</w:t>
      </w:r>
      <w:r w:rsidR="00C107D1">
        <w:rPr>
          <w:rFonts w:ascii="Arial" w:hAnsi="Arial" w:cs="Arial"/>
        </w:rPr>
        <w:t>.</w:t>
      </w:r>
    </w:p>
    <w:p w14:paraId="0453B2F3" w14:textId="7531575F" w:rsidR="0089405B" w:rsidRPr="00F33D10" w:rsidRDefault="0089405B" w:rsidP="00EC21B7">
      <w:pPr>
        <w:pStyle w:val="ListParagraph"/>
        <w:numPr>
          <w:ilvl w:val="0"/>
          <w:numId w:val="4"/>
        </w:numPr>
        <w:spacing w:after="0" w:line="240" w:lineRule="auto"/>
        <w:rPr>
          <w:rFonts w:ascii="Arial" w:hAnsi="Arial" w:cs="Arial"/>
          <w:b/>
        </w:rPr>
      </w:pPr>
      <w:r w:rsidRPr="00F33D10">
        <w:rPr>
          <w:rFonts w:ascii="Arial" w:hAnsi="Arial" w:cs="Arial"/>
          <w:b/>
        </w:rPr>
        <w:t xml:space="preserve">Prejudice. </w:t>
      </w:r>
      <w:r w:rsidRPr="00F33D10">
        <w:rPr>
          <w:rFonts w:ascii="Arial" w:hAnsi="Arial" w:cs="Arial"/>
        </w:rPr>
        <w:t>Even if counsel</w:t>
      </w:r>
      <w:r w:rsidR="0022631D">
        <w:rPr>
          <w:rFonts w:ascii="Arial" w:hAnsi="Arial" w:cs="Arial"/>
        </w:rPr>
        <w:t>’</w:t>
      </w:r>
      <w:r w:rsidRPr="00F33D10">
        <w:rPr>
          <w:rFonts w:ascii="Arial" w:hAnsi="Arial" w:cs="Arial"/>
        </w:rPr>
        <w:t xml:space="preserve">s performance was deficient, the defendant is not entitled to relief unless </w:t>
      </w:r>
      <w:r w:rsidR="0022631D">
        <w:rPr>
          <w:rFonts w:ascii="Arial" w:hAnsi="Arial" w:cs="Arial"/>
        </w:rPr>
        <w:t xml:space="preserve">he or she establishes that </w:t>
      </w:r>
      <w:r w:rsidRPr="00F33D10">
        <w:rPr>
          <w:rFonts w:ascii="Arial" w:hAnsi="Arial" w:cs="Arial"/>
        </w:rPr>
        <w:t>the deficient conduct prejudiced the defense.</w:t>
      </w:r>
      <w:r w:rsidR="007B2CB1">
        <w:rPr>
          <w:rFonts w:ascii="Arial" w:hAnsi="Arial" w:cs="Arial"/>
        </w:rPr>
        <w:t xml:space="preserve"> A trial court making a prejudice determination “must consider the totality of the evidence before the judge or jury.” </w:t>
      </w:r>
      <w:r w:rsidR="007B2CB1">
        <w:rPr>
          <w:rFonts w:ascii="Arial" w:hAnsi="Arial" w:cs="Arial"/>
          <w:i/>
          <w:iCs/>
        </w:rPr>
        <w:t>Strickland</w:t>
      </w:r>
      <w:r w:rsidR="007B2CB1">
        <w:rPr>
          <w:rFonts w:ascii="Arial" w:hAnsi="Arial" w:cs="Arial"/>
        </w:rPr>
        <w:t>, 466 U.S. 695.</w:t>
      </w:r>
      <w:r w:rsidR="0022631D">
        <w:rPr>
          <w:rFonts w:ascii="Arial" w:hAnsi="Arial" w:cs="Arial"/>
        </w:rPr>
        <w:t xml:space="preserve"> The United States Supreme Court has held that the requirement of demonstrating prejudice applies even with respect to structural errors, which ordinarily necessitate automatic reversal when preserved and raised on direct appeal, when such errors are raised in the context of an IAC claim in a postconviction proceeding. Weaver v. Massachusetts, 582 U.S. 286, 302 (</w:t>
      </w:r>
      <w:r w:rsidR="00A3283D">
        <w:rPr>
          <w:rFonts w:ascii="Arial" w:hAnsi="Arial" w:cs="Arial"/>
        </w:rPr>
        <w:t>2017).</w:t>
      </w:r>
      <w:r w:rsidR="0022631D">
        <w:rPr>
          <w:rFonts w:ascii="Arial" w:hAnsi="Arial" w:cs="Arial"/>
        </w:rPr>
        <w:t xml:space="preserve">     </w:t>
      </w:r>
      <w:r w:rsidRPr="00F33D10">
        <w:rPr>
          <w:rFonts w:ascii="Arial" w:hAnsi="Arial" w:cs="Arial"/>
        </w:rPr>
        <w:t xml:space="preserve"> </w:t>
      </w:r>
    </w:p>
    <w:p w14:paraId="77A0BCAD" w14:textId="1AE00DFA" w:rsidR="007C0926" w:rsidRPr="007C0926" w:rsidRDefault="0089405B" w:rsidP="00EC21B7">
      <w:pPr>
        <w:pStyle w:val="ListParagraph"/>
        <w:numPr>
          <w:ilvl w:val="0"/>
          <w:numId w:val="7"/>
        </w:numPr>
        <w:spacing w:after="0" w:line="240" w:lineRule="auto"/>
        <w:ind w:left="3240" w:hanging="360"/>
        <w:rPr>
          <w:rFonts w:ascii="Arial" w:hAnsi="Arial" w:cs="Arial"/>
          <w:b/>
        </w:rPr>
      </w:pPr>
      <w:r w:rsidRPr="00FD08F1">
        <w:rPr>
          <w:rFonts w:ascii="Arial" w:hAnsi="Arial" w:cs="Arial"/>
          <w:b/>
        </w:rPr>
        <w:t xml:space="preserve">Defined. </w:t>
      </w:r>
      <w:r w:rsidR="007C0926" w:rsidRPr="00F33D10">
        <w:rPr>
          <w:rFonts w:ascii="Arial" w:hAnsi="Arial" w:cs="Arial"/>
        </w:rPr>
        <w:t>When the deficient conduct is in connection with a trial</w:t>
      </w:r>
      <w:r w:rsidR="007C0926">
        <w:rPr>
          <w:rFonts w:ascii="Arial" w:hAnsi="Arial" w:cs="Arial"/>
        </w:rPr>
        <w:t xml:space="preserve"> or an appeal</w:t>
      </w:r>
      <w:r w:rsidR="007C0926" w:rsidRPr="00F33D10">
        <w:rPr>
          <w:rFonts w:ascii="Arial" w:hAnsi="Arial" w:cs="Arial"/>
        </w:rPr>
        <w:t>,</w:t>
      </w:r>
      <w:r w:rsidR="007C0926">
        <w:rPr>
          <w:rFonts w:ascii="Arial" w:hAnsi="Arial" w:cs="Arial"/>
        </w:rPr>
        <w:t xml:space="preserve"> a showing of sufficient prejudice</w:t>
      </w:r>
      <w:r w:rsidR="007C0926" w:rsidRPr="00F33D10">
        <w:rPr>
          <w:rFonts w:ascii="Arial" w:hAnsi="Arial" w:cs="Arial"/>
        </w:rPr>
        <w:t xml:space="preserve"> requires the defendant to establish a reasonable probability that but for counsel’s error, the result of proceeding would have been different.</w:t>
      </w:r>
      <w:r w:rsidR="007C0926" w:rsidRPr="007C0926">
        <w:rPr>
          <w:rFonts w:ascii="Arial" w:hAnsi="Arial" w:cs="Arial"/>
        </w:rPr>
        <w:t xml:space="preserve"> </w:t>
      </w:r>
      <w:r w:rsidR="007C0926" w:rsidRPr="00FD08F1">
        <w:rPr>
          <w:rFonts w:ascii="Arial" w:hAnsi="Arial" w:cs="Arial"/>
        </w:rPr>
        <w:t>Lee v. United States, 582 U.S. 357, 364-65 (2017)</w:t>
      </w:r>
      <w:r w:rsidR="007C0926">
        <w:rPr>
          <w:rFonts w:ascii="Arial" w:hAnsi="Arial" w:cs="Arial"/>
        </w:rPr>
        <w:t xml:space="preserve"> (so stating with respect to trial)</w:t>
      </w:r>
      <w:r w:rsidR="007C0926" w:rsidRPr="00FD08F1">
        <w:rPr>
          <w:rFonts w:ascii="Arial" w:hAnsi="Arial" w:cs="Arial"/>
        </w:rPr>
        <w:t>.</w:t>
      </w:r>
      <w:r w:rsidR="007C0926">
        <w:rPr>
          <w:rFonts w:ascii="Arial" w:hAnsi="Arial" w:cs="Arial"/>
        </w:rPr>
        <w:t xml:space="preserve"> State v. Casey, 263 N.C. App. 510, 522 (2019) (so stating with respect to appeal). The United States Supreme Court has described a “reasonable probability” as a “probability sufficient to undermine confidence in the outcome.” </w:t>
      </w:r>
      <w:r w:rsidR="007C0926">
        <w:rPr>
          <w:rFonts w:ascii="Arial" w:hAnsi="Arial" w:cs="Arial"/>
          <w:i/>
          <w:iCs/>
        </w:rPr>
        <w:t>Strickland</w:t>
      </w:r>
      <w:r w:rsidR="007C0926">
        <w:rPr>
          <w:rFonts w:ascii="Arial" w:hAnsi="Arial" w:cs="Arial"/>
        </w:rPr>
        <w:t>, 466 U.S. at 694.</w:t>
      </w:r>
    </w:p>
    <w:p w14:paraId="1A04C5E2" w14:textId="60680D7D" w:rsidR="0089405B" w:rsidRPr="007C0926" w:rsidRDefault="0089405B" w:rsidP="007C0926">
      <w:pPr>
        <w:pStyle w:val="ListParagraph"/>
        <w:spacing w:after="0" w:line="240" w:lineRule="auto"/>
        <w:ind w:left="3240" w:firstLine="360"/>
        <w:rPr>
          <w:rFonts w:ascii="Arial" w:hAnsi="Arial" w:cs="Arial"/>
          <w:b/>
        </w:rPr>
      </w:pPr>
      <w:r w:rsidRPr="00FD08F1">
        <w:rPr>
          <w:rFonts w:ascii="Arial" w:hAnsi="Arial" w:cs="Arial"/>
        </w:rPr>
        <w:t xml:space="preserve">When the ineffectiveness is alleged </w:t>
      </w:r>
      <w:r w:rsidR="002D0CF7" w:rsidRPr="00FD08F1">
        <w:rPr>
          <w:rFonts w:ascii="Arial" w:hAnsi="Arial" w:cs="Arial"/>
        </w:rPr>
        <w:t xml:space="preserve">by a defendant who has entered </w:t>
      </w:r>
      <w:r w:rsidRPr="00FD08F1">
        <w:rPr>
          <w:rFonts w:ascii="Arial" w:hAnsi="Arial" w:cs="Arial"/>
        </w:rPr>
        <w:t>a guilty plea,</w:t>
      </w:r>
      <w:r w:rsidR="001B2529">
        <w:rPr>
          <w:rFonts w:ascii="Arial" w:hAnsi="Arial" w:cs="Arial"/>
        </w:rPr>
        <w:t xml:space="preserve"> </w:t>
      </w:r>
      <w:r w:rsidR="007B2CB1">
        <w:rPr>
          <w:rFonts w:ascii="Arial" w:hAnsi="Arial" w:cs="Arial"/>
        </w:rPr>
        <w:t xml:space="preserve">a </w:t>
      </w:r>
      <w:r w:rsidR="001B2529">
        <w:rPr>
          <w:rFonts w:ascii="Arial" w:hAnsi="Arial" w:cs="Arial"/>
        </w:rPr>
        <w:t xml:space="preserve">showing </w:t>
      </w:r>
      <w:r w:rsidR="007B2CB1">
        <w:rPr>
          <w:rFonts w:ascii="Arial" w:hAnsi="Arial" w:cs="Arial"/>
        </w:rPr>
        <w:t xml:space="preserve">of sufficient </w:t>
      </w:r>
      <w:r w:rsidR="001B2529">
        <w:rPr>
          <w:rFonts w:ascii="Arial" w:hAnsi="Arial" w:cs="Arial"/>
        </w:rPr>
        <w:t>prejudice</w:t>
      </w:r>
      <w:r w:rsidRPr="00FD08F1">
        <w:rPr>
          <w:rFonts w:ascii="Arial" w:hAnsi="Arial" w:cs="Arial"/>
        </w:rPr>
        <w:t xml:space="preserve"> requires the defendant to establish a reasonable probability that but for counsel’s errors, the defendant would not have plead guilty.</w:t>
      </w:r>
      <w:r w:rsidR="007C0926">
        <w:rPr>
          <w:rFonts w:ascii="Arial" w:hAnsi="Arial" w:cs="Arial"/>
        </w:rPr>
        <w:t xml:space="preserve"> </w:t>
      </w:r>
      <w:r w:rsidR="007C0926">
        <w:rPr>
          <w:rFonts w:ascii="Arial" w:hAnsi="Arial" w:cs="Arial"/>
          <w:i/>
          <w:iCs/>
        </w:rPr>
        <w:t>Lee</w:t>
      </w:r>
      <w:r w:rsidR="007C0926">
        <w:rPr>
          <w:rFonts w:ascii="Arial" w:hAnsi="Arial" w:cs="Arial"/>
        </w:rPr>
        <w:t>, 582 U.S. at 36</w:t>
      </w:r>
      <w:r w:rsidR="004F52C1">
        <w:rPr>
          <w:rFonts w:ascii="Arial" w:hAnsi="Arial" w:cs="Arial"/>
        </w:rPr>
        <w:t>4-6</w:t>
      </w:r>
      <w:r w:rsidR="007C0926">
        <w:rPr>
          <w:rFonts w:ascii="Arial" w:hAnsi="Arial" w:cs="Arial"/>
        </w:rPr>
        <w:t>5.</w:t>
      </w:r>
      <w:r w:rsidR="002E62A9" w:rsidRPr="00FD08F1">
        <w:rPr>
          <w:rFonts w:ascii="Arial" w:hAnsi="Arial" w:cs="Arial"/>
        </w:rPr>
        <w:t xml:space="preserve"> </w:t>
      </w:r>
      <w:r w:rsidR="003A0E09" w:rsidRPr="00FD08F1">
        <w:rPr>
          <w:rFonts w:ascii="Arial" w:hAnsi="Arial" w:cs="Arial"/>
        </w:rPr>
        <w:t xml:space="preserve">When </w:t>
      </w:r>
      <w:r w:rsidR="00D34D99" w:rsidRPr="00FD08F1">
        <w:rPr>
          <w:rFonts w:ascii="Arial" w:hAnsi="Arial" w:cs="Arial"/>
        </w:rPr>
        <w:t>counsel renders deficient performance by advising reject</w:t>
      </w:r>
      <w:r w:rsidR="002D0CF7" w:rsidRPr="00FD08F1">
        <w:rPr>
          <w:rFonts w:ascii="Arial" w:hAnsi="Arial" w:cs="Arial"/>
        </w:rPr>
        <w:t>ion of</w:t>
      </w:r>
      <w:r w:rsidR="00D34D99" w:rsidRPr="00FD08F1">
        <w:rPr>
          <w:rFonts w:ascii="Arial" w:hAnsi="Arial" w:cs="Arial"/>
        </w:rPr>
        <w:t xml:space="preserve"> a plea offer, </w:t>
      </w:r>
      <w:r w:rsidR="002D0CF7" w:rsidRPr="00FD08F1">
        <w:rPr>
          <w:rFonts w:ascii="Arial" w:hAnsi="Arial" w:cs="Arial"/>
        </w:rPr>
        <w:t>a</w:t>
      </w:r>
      <w:r w:rsidR="00D34D99" w:rsidRPr="00FD08F1">
        <w:rPr>
          <w:rFonts w:ascii="Arial" w:hAnsi="Arial" w:cs="Arial"/>
        </w:rPr>
        <w:t xml:space="preserve"> defendant</w:t>
      </w:r>
      <w:r w:rsidR="002D0CF7" w:rsidRPr="00FD08F1">
        <w:rPr>
          <w:rFonts w:ascii="Arial" w:hAnsi="Arial" w:cs="Arial"/>
        </w:rPr>
        <w:t xml:space="preserve"> later convicted at trial “</w:t>
      </w:r>
      <w:r w:rsidR="002D0CF7" w:rsidRPr="00FD08F1">
        <w:rPr>
          <w:rFonts w:ascii="Arial" w:hAnsi="Arial" w:cs="Arial"/>
          <w:bCs/>
        </w:rPr>
        <w:t>must show that but for the ineffective advice of counsel there is a reasonable probability that the plea offer would have been presented to the court (i.e., that the defendant would have accepted the plea and the prosecution would not have withdrawn it in light of intervening circumstances), that the court would have accepted its terms, and that the conviction or sentence, or both, under the offer's terms would have been less severe than under the judgment and sentence that in fact were imposed</w:t>
      </w:r>
      <w:r w:rsidR="00FD08F1" w:rsidRPr="00FD08F1">
        <w:rPr>
          <w:rFonts w:ascii="Arial" w:hAnsi="Arial" w:cs="Arial"/>
          <w:bCs/>
        </w:rPr>
        <w:t xml:space="preserve">.“ </w:t>
      </w:r>
      <w:proofErr w:type="spellStart"/>
      <w:r w:rsidR="002D0CF7" w:rsidRPr="00FD08F1">
        <w:rPr>
          <w:rFonts w:ascii="Arial" w:hAnsi="Arial" w:cs="Arial"/>
          <w:bCs/>
        </w:rPr>
        <w:t>Lafler</w:t>
      </w:r>
      <w:proofErr w:type="spellEnd"/>
      <w:r w:rsidR="002D0CF7" w:rsidRPr="00FD08F1">
        <w:rPr>
          <w:rFonts w:ascii="Arial" w:hAnsi="Arial" w:cs="Arial"/>
          <w:bCs/>
        </w:rPr>
        <w:t xml:space="preserve"> v. Cooper, 566 </w:t>
      </w:r>
      <w:r w:rsidR="002D0CF7" w:rsidRPr="00FD08F1">
        <w:rPr>
          <w:rFonts w:ascii="Arial" w:hAnsi="Arial" w:cs="Arial"/>
          <w:bCs/>
        </w:rPr>
        <w:lastRenderedPageBreak/>
        <w:t>U.S. 156, 164 (2012)</w:t>
      </w:r>
      <w:r w:rsidR="00FD08F1" w:rsidRPr="00FD08F1">
        <w:rPr>
          <w:rFonts w:ascii="Arial" w:hAnsi="Arial" w:cs="Arial"/>
          <w:bCs/>
        </w:rPr>
        <w:t>.</w:t>
      </w:r>
      <w:r w:rsidR="009A70BD">
        <w:rPr>
          <w:rFonts w:ascii="Arial" w:hAnsi="Arial" w:cs="Arial"/>
          <w:bCs/>
        </w:rPr>
        <w:t xml:space="preserve"> Essentially the same </w:t>
      </w:r>
      <w:r w:rsidR="001B2529">
        <w:rPr>
          <w:rFonts w:ascii="Arial" w:hAnsi="Arial" w:cs="Arial"/>
          <w:bCs/>
        </w:rPr>
        <w:t>showing</w:t>
      </w:r>
      <w:r w:rsidR="009A70BD">
        <w:rPr>
          <w:rFonts w:ascii="Arial" w:hAnsi="Arial" w:cs="Arial"/>
          <w:bCs/>
        </w:rPr>
        <w:t xml:space="preserve"> </w:t>
      </w:r>
      <w:r w:rsidR="001B2529">
        <w:rPr>
          <w:rFonts w:ascii="Arial" w:hAnsi="Arial" w:cs="Arial"/>
          <w:bCs/>
        </w:rPr>
        <w:t>is required</w:t>
      </w:r>
      <w:r w:rsidR="009A70BD">
        <w:rPr>
          <w:rFonts w:ascii="Arial" w:hAnsi="Arial" w:cs="Arial"/>
          <w:bCs/>
        </w:rPr>
        <w:t xml:space="preserve"> in situations where a defendant is convicted at trial following counsel’s deficient failure to communicate a formal plea offer to the defendant prior to the offer lapsing. Missouri v. Frye</w:t>
      </w:r>
      <w:r w:rsidR="00D140E0">
        <w:rPr>
          <w:rFonts w:ascii="Arial" w:hAnsi="Arial" w:cs="Arial"/>
          <w:bCs/>
        </w:rPr>
        <w:t>, 566 U.S. 134, 148 (2012).</w:t>
      </w:r>
      <w:r w:rsidR="009A70BD">
        <w:rPr>
          <w:rFonts w:ascii="Arial" w:hAnsi="Arial" w:cs="Arial"/>
          <w:bCs/>
        </w:rPr>
        <w:t xml:space="preserve"> </w:t>
      </w:r>
      <w:r w:rsidR="002D0CF7" w:rsidRPr="00FD08F1">
        <w:rPr>
          <w:rFonts w:ascii="Arial" w:hAnsi="Arial" w:cs="Arial"/>
        </w:rPr>
        <w:t xml:space="preserve"> </w:t>
      </w:r>
      <w:r w:rsidR="00D34D99" w:rsidRPr="00FD08F1">
        <w:rPr>
          <w:rFonts w:ascii="Arial" w:hAnsi="Arial" w:cs="Arial"/>
        </w:rPr>
        <w:t xml:space="preserve"> </w:t>
      </w:r>
    </w:p>
    <w:p w14:paraId="44282C05" w14:textId="2D6C1294" w:rsidR="0089405B" w:rsidRPr="00F33D10" w:rsidRDefault="00DB2854" w:rsidP="00EC21B7">
      <w:pPr>
        <w:pStyle w:val="ListParagraph"/>
        <w:numPr>
          <w:ilvl w:val="0"/>
          <w:numId w:val="7"/>
        </w:numPr>
        <w:spacing w:after="0" w:line="240" w:lineRule="auto"/>
        <w:ind w:left="3240" w:hanging="360"/>
        <w:rPr>
          <w:rFonts w:ascii="Arial" w:hAnsi="Arial" w:cs="Arial"/>
        </w:rPr>
      </w:pPr>
      <w:r>
        <w:rPr>
          <w:rFonts w:ascii="Arial" w:hAnsi="Arial" w:cs="Arial"/>
          <w:b/>
        </w:rPr>
        <w:t>Weighing the E</w:t>
      </w:r>
      <w:r w:rsidR="0089405B" w:rsidRPr="00F33D10">
        <w:rPr>
          <w:rFonts w:ascii="Arial" w:hAnsi="Arial" w:cs="Arial"/>
          <w:b/>
        </w:rPr>
        <w:t xml:space="preserve">vidence. </w:t>
      </w:r>
      <w:r w:rsidR="0089405B" w:rsidRPr="00F33D10">
        <w:rPr>
          <w:rFonts w:ascii="Arial" w:hAnsi="Arial" w:cs="Arial"/>
        </w:rPr>
        <w:t>When the defendant asserts attorney error at trial, determining whether prejudice occurred requires the judge to consider the weight of the evidence.</w:t>
      </w:r>
    </w:p>
    <w:p w14:paraId="542D8924" w14:textId="77777777" w:rsidR="0089405B" w:rsidRPr="00F33D10" w:rsidRDefault="0089405B" w:rsidP="00EC21B7">
      <w:pPr>
        <w:pStyle w:val="ListParagraph"/>
        <w:spacing w:after="0" w:line="240" w:lineRule="auto"/>
        <w:ind w:left="1800"/>
        <w:rPr>
          <w:rFonts w:ascii="Arial" w:hAnsi="Arial" w:cs="Arial"/>
        </w:rPr>
      </w:pPr>
    </w:p>
    <w:p w14:paraId="71F3154C" w14:textId="77777777" w:rsidR="0089405B" w:rsidRPr="00F33D10" w:rsidRDefault="00DB2854" w:rsidP="00EC21B7">
      <w:pPr>
        <w:pStyle w:val="Heading2"/>
        <w:jc w:val="left"/>
      </w:pPr>
      <w:bookmarkStart w:id="3" w:name="_Toc402959268"/>
      <w:r>
        <w:t>Denial of Counsel C</w:t>
      </w:r>
      <w:r w:rsidR="0089405B" w:rsidRPr="00F33D10">
        <w:t>laims</w:t>
      </w:r>
      <w:bookmarkEnd w:id="3"/>
    </w:p>
    <w:p w14:paraId="1585020B" w14:textId="77777777" w:rsidR="0089405B" w:rsidRPr="00F33D10" w:rsidRDefault="0089405B" w:rsidP="00EC21B7">
      <w:pPr>
        <w:pStyle w:val="ListParagraph"/>
        <w:numPr>
          <w:ilvl w:val="0"/>
          <w:numId w:val="8"/>
        </w:numPr>
        <w:spacing w:after="0" w:line="240" w:lineRule="auto"/>
        <w:rPr>
          <w:rFonts w:ascii="Arial" w:hAnsi="Arial" w:cs="Arial"/>
          <w:b/>
        </w:rPr>
      </w:pPr>
      <w:r w:rsidRPr="00F33D10">
        <w:rPr>
          <w:rFonts w:ascii="Arial" w:hAnsi="Arial" w:cs="Arial"/>
          <w:b/>
        </w:rPr>
        <w:t>Defined.</w:t>
      </w:r>
      <w:r w:rsidRPr="00F33D10">
        <w:rPr>
          <w:rFonts w:ascii="Arial" w:hAnsi="Arial" w:cs="Arial"/>
        </w:rPr>
        <w:t xml:space="preserve"> In this type of claim, the defendant asserts that he or she was denied counsel at a critical stage of the proceedings. United States v. </w:t>
      </w:r>
      <w:proofErr w:type="spellStart"/>
      <w:r w:rsidRPr="00F33D10">
        <w:rPr>
          <w:rFonts w:ascii="Arial" w:hAnsi="Arial" w:cs="Arial"/>
        </w:rPr>
        <w:t>Cronic</w:t>
      </w:r>
      <w:proofErr w:type="spellEnd"/>
      <w:r w:rsidRPr="00F33D10">
        <w:rPr>
          <w:rFonts w:ascii="Arial" w:hAnsi="Arial" w:cs="Arial"/>
        </w:rPr>
        <w:t>,</w:t>
      </w:r>
      <w:r w:rsidRPr="00F33D10">
        <w:rPr>
          <w:rFonts w:ascii="Arial" w:hAnsi="Arial" w:cs="Arial"/>
          <w:i/>
        </w:rPr>
        <w:t xml:space="preserve"> </w:t>
      </w:r>
      <w:r w:rsidRPr="00F33D10">
        <w:rPr>
          <w:rFonts w:ascii="Arial" w:hAnsi="Arial" w:cs="Arial"/>
        </w:rPr>
        <w:t>466 U.S. 648 (1984).</w:t>
      </w:r>
    </w:p>
    <w:p w14:paraId="2AAC162C" w14:textId="77777777" w:rsidR="0089405B" w:rsidRPr="00F33D10" w:rsidRDefault="00DB2854" w:rsidP="00EC21B7">
      <w:pPr>
        <w:pStyle w:val="ListParagraph"/>
        <w:numPr>
          <w:ilvl w:val="0"/>
          <w:numId w:val="8"/>
        </w:numPr>
        <w:spacing w:after="0" w:line="240" w:lineRule="auto"/>
        <w:rPr>
          <w:rFonts w:ascii="Arial" w:hAnsi="Arial" w:cs="Arial"/>
          <w:b/>
        </w:rPr>
      </w:pPr>
      <w:r>
        <w:rPr>
          <w:rFonts w:ascii="Arial" w:hAnsi="Arial" w:cs="Arial"/>
          <w:b/>
        </w:rPr>
        <w:t>Actual or Constructive D</w:t>
      </w:r>
      <w:r w:rsidR="0089405B" w:rsidRPr="00F33D10">
        <w:rPr>
          <w:rFonts w:ascii="Arial" w:hAnsi="Arial" w:cs="Arial"/>
          <w:b/>
        </w:rPr>
        <w:t>enial.</w:t>
      </w:r>
      <w:r w:rsidR="0089405B" w:rsidRPr="00F33D10">
        <w:rPr>
          <w:rFonts w:ascii="Arial" w:hAnsi="Arial" w:cs="Arial"/>
        </w:rPr>
        <w:t xml:space="preserve"> A denial of counsel may be actual or constructive. </w:t>
      </w:r>
    </w:p>
    <w:p w14:paraId="26DB55FA" w14:textId="08455653" w:rsidR="0089405B" w:rsidRPr="00E54159" w:rsidRDefault="00DB2854" w:rsidP="00EC21B7">
      <w:pPr>
        <w:pStyle w:val="ListParagraph"/>
        <w:numPr>
          <w:ilvl w:val="0"/>
          <w:numId w:val="16"/>
        </w:numPr>
        <w:spacing w:after="0" w:line="240" w:lineRule="auto"/>
        <w:rPr>
          <w:rFonts w:ascii="Arial" w:hAnsi="Arial" w:cs="Arial"/>
          <w:b/>
        </w:rPr>
      </w:pPr>
      <w:r>
        <w:rPr>
          <w:rFonts w:ascii="Arial" w:hAnsi="Arial" w:cs="Arial"/>
          <w:b/>
        </w:rPr>
        <w:t>Actual D</w:t>
      </w:r>
      <w:r w:rsidR="0089405B" w:rsidRPr="00E54159">
        <w:rPr>
          <w:rFonts w:ascii="Arial" w:hAnsi="Arial" w:cs="Arial"/>
          <w:b/>
        </w:rPr>
        <w:t>enial.</w:t>
      </w:r>
      <w:r w:rsidR="0089405B" w:rsidRPr="00E54159">
        <w:rPr>
          <w:rFonts w:ascii="Arial" w:hAnsi="Arial" w:cs="Arial"/>
        </w:rPr>
        <w:t xml:space="preserve"> An actual denial of counsel occurs when a defendant has no counsel at all during a critical stage. An actual denial occurs, for example, when the trial judge proceeds with jury selection without defense counsel being present. </w:t>
      </w:r>
      <w:r w:rsidR="008C1BFD">
        <w:rPr>
          <w:rFonts w:ascii="Arial" w:hAnsi="Arial" w:cs="Arial"/>
        </w:rPr>
        <w:t>State v. Colbert, 311 N.C. 283, 285-86 (1984).</w:t>
      </w:r>
    </w:p>
    <w:p w14:paraId="589FD1D3" w14:textId="2C1A4545" w:rsidR="00C674C0" w:rsidRPr="00C674C0" w:rsidRDefault="00DB2854" w:rsidP="00EC21B7">
      <w:pPr>
        <w:pStyle w:val="ListParagraph"/>
        <w:numPr>
          <w:ilvl w:val="0"/>
          <w:numId w:val="16"/>
        </w:numPr>
        <w:spacing w:after="0" w:line="240" w:lineRule="auto"/>
        <w:rPr>
          <w:rFonts w:ascii="Arial" w:hAnsi="Arial" w:cs="Arial"/>
          <w:b/>
        </w:rPr>
      </w:pPr>
      <w:r>
        <w:rPr>
          <w:rFonts w:ascii="Arial" w:hAnsi="Arial" w:cs="Arial"/>
          <w:b/>
        </w:rPr>
        <w:t>Constructive D</w:t>
      </w:r>
      <w:r w:rsidR="0089405B" w:rsidRPr="00E54159">
        <w:rPr>
          <w:rFonts w:ascii="Arial" w:hAnsi="Arial" w:cs="Arial"/>
          <w:b/>
        </w:rPr>
        <w:t>enial.</w:t>
      </w:r>
      <w:r w:rsidR="0089405B" w:rsidRPr="00E54159">
        <w:rPr>
          <w:rFonts w:ascii="Arial" w:hAnsi="Arial" w:cs="Arial"/>
        </w:rPr>
        <w:t xml:space="preserve"> Constructive denial of counsel claims typically </w:t>
      </w:r>
      <w:proofErr w:type="gramStart"/>
      <w:r w:rsidR="0089405B" w:rsidRPr="00E54159">
        <w:rPr>
          <w:rFonts w:ascii="Arial" w:hAnsi="Arial" w:cs="Arial"/>
        </w:rPr>
        <w:t>arise</w:t>
      </w:r>
      <w:proofErr w:type="gramEnd"/>
      <w:r w:rsidR="0089405B" w:rsidRPr="00E54159">
        <w:rPr>
          <w:rFonts w:ascii="Arial" w:hAnsi="Arial" w:cs="Arial"/>
        </w:rPr>
        <w:t xml:space="preserve"> in two scenarios. First, where no lawyer could provide effective assistance. Such a situation would arise, for example, when counsel is appointed in a complicated case involving multiple charges and multiple witnesses and is given only one day to prepare for trial.</w:t>
      </w:r>
      <w:r w:rsidR="00FA6679">
        <w:rPr>
          <w:rFonts w:ascii="Arial" w:hAnsi="Arial" w:cs="Arial"/>
        </w:rPr>
        <w:t xml:space="preserve"> </w:t>
      </w:r>
      <w:r w:rsidR="00FA6679">
        <w:rPr>
          <w:rFonts w:ascii="Arial" w:hAnsi="Arial" w:cs="Arial"/>
          <w:i/>
          <w:iCs/>
        </w:rPr>
        <w:t>Cf</w:t>
      </w:r>
      <w:r w:rsidR="00FA6679">
        <w:rPr>
          <w:rFonts w:ascii="Arial" w:hAnsi="Arial" w:cs="Arial"/>
        </w:rPr>
        <w:t xml:space="preserve">. </w:t>
      </w:r>
      <w:proofErr w:type="spellStart"/>
      <w:r w:rsidR="007F0997">
        <w:rPr>
          <w:rFonts w:ascii="Arial" w:hAnsi="Arial" w:cs="Arial"/>
          <w:i/>
          <w:iCs/>
        </w:rPr>
        <w:t>Cronic</w:t>
      </w:r>
      <w:proofErr w:type="spellEnd"/>
      <w:r w:rsidR="007F0997">
        <w:rPr>
          <w:rFonts w:ascii="Arial" w:hAnsi="Arial" w:cs="Arial"/>
        </w:rPr>
        <w:t xml:space="preserve">, 466 U.S. at 659-60 (describing </w:t>
      </w:r>
      <w:r w:rsidR="007F0997">
        <w:rPr>
          <w:rFonts w:ascii="Arial" w:hAnsi="Arial" w:cs="Arial"/>
          <w:i/>
          <w:iCs/>
        </w:rPr>
        <w:t>Powell v. Alabama</w:t>
      </w:r>
      <w:r w:rsidR="007F0997">
        <w:rPr>
          <w:rFonts w:ascii="Arial" w:hAnsi="Arial" w:cs="Arial"/>
        </w:rPr>
        <w:t>, 287 U.S. 45 (1932) as a constructive denial case).</w:t>
      </w:r>
      <w:r w:rsidR="00C5379F">
        <w:rPr>
          <w:rFonts w:ascii="Arial" w:hAnsi="Arial" w:cs="Arial"/>
        </w:rPr>
        <w:t xml:space="preserve"> </w:t>
      </w:r>
    </w:p>
    <w:p w14:paraId="477E0FF1" w14:textId="4B8C18CA" w:rsidR="0089405B" w:rsidRPr="00E54159" w:rsidRDefault="0089405B" w:rsidP="00C674C0">
      <w:pPr>
        <w:pStyle w:val="ListParagraph"/>
        <w:spacing w:after="0" w:line="240" w:lineRule="auto"/>
        <w:ind w:left="2880" w:firstLine="720"/>
        <w:rPr>
          <w:rFonts w:ascii="Arial" w:hAnsi="Arial" w:cs="Arial"/>
          <w:b/>
        </w:rPr>
      </w:pPr>
      <w:r w:rsidRPr="00E54159">
        <w:rPr>
          <w:rFonts w:ascii="Arial" w:hAnsi="Arial" w:cs="Arial"/>
        </w:rPr>
        <w:t>The second situation in which constructive denial of counsel claims are asserted is where counsel completely fails to subject the state’s case to meaningful adversarial testing. For example, although present in court, counsel makes no meaningful argument to the jury and presents no evidence.</w:t>
      </w:r>
    </w:p>
    <w:p w14:paraId="0E9B04ED" w14:textId="77777777" w:rsidR="00197CEA" w:rsidRPr="00197CEA" w:rsidRDefault="0089405B" w:rsidP="00EC21B7">
      <w:pPr>
        <w:pStyle w:val="ListParagraph"/>
        <w:numPr>
          <w:ilvl w:val="0"/>
          <w:numId w:val="16"/>
        </w:numPr>
        <w:spacing w:after="0" w:line="240" w:lineRule="auto"/>
        <w:rPr>
          <w:rFonts w:ascii="Arial" w:hAnsi="Arial" w:cs="Arial"/>
          <w:b/>
        </w:rPr>
      </w:pPr>
      <w:r w:rsidRPr="00E54159">
        <w:rPr>
          <w:rFonts w:ascii="Arial" w:hAnsi="Arial" w:cs="Arial"/>
          <w:b/>
        </w:rPr>
        <w:t>Standard.</w:t>
      </w:r>
      <w:r w:rsidRPr="00E54159">
        <w:rPr>
          <w:rFonts w:ascii="Arial" w:hAnsi="Arial" w:cs="Arial"/>
        </w:rPr>
        <w:t xml:space="preserve"> To succeed on a</w:t>
      </w:r>
      <w:r w:rsidR="00950585">
        <w:rPr>
          <w:rFonts w:ascii="Arial" w:hAnsi="Arial" w:cs="Arial"/>
        </w:rPr>
        <w:t>n actual</w:t>
      </w:r>
      <w:r w:rsidRPr="00E54159">
        <w:rPr>
          <w:rFonts w:ascii="Arial" w:hAnsi="Arial" w:cs="Arial"/>
        </w:rPr>
        <w:t xml:space="preserve"> denial of counsel claim, the defendant only needs to show that the denial occurred. With this type of IAC claim, prejudice is presumed.</w:t>
      </w:r>
      <w:r w:rsidR="008C1BFD">
        <w:rPr>
          <w:rFonts w:ascii="Arial" w:hAnsi="Arial" w:cs="Arial"/>
        </w:rPr>
        <w:t xml:space="preserve"> </w:t>
      </w:r>
      <w:r w:rsidR="008C1BFD">
        <w:rPr>
          <w:rFonts w:ascii="Arial" w:hAnsi="Arial" w:cs="Arial"/>
          <w:i/>
          <w:iCs/>
        </w:rPr>
        <w:t>Colbert</w:t>
      </w:r>
      <w:r w:rsidR="008C1BFD">
        <w:rPr>
          <w:rFonts w:ascii="Arial" w:hAnsi="Arial" w:cs="Arial"/>
        </w:rPr>
        <w:t>, 311 N.C. at 286.</w:t>
      </w:r>
      <w:r w:rsidR="00950585">
        <w:rPr>
          <w:rFonts w:ascii="Arial" w:hAnsi="Arial" w:cs="Arial"/>
        </w:rPr>
        <w:t xml:space="preserve"> </w:t>
      </w:r>
      <w:r w:rsidR="00C5379F">
        <w:rPr>
          <w:rFonts w:ascii="Arial" w:hAnsi="Arial" w:cs="Arial"/>
        </w:rPr>
        <w:t xml:space="preserve">Prejudice also is presumed </w:t>
      </w:r>
      <w:r w:rsidR="00D94547">
        <w:rPr>
          <w:rFonts w:ascii="Arial" w:hAnsi="Arial" w:cs="Arial"/>
        </w:rPr>
        <w:t>in situations involving</w:t>
      </w:r>
      <w:r w:rsidR="00C5379F">
        <w:rPr>
          <w:rFonts w:ascii="Arial" w:hAnsi="Arial" w:cs="Arial"/>
        </w:rPr>
        <w:t xml:space="preserve"> a</w:t>
      </w:r>
      <w:r w:rsidR="00950585">
        <w:rPr>
          <w:rFonts w:ascii="Arial" w:hAnsi="Arial" w:cs="Arial"/>
        </w:rPr>
        <w:t xml:space="preserve"> constructive denial of counsel</w:t>
      </w:r>
      <w:r w:rsidR="000F1481">
        <w:rPr>
          <w:rFonts w:ascii="Arial" w:hAnsi="Arial" w:cs="Arial"/>
        </w:rPr>
        <w:t xml:space="preserve"> where counsel</w:t>
      </w:r>
      <w:r w:rsidR="00D94547">
        <w:rPr>
          <w:rFonts w:ascii="Arial" w:hAnsi="Arial" w:cs="Arial"/>
        </w:rPr>
        <w:t xml:space="preserve"> “fail[s] to function in any meaningful sense as the Government’s adversary,” whether because of inadequate time to prepare or</w:t>
      </w:r>
      <w:r w:rsidR="006E724B">
        <w:rPr>
          <w:rFonts w:ascii="Arial" w:hAnsi="Arial" w:cs="Arial"/>
        </w:rPr>
        <w:t xml:space="preserve"> a failure of substantive advocacy</w:t>
      </w:r>
      <w:r w:rsidR="00C5379F">
        <w:rPr>
          <w:rFonts w:ascii="Arial" w:hAnsi="Arial" w:cs="Arial"/>
        </w:rPr>
        <w:t>.</w:t>
      </w:r>
      <w:r w:rsidR="00950585">
        <w:rPr>
          <w:rFonts w:ascii="Arial" w:hAnsi="Arial" w:cs="Arial"/>
        </w:rPr>
        <w:t xml:space="preserve"> </w:t>
      </w:r>
      <w:r w:rsidR="00D94547">
        <w:rPr>
          <w:rFonts w:ascii="Arial" w:hAnsi="Arial" w:cs="Arial"/>
        </w:rPr>
        <w:t xml:space="preserve">See </w:t>
      </w:r>
      <w:proofErr w:type="spellStart"/>
      <w:r w:rsidR="00950585">
        <w:rPr>
          <w:rFonts w:ascii="Arial" w:hAnsi="Arial" w:cs="Arial"/>
          <w:i/>
          <w:iCs/>
        </w:rPr>
        <w:t>Cronic</w:t>
      </w:r>
      <w:proofErr w:type="spellEnd"/>
      <w:r w:rsidR="00950585">
        <w:rPr>
          <w:rFonts w:ascii="Arial" w:hAnsi="Arial" w:cs="Arial"/>
        </w:rPr>
        <w:t>, 466 U.S. at 666.</w:t>
      </w:r>
      <w:r w:rsidR="00C5379F" w:rsidRPr="00C5379F">
        <w:rPr>
          <w:rFonts w:ascii="Arial" w:hAnsi="Arial" w:cs="Arial"/>
        </w:rPr>
        <w:t xml:space="preserve"> </w:t>
      </w:r>
    </w:p>
    <w:p w14:paraId="4A366C43" w14:textId="75E2B438" w:rsidR="0089405B" w:rsidRPr="00E54159" w:rsidRDefault="00197CEA" w:rsidP="00197CEA">
      <w:pPr>
        <w:pStyle w:val="ListParagraph"/>
        <w:spacing w:after="0" w:line="240" w:lineRule="auto"/>
        <w:ind w:left="2880" w:firstLine="720"/>
        <w:rPr>
          <w:rFonts w:ascii="Arial" w:hAnsi="Arial" w:cs="Arial"/>
          <w:b/>
        </w:rPr>
      </w:pPr>
      <w:r>
        <w:rPr>
          <w:rFonts w:ascii="Arial" w:hAnsi="Arial" w:cs="Arial"/>
        </w:rPr>
        <w:t>N</w:t>
      </w:r>
      <w:r w:rsidR="00C5379F">
        <w:rPr>
          <w:rFonts w:ascii="Arial" w:hAnsi="Arial" w:cs="Arial"/>
        </w:rPr>
        <w:t xml:space="preserve">ot all situations where counsel has inadequate time to prepare </w:t>
      </w:r>
      <w:r w:rsidR="00A42A7D">
        <w:rPr>
          <w:rFonts w:ascii="Arial" w:hAnsi="Arial" w:cs="Arial"/>
        </w:rPr>
        <w:t>result in</w:t>
      </w:r>
      <w:r w:rsidR="006E724B">
        <w:rPr>
          <w:rFonts w:ascii="Arial" w:hAnsi="Arial" w:cs="Arial"/>
        </w:rPr>
        <w:t xml:space="preserve"> a presumpti</w:t>
      </w:r>
      <w:r w:rsidR="00A42A7D">
        <w:rPr>
          <w:rFonts w:ascii="Arial" w:hAnsi="Arial" w:cs="Arial"/>
        </w:rPr>
        <w:t>vely</w:t>
      </w:r>
      <w:r w:rsidR="006E724B">
        <w:rPr>
          <w:rFonts w:ascii="Arial" w:hAnsi="Arial" w:cs="Arial"/>
        </w:rPr>
        <w:t xml:space="preserve"> prejudic</w:t>
      </w:r>
      <w:r w:rsidR="00A42A7D">
        <w:rPr>
          <w:rFonts w:ascii="Arial" w:hAnsi="Arial" w:cs="Arial"/>
        </w:rPr>
        <w:t>ial</w:t>
      </w:r>
      <w:r>
        <w:rPr>
          <w:rFonts w:ascii="Arial" w:hAnsi="Arial" w:cs="Arial"/>
        </w:rPr>
        <w:t xml:space="preserve"> denial of counsel, even though such a situation may involve a constitutional violation</w:t>
      </w:r>
      <w:r w:rsidR="00C5379F">
        <w:rPr>
          <w:rFonts w:ascii="Arial" w:hAnsi="Arial" w:cs="Arial"/>
        </w:rPr>
        <w:t xml:space="preserve">. </w:t>
      </w:r>
      <w:r w:rsidR="00D94547">
        <w:rPr>
          <w:rFonts w:ascii="Arial" w:hAnsi="Arial" w:cs="Arial"/>
        </w:rPr>
        <w:t xml:space="preserve">In </w:t>
      </w:r>
      <w:r w:rsidR="00D94547">
        <w:rPr>
          <w:rFonts w:ascii="Arial" w:hAnsi="Arial" w:cs="Arial"/>
          <w:i/>
          <w:iCs/>
        </w:rPr>
        <w:t>State v. Johnson</w:t>
      </w:r>
      <w:r w:rsidR="00D94547">
        <w:rPr>
          <w:rFonts w:ascii="Arial" w:hAnsi="Arial" w:cs="Arial"/>
        </w:rPr>
        <w:t>, 379 N.C. 629</w:t>
      </w:r>
      <w:r w:rsidR="006E724B">
        <w:rPr>
          <w:rFonts w:ascii="Arial" w:hAnsi="Arial" w:cs="Arial"/>
        </w:rPr>
        <w:t>, 634-36</w:t>
      </w:r>
      <w:r w:rsidR="00D94547">
        <w:rPr>
          <w:rFonts w:ascii="Arial" w:hAnsi="Arial" w:cs="Arial"/>
        </w:rPr>
        <w:t xml:space="preserve"> (2021), t</w:t>
      </w:r>
      <w:r w:rsidR="00C5379F">
        <w:rPr>
          <w:rFonts w:ascii="Arial" w:hAnsi="Arial" w:cs="Arial"/>
        </w:rPr>
        <w:t xml:space="preserve">he North Carolina Supreme Court </w:t>
      </w:r>
      <w:r w:rsidR="00D94547">
        <w:rPr>
          <w:rFonts w:ascii="Arial" w:hAnsi="Arial" w:cs="Arial"/>
        </w:rPr>
        <w:t xml:space="preserve">held that </w:t>
      </w:r>
      <w:r w:rsidR="006E724B">
        <w:rPr>
          <w:rFonts w:ascii="Arial" w:hAnsi="Arial" w:cs="Arial"/>
        </w:rPr>
        <w:t>the trial court’s erroneous denial of defense counsel’s motion to continue resulted in constitutionally inadequate time to prepare a defense,</w:t>
      </w:r>
      <w:r w:rsidR="00DB7525">
        <w:rPr>
          <w:rFonts w:ascii="Arial" w:hAnsi="Arial" w:cs="Arial"/>
        </w:rPr>
        <w:t xml:space="preserve"> focusing specifically on defense counsel’s lack of time to respond to </w:t>
      </w:r>
      <w:r w:rsidR="003D700B">
        <w:rPr>
          <w:rFonts w:ascii="Arial" w:hAnsi="Arial" w:cs="Arial"/>
        </w:rPr>
        <w:t xml:space="preserve">the State’s evidence of </w:t>
      </w:r>
      <w:r w:rsidR="00DB7525">
        <w:rPr>
          <w:rFonts w:ascii="Arial" w:hAnsi="Arial" w:cs="Arial"/>
        </w:rPr>
        <w:t>certain recorded phone calls</w:t>
      </w:r>
      <w:r w:rsidR="003D700B">
        <w:rPr>
          <w:rFonts w:ascii="Arial" w:hAnsi="Arial" w:cs="Arial"/>
        </w:rPr>
        <w:t xml:space="preserve"> which were </w:t>
      </w:r>
      <w:r w:rsidR="003D700B">
        <w:rPr>
          <w:rFonts w:ascii="Arial" w:hAnsi="Arial" w:cs="Arial"/>
        </w:rPr>
        <w:lastRenderedPageBreak/>
        <w:t>provided to the defense only a few days prior to trial</w:t>
      </w:r>
      <w:r w:rsidR="00DB7525">
        <w:rPr>
          <w:rFonts w:ascii="Arial" w:hAnsi="Arial" w:cs="Arial"/>
        </w:rPr>
        <w:t xml:space="preserve">. </w:t>
      </w:r>
      <w:r>
        <w:rPr>
          <w:rFonts w:ascii="Arial" w:hAnsi="Arial" w:cs="Arial"/>
        </w:rPr>
        <w:t>R</w:t>
      </w:r>
      <w:r w:rsidR="00DB7525">
        <w:rPr>
          <w:rFonts w:ascii="Arial" w:hAnsi="Arial" w:cs="Arial"/>
        </w:rPr>
        <w:t xml:space="preserve">ather than presuming prejudice the Court </w:t>
      </w:r>
      <w:r w:rsidR="00D96E2F">
        <w:rPr>
          <w:rFonts w:ascii="Arial" w:hAnsi="Arial" w:cs="Arial"/>
        </w:rPr>
        <w:t xml:space="preserve">conducted an </w:t>
      </w:r>
      <w:r w:rsidR="00DB7525">
        <w:rPr>
          <w:rFonts w:ascii="Arial" w:hAnsi="Arial" w:cs="Arial"/>
        </w:rPr>
        <w:t>analy</w:t>
      </w:r>
      <w:r w:rsidR="00D96E2F">
        <w:rPr>
          <w:rFonts w:ascii="Arial" w:hAnsi="Arial" w:cs="Arial"/>
        </w:rPr>
        <w:t>sis of</w:t>
      </w:r>
      <w:r w:rsidR="00DB7525">
        <w:rPr>
          <w:rFonts w:ascii="Arial" w:hAnsi="Arial" w:cs="Arial"/>
        </w:rPr>
        <w:t xml:space="preserve"> the issue</w:t>
      </w:r>
      <w:r w:rsidR="00D96E2F">
        <w:rPr>
          <w:rFonts w:ascii="Arial" w:hAnsi="Arial" w:cs="Arial"/>
        </w:rPr>
        <w:t xml:space="preserve">, finding that the </w:t>
      </w:r>
      <w:r w:rsidR="00E46A02">
        <w:rPr>
          <w:rFonts w:ascii="Arial" w:hAnsi="Arial" w:cs="Arial"/>
        </w:rPr>
        <w:t xml:space="preserve">constitutionally </w:t>
      </w:r>
      <w:r w:rsidR="00D96E2F">
        <w:rPr>
          <w:rFonts w:ascii="Arial" w:hAnsi="Arial" w:cs="Arial"/>
        </w:rPr>
        <w:t xml:space="preserve">inadequate time to prepare negatively affected defense counsel’s actual performance </w:t>
      </w:r>
      <w:r>
        <w:rPr>
          <w:rFonts w:ascii="Arial" w:hAnsi="Arial" w:cs="Arial"/>
        </w:rPr>
        <w:t xml:space="preserve">at trial </w:t>
      </w:r>
      <w:r w:rsidR="00D96E2F">
        <w:rPr>
          <w:rFonts w:ascii="Arial" w:hAnsi="Arial" w:cs="Arial"/>
        </w:rPr>
        <w:t xml:space="preserve">and </w:t>
      </w:r>
      <w:r w:rsidR="00A015BB">
        <w:rPr>
          <w:rFonts w:ascii="Arial" w:hAnsi="Arial" w:cs="Arial"/>
        </w:rPr>
        <w:t>consequently</w:t>
      </w:r>
      <w:r w:rsidR="00D96E2F">
        <w:rPr>
          <w:rFonts w:ascii="Arial" w:hAnsi="Arial" w:cs="Arial"/>
        </w:rPr>
        <w:t xml:space="preserve"> resulted in prejudice that required a new trial on charges </w:t>
      </w:r>
      <w:r w:rsidR="003D700B">
        <w:rPr>
          <w:rFonts w:ascii="Arial" w:hAnsi="Arial" w:cs="Arial"/>
        </w:rPr>
        <w:t>for which</w:t>
      </w:r>
      <w:r w:rsidR="00D96E2F">
        <w:rPr>
          <w:rFonts w:ascii="Arial" w:hAnsi="Arial" w:cs="Arial"/>
        </w:rPr>
        <w:t xml:space="preserve"> the error was not harmless. </w:t>
      </w:r>
      <w:r w:rsidR="00D96E2F">
        <w:rPr>
          <w:rFonts w:ascii="Arial" w:hAnsi="Arial" w:cs="Arial"/>
          <w:i/>
          <w:iCs/>
        </w:rPr>
        <w:t>Id</w:t>
      </w:r>
      <w:r w:rsidR="00D96E2F">
        <w:rPr>
          <w:rFonts w:ascii="Arial" w:hAnsi="Arial" w:cs="Arial"/>
        </w:rPr>
        <w:t>. at 636-39.</w:t>
      </w:r>
      <w:r w:rsidR="003D700B">
        <w:rPr>
          <w:rFonts w:ascii="Arial" w:hAnsi="Arial" w:cs="Arial"/>
        </w:rPr>
        <w:t xml:space="preserve"> This approach of not presuming prejudice when a lack of time to prepare affects only a portion of counsel’s performance at a proceeding is supported in United States Supreme Court case law.</w:t>
      </w:r>
      <w:r w:rsidR="00D96E2F">
        <w:rPr>
          <w:rFonts w:ascii="Arial" w:hAnsi="Arial" w:cs="Arial"/>
        </w:rPr>
        <w:t xml:space="preserve"> </w:t>
      </w:r>
      <w:r w:rsidR="0038544D">
        <w:rPr>
          <w:rFonts w:ascii="Arial" w:hAnsi="Arial" w:cs="Arial"/>
          <w:i/>
          <w:iCs/>
        </w:rPr>
        <w:t>Cf.</w:t>
      </w:r>
      <w:r w:rsidR="00D96E2F">
        <w:rPr>
          <w:rFonts w:ascii="Arial" w:hAnsi="Arial" w:cs="Arial"/>
        </w:rPr>
        <w:t xml:space="preserve"> </w:t>
      </w:r>
      <w:proofErr w:type="spellStart"/>
      <w:r w:rsidR="00D96E2F">
        <w:rPr>
          <w:rFonts w:ascii="Arial" w:hAnsi="Arial" w:cs="Arial"/>
          <w:i/>
          <w:iCs/>
        </w:rPr>
        <w:t>Cronic</w:t>
      </w:r>
      <w:proofErr w:type="spellEnd"/>
      <w:r w:rsidR="00D96E2F">
        <w:rPr>
          <w:rFonts w:ascii="Arial" w:hAnsi="Arial" w:cs="Arial"/>
        </w:rPr>
        <w:t>, 466 U.S. at 666, n.41 (</w:t>
      </w:r>
      <w:r w:rsidR="00E46A02">
        <w:rPr>
          <w:rFonts w:ascii="Arial" w:hAnsi="Arial" w:cs="Arial"/>
        </w:rPr>
        <w:t>stating that where defense counsel’s overall performance is not in question on the basis of</w:t>
      </w:r>
      <w:r w:rsidR="00D96E2F">
        <w:rPr>
          <w:rFonts w:ascii="Arial" w:hAnsi="Arial" w:cs="Arial"/>
        </w:rPr>
        <w:t xml:space="preserve"> inadequate time to prepare</w:t>
      </w:r>
      <w:r w:rsidR="00E46A02">
        <w:rPr>
          <w:rFonts w:ascii="Arial" w:hAnsi="Arial" w:cs="Arial"/>
        </w:rPr>
        <w:t xml:space="preserve">, “particular errors and omissions” should be evaluated under the </w:t>
      </w:r>
      <w:r w:rsidR="00E46A02">
        <w:rPr>
          <w:rFonts w:ascii="Arial" w:hAnsi="Arial" w:cs="Arial"/>
          <w:i/>
          <w:iCs/>
        </w:rPr>
        <w:t>Strickland</w:t>
      </w:r>
      <w:r w:rsidR="00E46A02">
        <w:rPr>
          <w:rFonts w:ascii="Arial" w:hAnsi="Arial" w:cs="Arial"/>
        </w:rPr>
        <w:t xml:space="preserve"> framework</w:t>
      </w:r>
      <w:r w:rsidR="00D96E2F">
        <w:rPr>
          <w:rFonts w:ascii="Arial" w:hAnsi="Arial" w:cs="Arial"/>
        </w:rPr>
        <w:t>)</w:t>
      </w:r>
      <w:r w:rsidR="003D700B">
        <w:rPr>
          <w:rFonts w:ascii="Arial" w:hAnsi="Arial" w:cs="Arial"/>
        </w:rPr>
        <w:t>;</w:t>
      </w:r>
      <w:r w:rsidR="003D700B" w:rsidRPr="003D700B">
        <w:rPr>
          <w:rFonts w:ascii="Arial" w:hAnsi="Arial" w:cs="Arial"/>
          <w:i/>
          <w:iCs/>
        </w:rPr>
        <w:t xml:space="preserve"> </w:t>
      </w:r>
      <w:r w:rsidR="003D700B">
        <w:rPr>
          <w:rFonts w:ascii="Arial" w:hAnsi="Arial" w:cs="Arial"/>
        </w:rPr>
        <w:t>Bell v. Cone, 535 U.S. 685, 697 (2002) (</w:t>
      </w:r>
      <w:r w:rsidR="003D700B">
        <w:rPr>
          <w:rFonts w:ascii="Arial" w:hAnsi="Arial" w:cs="Arial"/>
          <w:i/>
          <w:iCs/>
        </w:rPr>
        <w:t xml:space="preserve">Strickland </w:t>
      </w:r>
      <w:r w:rsidR="003D700B">
        <w:rPr>
          <w:rFonts w:ascii="Arial" w:hAnsi="Arial" w:cs="Arial"/>
        </w:rPr>
        <w:t xml:space="preserve">framework applies when specific elements of counsel’s performance are implicated by IAC claim; presumption of prejudice described in </w:t>
      </w:r>
      <w:proofErr w:type="spellStart"/>
      <w:r w:rsidR="003D700B">
        <w:rPr>
          <w:rFonts w:ascii="Arial" w:hAnsi="Arial" w:cs="Arial"/>
          <w:i/>
          <w:iCs/>
        </w:rPr>
        <w:t>Cronic</w:t>
      </w:r>
      <w:proofErr w:type="spellEnd"/>
      <w:r w:rsidR="003D700B">
        <w:rPr>
          <w:rFonts w:ascii="Arial" w:hAnsi="Arial" w:cs="Arial"/>
        </w:rPr>
        <w:t xml:space="preserve"> applies only when the whole of counsel’s performance at a proceeding is implicated)</w:t>
      </w:r>
      <w:r w:rsidR="00D96E2F">
        <w:rPr>
          <w:rFonts w:ascii="Arial" w:hAnsi="Arial" w:cs="Arial"/>
        </w:rPr>
        <w:t>.</w:t>
      </w:r>
      <w:r w:rsidR="00A015BB">
        <w:rPr>
          <w:rFonts w:ascii="Arial" w:hAnsi="Arial" w:cs="Arial"/>
        </w:rPr>
        <w:t xml:space="preserve"> Thus, a trial court evaluating a claim alleging inadequate time to prepare a defense should be mindful of whether the claim call</w:t>
      </w:r>
      <w:r w:rsidR="000F1C27">
        <w:rPr>
          <w:rFonts w:ascii="Arial" w:hAnsi="Arial" w:cs="Arial"/>
        </w:rPr>
        <w:t>s</w:t>
      </w:r>
      <w:r w:rsidR="00A015BB">
        <w:rPr>
          <w:rFonts w:ascii="Arial" w:hAnsi="Arial" w:cs="Arial"/>
        </w:rPr>
        <w:t xml:space="preserve"> into question defense counsel’s overall performance or merely a portion thereof</w:t>
      </w:r>
      <w:r w:rsidR="00CE20CF">
        <w:rPr>
          <w:rFonts w:ascii="Arial" w:hAnsi="Arial" w:cs="Arial"/>
        </w:rPr>
        <w:t xml:space="preserve"> and</w:t>
      </w:r>
      <w:r w:rsidR="007B7B9D">
        <w:rPr>
          <w:rFonts w:ascii="Arial" w:hAnsi="Arial" w:cs="Arial"/>
        </w:rPr>
        <w:t xml:space="preserve">, as in </w:t>
      </w:r>
      <w:r w:rsidR="007B7B9D">
        <w:rPr>
          <w:rFonts w:ascii="Arial" w:hAnsi="Arial" w:cs="Arial"/>
          <w:i/>
          <w:iCs/>
        </w:rPr>
        <w:t>Johnson</w:t>
      </w:r>
      <w:r w:rsidR="007B7B9D">
        <w:rPr>
          <w:rFonts w:ascii="Arial" w:hAnsi="Arial" w:cs="Arial"/>
        </w:rPr>
        <w:t>,</w:t>
      </w:r>
      <w:r w:rsidR="00CE20CF">
        <w:rPr>
          <w:rFonts w:ascii="Arial" w:hAnsi="Arial" w:cs="Arial"/>
        </w:rPr>
        <w:t xml:space="preserve"> should </w:t>
      </w:r>
      <w:r w:rsidR="00EE6353">
        <w:rPr>
          <w:rFonts w:ascii="Arial" w:hAnsi="Arial" w:cs="Arial"/>
        </w:rPr>
        <w:t xml:space="preserve">analyze rather than presume prejudice </w:t>
      </w:r>
      <w:r w:rsidR="00CE20CF">
        <w:rPr>
          <w:rFonts w:ascii="Arial" w:hAnsi="Arial" w:cs="Arial"/>
        </w:rPr>
        <w:t xml:space="preserve">in the </w:t>
      </w:r>
      <w:r w:rsidR="003D700B">
        <w:rPr>
          <w:rFonts w:ascii="Arial" w:hAnsi="Arial" w:cs="Arial"/>
        </w:rPr>
        <w:t>latter</w:t>
      </w:r>
      <w:r w:rsidR="00CE20CF">
        <w:rPr>
          <w:rFonts w:ascii="Arial" w:hAnsi="Arial" w:cs="Arial"/>
        </w:rPr>
        <w:t xml:space="preserve"> case</w:t>
      </w:r>
      <w:r w:rsidR="00A015BB">
        <w:rPr>
          <w:rFonts w:ascii="Arial" w:hAnsi="Arial" w:cs="Arial"/>
        </w:rPr>
        <w:t xml:space="preserve">. </w:t>
      </w:r>
      <w:r w:rsidR="00D96E2F">
        <w:rPr>
          <w:rFonts w:ascii="Arial" w:hAnsi="Arial" w:cs="Arial"/>
        </w:rPr>
        <w:t xml:space="preserve"> </w:t>
      </w:r>
      <w:r w:rsidR="006E724B">
        <w:rPr>
          <w:rFonts w:ascii="Arial" w:hAnsi="Arial" w:cs="Arial"/>
        </w:rPr>
        <w:t xml:space="preserve">   </w:t>
      </w:r>
    </w:p>
    <w:p w14:paraId="24E42CC5" w14:textId="77777777" w:rsidR="0089405B" w:rsidRPr="00F33D10" w:rsidRDefault="0089405B" w:rsidP="00EC21B7">
      <w:pPr>
        <w:pStyle w:val="ListParagraph"/>
        <w:spacing w:after="0" w:line="240" w:lineRule="auto"/>
        <w:ind w:left="1440"/>
        <w:rPr>
          <w:rFonts w:ascii="Arial" w:hAnsi="Arial" w:cs="Arial"/>
          <w:b/>
        </w:rPr>
      </w:pPr>
    </w:p>
    <w:p w14:paraId="609640A8" w14:textId="77777777" w:rsidR="0089405B" w:rsidRPr="00F33D10" w:rsidRDefault="00DB2854" w:rsidP="00EC21B7">
      <w:pPr>
        <w:pStyle w:val="Heading2"/>
        <w:jc w:val="left"/>
      </w:pPr>
      <w:bookmarkStart w:id="4" w:name="_Toc402959269"/>
      <w:r>
        <w:t>Conflict of Interest C</w:t>
      </w:r>
      <w:r w:rsidR="0089405B" w:rsidRPr="00F33D10">
        <w:t>laims</w:t>
      </w:r>
      <w:bookmarkEnd w:id="4"/>
    </w:p>
    <w:p w14:paraId="7F3B449E" w14:textId="36205F2E" w:rsidR="0089405B" w:rsidRPr="00F33D10" w:rsidRDefault="0089405B" w:rsidP="00EC21B7">
      <w:pPr>
        <w:pStyle w:val="ListParagraph"/>
        <w:numPr>
          <w:ilvl w:val="0"/>
          <w:numId w:val="9"/>
        </w:numPr>
        <w:spacing w:after="0" w:line="240" w:lineRule="auto"/>
        <w:rPr>
          <w:rFonts w:ascii="Arial" w:hAnsi="Arial" w:cs="Arial"/>
          <w:b/>
        </w:rPr>
      </w:pPr>
      <w:r w:rsidRPr="00F33D10">
        <w:rPr>
          <w:rFonts w:ascii="Arial" w:hAnsi="Arial" w:cs="Arial"/>
          <w:b/>
        </w:rPr>
        <w:t xml:space="preserve">Defined. </w:t>
      </w:r>
      <w:r w:rsidRPr="00F33D10">
        <w:rPr>
          <w:rFonts w:ascii="Arial" w:hAnsi="Arial" w:cs="Arial"/>
        </w:rPr>
        <w:t xml:space="preserve">In a </w:t>
      </w:r>
      <w:proofErr w:type="gramStart"/>
      <w:r w:rsidRPr="00F33D10">
        <w:rPr>
          <w:rFonts w:ascii="Arial" w:hAnsi="Arial" w:cs="Arial"/>
        </w:rPr>
        <w:t>conflict of interest</w:t>
      </w:r>
      <w:proofErr w:type="gramEnd"/>
      <w:r w:rsidRPr="00F33D10">
        <w:rPr>
          <w:rFonts w:ascii="Arial" w:hAnsi="Arial" w:cs="Arial"/>
        </w:rPr>
        <w:t xml:space="preserve"> claim, </w:t>
      </w:r>
      <w:r w:rsidR="007A584D">
        <w:rPr>
          <w:rFonts w:ascii="Arial" w:hAnsi="Arial" w:cs="Arial"/>
        </w:rPr>
        <w:t xml:space="preserve">a </w:t>
      </w:r>
      <w:r w:rsidRPr="00F33D10">
        <w:rPr>
          <w:rFonts w:ascii="Arial" w:hAnsi="Arial" w:cs="Arial"/>
        </w:rPr>
        <w:t>defendant asserts that counsel was impaired by competing loyalties. These claims arise most commonly in situations</w:t>
      </w:r>
      <w:r w:rsidR="003460AF">
        <w:rPr>
          <w:rFonts w:ascii="Arial" w:hAnsi="Arial" w:cs="Arial"/>
        </w:rPr>
        <w:t xml:space="preserve"> of multiple representation, such as</w:t>
      </w:r>
      <w:r w:rsidRPr="00F33D10">
        <w:rPr>
          <w:rFonts w:ascii="Arial" w:hAnsi="Arial" w:cs="Arial"/>
        </w:rPr>
        <w:t xml:space="preserve"> when counsel represents co-defendants and the co-defendants’ defenses are at odds each other. </w:t>
      </w:r>
      <w:r w:rsidR="0095484C">
        <w:rPr>
          <w:rFonts w:ascii="Arial" w:hAnsi="Arial" w:cs="Arial"/>
        </w:rPr>
        <w:t>C</w:t>
      </w:r>
      <w:r w:rsidRPr="00F33D10">
        <w:rPr>
          <w:rFonts w:ascii="Arial" w:hAnsi="Arial" w:cs="Arial"/>
        </w:rPr>
        <w:t>onflict of interest claims</w:t>
      </w:r>
      <w:r w:rsidR="00F6061D">
        <w:rPr>
          <w:rFonts w:ascii="Arial" w:hAnsi="Arial" w:cs="Arial"/>
        </w:rPr>
        <w:t xml:space="preserve"> also</w:t>
      </w:r>
      <w:r w:rsidRPr="00F33D10">
        <w:rPr>
          <w:rFonts w:ascii="Arial" w:hAnsi="Arial" w:cs="Arial"/>
        </w:rPr>
        <w:t xml:space="preserve"> can arise in other situations, such as when the defendant’s lawyer has been retained to represent a witness for the state.</w:t>
      </w:r>
      <w:r w:rsidR="00A93BFE">
        <w:rPr>
          <w:rFonts w:ascii="Arial" w:hAnsi="Arial" w:cs="Arial"/>
        </w:rPr>
        <w:t xml:space="preserve"> State v. James, 111 N.C. App. 785, 790-92 (1993) (conflict existed where defense counsel represented a key prosecution witness </w:t>
      </w:r>
      <w:r w:rsidR="009C514C">
        <w:rPr>
          <w:rFonts w:ascii="Arial" w:hAnsi="Arial" w:cs="Arial"/>
        </w:rPr>
        <w:t>on</w:t>
      </w:r>
      <w:r w:rsidR="00B20F3B">
        <w:rPr>
          <w:rFonts w:ascii="Arial" w:hAnsi="Arial" w:cs="Arial"/>
        </w:rPr>
        <w:t xml:space="preserve"> a concurrent criminal charge unrelated to the case</w:t>
      </w:r>
      <w:r w:rsidR="00A93BFE">
        <w:rPr>
          <w:rFonts w:ascii="Arial" w:hAnsi="Arial" w:cs="Arial"/>
        </w:rPr>
        <w:t>).</w:t>
      </w:r>
      <w:r w:rsidR="00476093">
        <w:rPr>
          <w:rFonts w:ascii="Arial" w:hAnsi="Arial" w:cs="Arial"/>
        </w:rPr>
        <w:t xml:space="preserve"> Note</w:t>
      </w:r>
      <w:r w:rsidR="0095484C">
        <w:rPr>
          <w:rFonts w:ascii="Arial" w:hAnsi="Arial" w:cs="Arial"/>
        </w:rPr>
        <w:t>, however,</w:t>
      </w:r>
      <w:r w:rsidR="00476093">
        <w:rPr>
          <w:rFonts w:ascii="Arial" w:hAnsi="Arial" w:cs="Arial"/>
        </w:rPr>
        <w:t xml:space="preserve"> that the North Carolina Supreme Court has been careful to limit application of the conflict of interest IAC framework to situations to which it has direct relevance</w:t>
      </w:r>
      <w:r w:rsidR="003460AF">
        <w:rPr>
          <w:rFonts w:ascii="Arial" w:hAnsi="Arial" w:cs="Arial"/>
        </w:rPr>
        <w:t>,</w:t>
      </w:r>
      <w:r w:rsidR="00476093">
        <w:rPr>
          <w:rFonts w:ascii="Arial" w:hAnsi="Arial" w:cs="Arial"/>
        </w:rPr>
        <w:t xml:space="preserve"> State v. Phillips, 365 N.C. 103, 121-22 (2011) (declining to apply </w:t>
      </w:r>
      <w:r w:rsidR="00476093">
        <w:rPr>
          <w:rFonts w:ascii="Arial" w:hAnsi="Arial" w:cs="Arial"/>
          <w:i/>
          <w:iCs/>
        </w:rPr>
        <w:t xml:space="preserve">Holloway v. Arkansas </w:t>
      </w:r>
      <w:r w:rsidR="00476093">
        <w:rPr>
          <w:rFonts w:ascii="Arial" w:hAnsi="Arial" w:cs="Arial"/>
        </w:rPr>
        <w:t xml:space="preserve">and its progeny to an IAC claim </w:t>
      </w:r>
      <w:r w:rsidR="0095484C">
        <w:rPr>
          <w:rFonts w:ascii="Arial" w:hAnsi="Arial" w:cs="Arial"/>
        </w:rPr>
        <w:t xml:space="preserve">styled as a conflict of interest </w:t>
      </w:r>
      <w:r w:rsidR="00476093">
        <w:rPr>
          <w:rFonts w:ascii="Arial" w:hAnsi="Arial" w:cs="Arial"/>
        </w:rPr>
        <w:t xml:space="preserve">based on an alleged violation of Rule 3.7(a) of the North Carolina Rules of Professional Conduct (lawyer as witness); applying </w:t>
      </w:r>
      <w:r w:rsidR="00476093">
        <w:rPr>
          <w:rFonts w:ascii="Arial" w:hAnsi="Arial" w:cs="Arial"/>
          <w:i/>
          <w:iCs/>
        </w:rPr>
        <w:t xml:space="preserve">Strickland </w:t>
      </w:r>
      <w:r w:rsidR="00476093">
        <w:rPr>
          <w:rFonts w:ascii="Arial" w:hAnsi="Arial" w:cs="Arial"/>
        </w:rPr>
        <w:t>instead)</w:t>
      </w:r>
      <w:r w:rsidR="003460AF">
        <w:rPr>
          <w:rFonts w:ascii="Arial" w:hAnsi="Arial" w:cs="Arial"/>
        </w:rPr>
        <w:t xml:space="preserve">, and that the United States Supreme Court has emphasized that its </w:t>
      </w:r>
      <w:r w:rsidR="009901A8">
        <w:rPr>
          <w:rFonts w:ascii="Arial" w:hAnsi="Arial" w:cs="Arial"/>
        </w:rPr>
        <w:t xml:space="preserve">IAC </w:t>
      </w:r>
      <w:r w:rsidR="003460AF">
        <w:rPr>
          <w:rFonts w:ascii="Arial" w:hAnsi="Arial" w:cs="Arial"/>
        </w:rPr>
        <w:t xml:space="preserve">case law </w:t>
      </w:r>
      <w:r w:rsidR="009901A8">
        <w:rPr>
          <w:rFonts w:ascii="Arial" w:hAnsi="Arial" w:cs="Arial"/>
        </w:rPr>
        <w:t xml:space="preserve">involving conflicts of interest </w:t>
      </w:r>
      <w:r w:rsidR="003460AF">
        <w:rPr>
          <w:rFonts w:ascii="Arial" w:hAnsi="Arial" w:cs="Arial"/>
        </w:rPr>
        <w:t>primarily has</w:t>
      </w:r>
      <w:r w:rsidR="009901A8">
        <w:rPr>
          <w:rFonts w:ascii="Arial" w:hAnsi="Arial" w:cs="Arial"/>
        </w:rPr>
        <w:t xml:space="preserve"> been</w:t>
      </w:r>
      <w:r w:rsidR="003460AF">
        <w:rPr>
          <w:rFonts w:ascii="Arial" w:hAnsi="Arial" w:cs="Arial"/>
        </w:rPr>
        <w:t xml:space="preserve"> </w:t>
      </w:r>
      <w:r w:rsidR="009901A8">
        <w:rPr>
          <w:rFonts w:ascii="Arial" w:hAnsi="Arial" w:cs="Arial"/>
        </w:rPr>
        <w:t>developed in the context of</w:t>
      </w:r>
      <w:r w:rsidR="003460AF">
        <w:rPr>
          <w:rFonts w:ascii="Arial" w:hAnsi="Arial" w:cs="Arial"/>
        </w:rPr>
        <w:t xml:space="preserve"> multiple representation</w:t>
      </w:r>
      <w:r w:rsidR="00476093">
        <w:rPr>
          <w:rFonts w:ascii="Arial" w:hAnsi="Arial" w:cs="Arial"/>
        </w:rPr>
        <w:t>.</w:t>
      </w:r>
      <w:r w:rsidR="0095484C">
        <w:rPr>
          <w:rFonts w:ascii="Arial" w:hAnsi="Arial" w:cs="Arial"/>
        </w:rPr>
        <w:t xml:space="preserve"> Mickens v. Taylor, 535 U.S. 162, 174-76 (2002).</w:t>
      </w:r>
    </w:p>
    <w:p w14:paraId="1FC46E91" w14:textId="4D369A02" w:rsidR="0089405B" w:rsidRPr="00F33D10" w:rsidRDefault="0089405B" w:rsidP="00EC21B7">
      <w:pPr>
        <w:pStyle w:val="ListParagraph"/>
        <w:numPr>
          <w:ilvl w:val="0"/>
          <w:numId w:val="9"/>
        </w:numPr>
        <w:spacing w:after="0" w:line="240" w:lineRule="auto"/>
        <w:rPr>
          <w:rFonts w:ascii="Arial" w:hAnsi="Arial" w:cs="Arial"/>
          <w:b/>
        </w:rPr>
      </w:pPr>
      <w:r w:rsidRPr="00F33D10">
        <w:rPr>
          <w:rFonts w:ascii="Arial" w:hAnsi="Arial" w:cs="Arial"/>
          <w:b/>
        </w:rPr>
        <w:t>Standard.</w:t>
      </w:r>
      <w:r w:rsidRPr="00F33D10">
        <w:rPr>
          <w:rFonts w:ascii="Arial" w:hAnsi="Arial" w:cs="Arial"/>
        </w:rPr>
        <w:t xml:space="preserve"> The standard for evaluating a </w:t>
      </w:r>
      <w:proofErr w:type="gramStart"/>
      <w:r w:rsidRPr="00F33D10">
        <w:rPr>
          <w:rFonts w:ascii="Arial" w:hAnsi="Arial" w:cs="Arial"/>
        </w:rPr>
        <w:t>conflict of interest</w:t>
      </w:r>
      <w:proofErr w:type="gramEnd"/>
      <w:r w:rsidRPr="00F33D10">
        <w:rPr>
          <w:rFonts w:ascii="Arial" w:hAnsi="Arial" w:cs="Arial"/>
        </w:rPr>
        <w:t xml:space="preserve"> claim depends on </w:t>
      </w:r>
      <w:r w:rsidR="00EF25CD">
        <w:rPr>
          <w:rFonts w:ascii="Arial" w:hAnsi="Arial" w:cs="Arial"/>
        </w:rPr>
        <w:t xml:space="preserve">how and </w:t>
      </w:r>
      <w:r w:rsidRPr="00F33D10">
        <w:rPr>
          <w:rFonts w:ascii="Arial" w:hAnsi="Arial" w:cs="Arial"/>
        </w:rPr>
        <w:t>when the claim was raised</w:t>
      </w:r>
      <w:r w:rsidR="00EF25CD">
        <w:rPr>
          <w:rFonts w:ascii="Arial" w:hAnsi="Arial" w:cs="Arial"/>
        </w:rPr>
        <w:t>, and also depends on the manner in which the original trial judge addressed the claim</w:t>
      </w:r>
      <w:r w:rsidRPr="00F33D10">
        <w:rPr>
          <w:rFonts w:ascii="Arial" w:hAnsi="Arial" w:cs="Arial"/>
        </w:rPr>
        <w:t>.</w:t>
      </w:r>
    </w:p>
    <w:p w14:paraId="4DD26C3E" w14:textId="31EFD9E6" w:rsidR="0089405B" w:rsidRPr="00F33D10" w:rsidRDefault="00EF25CD" w:rsidP="00EC21B7">
      <w:pPr>
        <w:pStyle w:val="ListParagraph"/>
        <w:numPr>
          <w:ilvl w:val="0"/>
          <w:numId w:val="10"/>
        </w:numPr>
        <w:spacing w:after="0" w:line="240" w:lineRule="auto"/>
        <w:rPr>
          <w:rFonts w:ascii="Arial" w:hAnsi="Arial" w:cs="Arial"/>
          <w:b/>
        </w:rPr>
      </w:pPr>
      <w:r>
        <w:rPr>
          <w:rFonts w:ascii="Arial" w:hAnsi="Arial" w:cs="Arial"/>
          <w:b/>
        </w:rPr>
        <w:t xml:space="preserve">Duty to Address </w:t>
      </w:r>
      <w:r w:rsidR="0089405B" w:rsidRPr="00F33D10">
        <w:rPr>
          <w:rFonts w:ascii="Arial" w:hAnsi="Arial" w:cs="Arial"/>
          <w:b/>
        </w:rPr>
        <w:t xml:space="preserve">Conflict </w:t>
      </w:r>
      <w:r w:rsidR="00DB2854">
        <w:rPr>
          <w:rFonts w:ascii="Arial" w:hAnsi="Arial" w:cs="Arial"/>
          <w:b/>
        </w:rPr>
        <w:t>Raised Before or During T</w:t>
      </w:r>
      <w:r w:rsidR="0089405B" w:rsidRPr="00F33D10">
        <w:rPr>
          <w:rFonts w:ascii="Arial" w:hAnsi="Arial" w:cs="Arial"/>
          <w:b/>
        </w:rPr>
        <w:t xml:space="preserve">rial. </w:t>
      </w:r>
      <w:r w:rsidR="0089405B" w:rsidRPr="00F33D10">
        <w:rPr>
          <w:rFonts w:ascii="Arial" w:hAnsi="Arial" w:cs="Arial"/>
        </w:rPr>
        <w:t>When defense counsel timely raises a</w:t>
      </w:r>
      <w:r>
        <w:rPr>
          <w:rFonts w:ascii="Arial" w:hAnsi="Arial" w:cs="Arial"/>
        </w:rPr>
        <w:t xml:space="preserve">n objection to representation </w:t>
      </w:r>
      <w:proofErr w:type="gramStart"/>
      <w:r>
        <w:rPr>
          <w:rFonts w:ascii="Arial" w:hAnsi="Arial" w:cs="Arial"/>
        </w:rPr>
        <w:t>on the basis of</w:t>
      </w:r>
      <w:proofErr w:type="gramEnd"/>
      <w:r>
        <w:rPr>
          <w:rFonts w:ascii="Arial" w:hAnsi="Arial" w:cs="Arial"/>
        </w:rPr>
        <w:t xml:space="preserve"> a</w:t>
      </w:r>
      <w:r w:rsidR="0089405B" w:rsidRPr="00F33D10">
        <w:rPr>
          <w:rFonts w:ascii="Arial" w:hAnsi="Arial" w:cs="Arial"/>
        </w:rPr>
        <w:t xml:space="preserve"> conflict of interest before or during trial, the trial court either must appoint separate counsel or take adequate steps </w:t>
      </w:r>
      <w:r w:rsidR="0089405B" w:rsidRPr="00F33D10">
        <w:rPr>
          <w:rFonts w:ascii="Arial" w:hAnsi="Arial" w:cs="Arial"/>
        </w:rPr>
        <w:lastRenderedPageBreak/>
        <w:t>to ascertain that the risk of conflict is too remote to warrant separate counsel. Holloway v. Arkansas,</w:t>
      </w:r>
      <w:r w:rsidR="0089405B" w:rsidRPr="00F33D10">
        <w:rPr>
          <w:rFonts w:ascii="Arial" w:hAnsi="Arial" w:cs="Arial"/>
          <w:i/>
        </w:rPr>
        <w:t xml:space="preserve"> </w:t>
      </w:r>
      <w:r w:rsidR="0089405B" w:rsidRPr="00F33D10">
        <w:rPr>
          <w:rFonts w:ascii="Arial" w:hAnsi="Arial" w:cs="Arial"/>
        </w:rPr>
        <w:t xml:space="preserve">435 U.S. 475 (1978). </w:t>
      </w:r>
      <w:r w:rsidR="004873F2">
        <w:rPr>
          <w:rFonts w:ascii="Arial" w:hAnsi="Arial" w:cs="Arial"/>
        </w:rPr>
        <w:t>Even where defense counsel does not raise the issue, when the trial court knows or reasonably should know of a “particular conflict</w:t>
      </w:r>
      <w:r w:rsidR="00B876CC">
        <w:rPr>
          <w:rFonts w:ascii="Arial" w:hAnsi="Arial" w:cs="Arial"/>
        </w:rPr>
        <w:t>,</w:t>
      </w:r>
      <w:r w:rsidR="004873F2">
        <w:rPr>
          <w:rFonts w:ascii="Arial" w:hAnsi="Arial" w:cs="Arial"/>
        </w:rPr>
        <w:t>”</w:t>
      </w:r>
      <w:r w:rsidR="00B876CC">
        <w:rPr>
          <w:rFonts w:ascii="Arial" w:hAnsi="Arial" w:cs="Arial"/>
        </w:rPr>
        <w:t xml:space="preserve"> the court “must inquire” into the propriety of the representation. State v. Choudhry, 365 N.C. 215, 220 (2011) </w:t>
      </w:r>
      <w:r w:rsidR="004873F2">
        <w:rPr>
          <w:rFonts w:ascii="Arial" w:hAnsi="Arial" w:cs="Arial"/>
        </w:rPr>
        <w:t>(</w:t>
      </w:r>
      <w:r w:rsidR="00B876CC">
        <w:rPr>
          <w:rFonts w:ascii="Arial" w:hAnsi="Arial" w:cs="Arial"/>
        </w:rPr>
        <w:t xml:space="preserve">emphasizing that </w:t>
      </w:r>
      <w:r w:rsidR="006254F0">
        <w:rPr>
          <w:rFonts w:ascii="Arial" w:hAnsi="Arial" w:cs="Arial"/>
        </w:rPr>
        <w:t xml:space="preserve">while </w:t>
      </w:r>
      <w:r w:rsidR="00B876CC">
        <w:rPr>
          <w:rFonts w:ascii="Arial" w:hAnsi="Arial" w:cs="Arial"/>
        </w:rPr>
        <w:t xml:space="preserve">“a </w:t>
      </w:r>
      <w:r w:rsidR="004873F2">
        <w:rPr>
          <w:rFonts w:ascii="Arial" w:hAnsi="Arial" w:cs="Arial"/>
        </w:rPr>
        <w:t>vague</w:t>
      </w:r>
      <w:r w:rsidR="00B876CC">
        <w:rPr>
          <w:rFonts w:ascii="Arial" w:hAnsi="Arial" w:cs="Arial"/>
        </w:rPr>
        <w:t>, unspecified</w:t>
      </w:r>
      <w:r w:rsidR="004873F2">
        <w:rPr>
          <w:rFonts w:ascii="Arial" w:hAnsi="Arial" w:cs="Arial"/>
        </w:rPr>
        <w:t xml:space="preserve"> possibility</w:t>
      </w:r>
      <w:r w:rsidR="00B876CC">
        <w:rPr>
          <w:rFonts w:ascii="Arial" w:hAnsi="Arial" w:cs="Arial"/>
        </w:rPr>
        <w:t xml:space="preserve"> of conflict” is insufficient to trigger an inquiry,</w:t>
      </w:r>
      <w:r w:rsidR="006254F0">
        <w:rPr>
          <w:rFonts w:ascii="Arial" w:hAnsi="Arial" w:cs="Arial"/>
        </w:rPr>
        <w:t xml:space="preserve"> the</w:t>
      </w:r>
      <w:r w:rsidR="00B876CC">
        <w:rPr>
          <w:rFonts w:ascii="Arial" w:hAnsi="Arial" w:cs="Arial"/>
        </w:rPr>
        <w:t xml:space="preserve"> trial court was required to inquire into potential conflict caused by defense counsel’</w:t>
      </w:r>
      <w:r w:rsidR="00430EB3">
        <w:rPr>
          <w:rFonts w:ascii="Arial" w:hAnsi="Arial" w:cs="Arial"/>
        </w:rPr>
        <w:t>s</w:t>
      </w:r>
      <w:r w:rsidR="00B876CC">
        <w:rPr>
          <w:rFonts w:ascii="Arial" w:hAnsi="Arial" w:cs="Arial"/>
        </w:rPr>
        <w:t xml:space="preserve"> prior representation of</w:t>
      </w:r>
      <w:r w:rsidR="00430EB3">
        <w:rPr>
          <w:rFonts w:ascii="Arial" w:hAnsi="Arial" w:cs="Arial"/>
        </w:rPr>
        <w:t xml:space="preserve"> prosecution witness where State raised the issue</w:t>
      </w:r>
      <w:r w:rsidR="004873F2">
        <w:rPr>
          <w:rFonts w:ascii="Arial" w:hAnsi="Arial" w:cs="Arial"/>
        </w:rPr>
        <w:t>).</w:t>
      </w:r>
    </w:p>
    <w:p w14:paraId="1C8F6FE0" w14:textId="202CE2BA" w:rsidR="0089405B" w:rsidRPr="00286E45" w:rsidRDefault="0089405B" w:rsidP="00EC21B7">
      <w:pPr>
        <w:pStyle w:val="ListParagraph"/>
        <w:numPr>
          <w:ilvl w:val="0"/>
          <w:numId w:val="11"/>
        </w:numPr>
        <w:spacing w:after="0" w:line="240" w:lineRule="auto"/>
        <w:rPr>
          <w:rFonts w:ascii="Arial" w:hAnsi="Arial" w:cs="Arial"/>
          <w:b/>
        </w:rPr>
      </w:pPr>
      <w:r w:rsidRPr="00E54159">
        <w:rPr>
          <w:rFonts w:ascii="Arial" w:hAnsi="Arial" w:cs="Arial"/>
          <w:b/>
        </w:rPr>
        <w:t xml:space="preserve">Standard. </w:t>
      </w:r>
      <w:r w:rsidR="00430EB3">
        <w:rPr>
          <w:rFonts w:ascii="Arial" w:hAnsi="Arial" w:cs="Arial"/>
        </w:rPr>
        <w:t xml:space="preserve">In cases where defense counsel </w:t>
      </w:r>
      <w:r w:rsidR="00B66AF0">
        <w:rPr>
          <w:rFonts w:ascii="Arial" w:hAnsi="Arial" w:cs="Arial"/>
        </w:rPr>
        <w:t xml:space="preserve">objects to representation </w:t>
      </w:r>
      <w:proofErr w:type="gramStart"/>
      <w:r w:rsidR="00B66AF0">
        <w:rPr>
          <w:rFonts w:ascii="Arial" w:hAnsi="Arial" w:cs="Arial"/>
        </w:rPr>
        <w:t>on the basis of</w:t>
      </w:r>
      <w:proofErr w:type="gramEnd"/>
      <w:r w:rsidR="00B66AF0">
        <w:rPr>
          <w:rFonts w:ascii="Arial" w:hAnsi="Arial" w:cs="Arial"/>
        </w:rPr>
        <w:t xml:space="preserve"> conflict of interest</w:t>
      </w:r>
      <w:r w:rsidR="00430EB3">
        <w:rPr>
          <w:rFonts w:ascii="Arial" w:hAnsi="Arial" w:cs="Arial"/>
        </w:rPr>
        <w:t>,</w:t>
      </w:r>
      <w:r w:rsidRPr="00E54159">
        <w:rPr>
          <w:rFonts w:ascii="Arial" w:hAnsi="Arial" w:cs="Arial"/>
        </w:rPr>
        <w:t xml:space="preserve"> the trial court </w:t>
      </w:r>
      <w:r w:rsidR="00430EB3">
        <w:rPr>
          <w:rFonts w:ascii="Arial" w:hAnsi="Arial" w:cs="Arial"/>
        </w:rPr>
        <w:t xml:space="preserve">must appoint separate counsel or make a determination that the </w:t>
      </w:r>
      <w:r w:rsidR="00D368D2">
        <w:rPr>
          <w:rFonts w:ascii="Arial" w:hAnsi="Arial" w:cs="Arial"/>
        </w:rPr>
        <w:t>alleged</w:t>
      </w:r>
      <w:r w:rsidR="00430EB3">
        <w:rPr>
          <w:rFonts w:ascii="Arial" w:hAnsi="Arial" w:cs="Arial"/>
        </w:rPr>
        <w:t xml:space="preserve"> conflict does not imperil the defendant’s right to a fair trial after affording the defense an opportunity to make a showing on the issue. </w:t>
      </w:r>
      <w:r w:rsidR="00430EB3" w:rsidRPr="0047432E">
        <w:rPr>
          <w:rFonts w:ascii="Arial" w:hAnsi="Arial" w:cs="Arial"/>
        </w:rPr>
        <w:t>Cuyler v. Sullivan,</w:t>
      </w:r>
      <w:r w:rsidR="00430EB3" w:rsidRPr="0047432E">
        <w:rPr>
          <w:rFonts w:ascii="Arial" w:hAnsi="Arial" w:cs="Arial"/>
          <w:i/>
        </w:rPr>
        <w:t xml:space="preserve"> </w:t>
      </w:r>
      <w:r w:rsidR="00430EB3" w:rsidRPr="0047432E">
        <w:rPr>
          <w:rFonts w:ascii="Arial" w:hAnsi="Arial" w:cs="Arial"/>
        </w:rPr>
        <w:t>446 U.S. 335</w:t>
      </w:r>
      <w:r w:rsidR="00430EB3">
        <w:rPr>
          <w:rFonts w:ascii="Arial" w:hAnsi="Arial" w:cs="Arial"/>
        </w:rPr>
        <w:t>,</w:t>
      </w:r>
      <w:r w:rsidR="00286E45">
        <w:rPr>
          <w:rFonts w:ascii="Arial" w:hAnsi="Arial" w:cs="Arial"/>
        </w:rPr>
        <w:t xml:space="preserve"> 348</w:t>
      </w:r>
      <w:r w:rsidR="00430EB3" w:rsidRPr="0047432E">
        <w:rPr>
          <w:rFonts w:ascii="Arial" w:hAnsi="Arial" w:cs="Arial"/>
        </w:rPr>
        <w:t xml:space="preserve"> (1980).</w:t>
      </w:r>
      <w:r w:rsidR="00430EB3">
        <w:rPr>
          <w:rFonts w:ascii="Arial" w:hAnsi="Arial" w:cs="Arial"/>
        </w:rPr>
        <w:t xml:space="preserve"> </w:t>
      </w:r>
      <w:r w:rsidR="00EC6758">
        <w:rPr>
          <w:rFonts w:ascii="Arial" w:hAnsi="Arial" w:cs="Arial"/>
        </w:rPr>
        <w:t xml:space="preserve"> A</w:t>
      </w:r>
      <w:r w:rsidR="00430EB3">
        <w:rPr>
          <w:rFonts w:ascii="Arial" w:hAnsi="Arial" w:cs="Arial"/>
        </w:rPr>
        <w:t xml:space="preserve"> trial court</w:t>
      </w:r>
      <w:r w:rsidR="000D6B6E">
        <w:rPr>
          <w:rFonts w:ascii="Arial" w:hAnsi="Arial" w:cs="Arial"/>
        </w:rPr>
        <w:t>’s failure to</w:t>
      </w:r>
      <w:r w:rsidR="003873CB">
        <w:rPr>
          <w:rFonts w:ascii="Arial" w:hAnsi="Arial" w:cs="Arial"/>
        </w:rPr>
        <w:t xml:space="preserve"> appoint separate </w:t>
      </w:r>
      <w:proofErr w:type="spellStart"/>
      <w:r w:rsidR="003873CB">
        <w:rPr>
          <w:rFonts w:ascii="Arial" w:hAnsi="Arial" w:cs="Arial"/>
        </w:rPr>
        <w:t>counsel or</w:t>
      </w:r>
      <w:proofErr w:type="spellEnd"/>
      <w:r w:rsidR="00430EB3">
        <w:rPr>
          <w:rFonts w:ascii="Arial" w:hAnsi="Arial" w:cs="Arial"/>
        </w:rPr>
        <w:t xml:space="preserve"> </w:t>
      </w:r>
      <w:r w:rsidRPr="00E54159">
        <w:rPr>
          <w:rFonts w:ascii="Arial" w:hAnsi="Arial" w:cs="Arial"/>
        </w:rPr>
        <w:t xml:space="preserve">to </w:t>
      </w:r>
      <w:r w:rsidR="00D368D2">
        <w:rPr>
          <w:rFonts w:ascii="Arial" w:hAnsi="Arial" w:cs="Arial"/>
        </w:rPr>
        <w:t>afford the defense an opportunity to make a showing on the issue</w:t>
      </w:r>
      <w:r w:rsidR="000D6B6E">
        <w:rPr>
          <w:rFonts w:ascii="Arial" w:hAnsi="Arial" w:cs="Arial"/>
        </w:rPr>
        <w:t xml:space="preserve"> is</w:t>
      </w:r>
      <w:r w:rsidRPr="00E54159">
        <w:rPr>
          <w:rFonts w:ascii="Arial" w:hAnsi="Arial" w:cs="Arial"/>
        </w:rPr>
        <w:t xml:space="preserve"> reversible error.</w:t>
      </w:r>
      <w:r w:rsidR="00286E45">
        <w:rPr>
          <w:rFonts w:ascii="Arial" w:hAnsi="Arial" w:cs="Arial"/>
        </w:rPr>
        <w:t xml:space="preserve"> </w:t>
      </w:r>
      <w:r w:rsidR="00286E45">
        <w:rPr>
          <w:rFonts w:ascii="Arial" w:hAnsi="Arial" w:cs="Arial"/>
          <w:i/>
          <w:iCs/>
        </w:rPr>
        <w:t>Id</w:t>
      </w:r>
      <w:r w:rsidR="00286E45">
        <w:rPr>
          <w:rFonts w:ascii="Arial" w:hAnsi="Arial" w:cs="Arial"/>
        </w:rPr>
        <w:t>.</w:t>
      </w:r>
    </w:p>
    <w:p w14:paraId="123F8C84" w14:textId="00AD446D" w:rsidR="00D368D2" w:rsidRDefault="00286E45" w:rsidP="006942FB">
      <w:pPr>
        <w:pStyle w:val="ListParagraph"/>
        <w:spacing w:after="0" w:line="240" w:lineRule="auto"/>
        <w:ind w:left="3240" w:firstLine="360"/>
        <w:rPr>
          <w:rFonts w:ascii="Arial" w:hAnsi="Arial" w:cs="Arial"/>
          <w:bCs/>
        </w:rPr>
      </w:pPr>
      <w:r>
        <w:rPr>
          <w:rFonts w:ascii="Arial" w:hAnsi="Arial" w:cs="Arial"/>
          <w:bCs/>
        </w:rPr>
        <w:t xml:space="preserve">In cases where defense counsel does not raise the </w:t>
      </w:r>
      <w:proofErr w:type="gramStart"/>
      <w:r>
        <w:rPr>
          <w:rFonts w:ascii="Arial" w:hAnsi="Arial" w:cs="Arial"/>
          <w:bCs/>
        </w:rPr>
        <w:t>issue</w:t>
      </w:r>
      <w:proofErr w:type="gramEnd"/>
      <w:r>
        <w:rPr>
          <w:rFonts w:ascii="Arial" w:hAnsi="Arial" w:cs="Arial"/>
          <w:bCs/>
        </w:rPr>
        <w:t xml:space="preserve"> but the trial court </w:t>
      </w:r>
      <w:r w:rsidR="00EF25CD">
        <w:rPr>
          <w:rFonts w:ascii="Arial" w:hAnsi="Arial" w:cs="Arial"/>
          <w:bCs/>
        </w:rPr>
        <w:t xml:space="preserve">otherwise </w:t>
      </w:r>
      <w:r>
        <w:rPr>
          <w:rFonts w:ascii="Arial" w:hAnsi="Arial" w:cs="Arial"/>
          <w:bCs/>
        </w:rPr>
        <w:t>has notice of the possibility of a conflict</w:t>
      </w:r>
      <w:r w:rsidR="003873CB">
        <w:rPr>
          <w:rFonts w:ascii="Arial" w:hAnsi="Arial" w:cs="Arial"/>
          <w:bCs/>
        </w:rPr>
        <w:t xml:space="preserve"> of interest</w:t>
      </w:r>
      <w:r>
        <w:rPr>
          <w:rFonts w:ascii="Arial" w:hAnsi="Arial" w:cs="Arial"/>
          <w:bCs/>
        </w:rPr>
        <w:t>,</w:t>
      </w:r>
      <w:r w:rsidR="00E8723E">
        <w:rPr>
          <w:rFonts w:ascii="Arial" w:hAnsi="Arial" w:cs="Arial"/>
          <w:bCs/>
        </w:rPr>
        <w:t xml:space="preserve"> </w:t>
      </w:r>
      <w:r w:rsidR="00EF25CD">
        <w:rPr>
          <w:rFonts w:ascii="Arial" w:hAnsi="Arial" w:cs="Arial"/>
          <w:bCs/>
        </w:rPr>
        <w:t xml:space="preserve">the trial court must make </w:t>
      </w:r>
      <w:r w:rsidR="00E8723E">
        <w:rPr>
          <w:rFonts w:ascii="Arial" w:hAnsi="Arial" w:cs="Arial"/>
          <w:bCs/>
        </w:rPr>
        <w:t xml:space="preserve">an inquiry into the potential conflict. </w:t>
      </w:r>
      <w:r w:rsidR="00E8723E">
        <w:rPr>
          <w:rFonts w:ascii="Arial" w:hAnsi="Arial" w:cs="Arial"/>
          <w:bCs/>
          <w:i/>
          <w:iCs/>
        </w:rPr>
        <w:t>Choudhry</w:t>
      </w:r>
      <w:r w:rsidR="00E8723E">
        <w:rPr>
          <w:rFonts w:ascii="Arial" w:hAnsi="Arial" w:cs="Arial"/>
          <w:bCs/>
        </w:rPr>
        <w:t>, 365 N.C. at 221.</w:t>
      </w:r>
      <w:r>
        <w:rPr>
          <w:rFonts w:ascii="Arial" w:hAnsi="Arial" w:cs="Arial"/>
          <w:bCs/>
        </w:rPr>
        <w:t xml:space="preserve"> </w:t>
      </w:r>
      <w:r w:rsidR="00EF25CD">
        <w:rPr>
          <w:rFonts w:ascii="Arial" w:hAnsi="Arial" w:cs="Arial"/>
          <w:bCs/>
        </w:rPr>
        <w:t>While a “full-blown” evidentiary hearing is not mandatory in all such cases, t</w:t>
      </w:r>
      <w:r>
        <w:rPr>
          <w:rFonts w:ascii="Arial" w:hAnsi="Arial" w:cs="Arial"/>
          <w:bCs/>
        </w:rPr>
        <w:t xml:space="preserve">he trial court </w:t>
      </w:r>
      <w:r w:rsidR="00EF25CD">
        <w:rPr>
          <w:rFonts w:ascii="Arial" w:hAnsi="Arial" w:cs="Arial"/>
          <w:bCs/>
        </w:rPr>
        <w:t>must</w:t>
      </w:r>
      <w:r>
        <w:rPr>
          <w:rFonts w:ascii="Arial" w:hAnsi="Arial" w:cs="Arial"/>
          <w:bCs/>
        </w:rPr>
        <w:t xml:space="preserve"> use its discretion to determine what form of inquiry is “adequate and sufficient” </w:t>
      </w:r>
      <w:r w:rsidR="006942FB">
        <w:rPr>
          <w:rFonts w:ascii="Arial" w:hAnsi="Arial" w:cs="Arial"/>
          <w:bCs/>
        </w:rPr>
        <w:t xml:space="preserve">to inform the defendant of the implications of the potential conflict, determine whether any conflict exists, and, if necessary or appropriate, take a valid waiver of conflict-free representation. </w:t>
      </w:r>
      <w:r w:rsidR="00E8723E">
        <w:rPr>
          <w:rFonts w:ascii="Arial" w:hAnsi="Arial" w:cs="Arial"/>
          <w:bCs/>
          <w:i/>
          <w:iCs/>
        </w:rPr>
        <w:t>Id</w:t>
      </w:r>
      <w:r w:rsidR="006942FB">
        <w:rPr>
          <w:rFonts w:ascii="Arial" w:hAnsi="Arial" w:cs="Arial"/>
          <w:bCs/>
        </w:rPr>
        <w:t>. at 223.</w:t>
      </w:r>
      <w:r w:rsidR="00361B08">
        <w:rPr>
          <w:rFonts w:ascii="Arial" w:hAnsi="Arial" w:cs="Arial"/>
          <w:bCs/>
        </w:rPr>
        <w:t xml:space="preserve"> </w:t>
      </w:r>
      <w:r w:rsidR="00E8723E">
        <w:rPr>
          <w:rFonts w:ascii="Arial" w:hAnsi="Arial" w:cs="Arial"/>
          <w:bCs/>
        </w:rPr>
        <w:t>I</w:t>
      </w:r>
      <w:r w:rsidR="006942FB">
        <w:rPr>
          <w:rFonts w:ascii="Arial" w:hAnsi="Arial" w:cs="Arial"/>
          <w:bCs/>
        </w:rPr>
        <w:t xml:space="preserve">f </w:t>
      </w:r>
      <w:r w:rsidR="00361B08">
        <w:rPr>
          <w:rFonts w:ascii="Arial" w:hAnsi="Arial" w:cs="Arial"/>
          <w:bCs/>
        </w:rPr>
        <w:t xml:space="preserve">the trial court determines that </w:t>
      </w:r>
      <w:r w:rsidR="006942FB">
        <w:rPr>
          <w:rFonts w:ascii="Arial" w:hAnsi="Arial" w:cs="Arial"/>
          <w:bCs/>
        </w:rPr>
        <w:t>a conflict exist</w:t>
      </w:r>
      <w:r w:rsidR="00617F5A">
        <w:rPr>
          <w:rFonts w:ascii="Arial" w:hAnsi="Arial" w:cs="Arial"/>
          <w:bCs/>
        </w:rPr>
        <w:t>s</w:t>
      </w:r>
      <w:r w:rsidR="00361B08">
        <w:rPr>
          <w:rFonts w:ascii="Arial" w:hAnsi="Arial" w:cs="Arial"/>
          <w:bCs/>
        </w:rPr>
        <w:t>, it must sufficiently inform the defendant of the implications of the conflict to ensure any waiver thereof is knowing, intelligent, and voluntary.</w:t>
      </w:r>
      <w:r w:rsidR="006942FB">
        <w:rPr>
          <w:rFonts w:ascii="Arial" w:hAnsi="Arial" w:cs="Arial"/>
          <w:bCs/>
        </w:rPr>
        <w:t xml:space="preserve"> </w:t>
      </w:r>
      <w:r w:rsidR="006942FB">
        <w:rPr>
          <w:rFonts w:ascii="Arial" w:hAnsi="Arial" w:cs="Arial"/>
          <w:bCs/>
          <w:i/>
          <w:iCs/>
        </w:rPr>
        <w:t>Id</w:t>
      </w:r>
      <w:r w:rsidR="006942FB">
        <w:rPr>
          <w:rFonts w:ascii="Arial" w:hAnsi="Arial" w:cs="Arial"/>
          <w:bCs/>
        </w:rPr>
        <w:t>.</w:t>
      </w:r>
      <w:r w:rsidR="00D368D2">
        <w:rPr>
          <w:rFonts w:ascii="Arial" w:hAnsi="Arial" w:cs="Arial"/>
          <w:bCs/>
        </w:rPr>
        <w:t xml:space="preserve"> </w:t>
      </w:r>
    </w:p>
    <w:p w14:paraId="0B1DC69A" w14:textId="60FC79D2" w:rsidR="00286E45" w:rsidRPr="00B20F3B" w:rsidRDefault="00D368D2" w:rsidP="00D368D2">
      <w:pPr>
        <w:pStyle w:val="ListParagraph"/>
        <w:spacing w:after="0" w:line="240" w:lineRule="auto"/>
        <w:ind w:left="3240" w:firstLine="360"/>
        <w:rPr>
          <w:rFonts w:ascii="Arial" w:hAnsi="Arial" w:cs="Arial"/>
          <w:bCs/>
        </w:rPr>
      </w:pPr>
      <w:r>
        <w:rPr>
          <w:rFonts w:ascii="Arial" w:hAnsi="Arial" w:cs="Arial"/>
          <w:bCs/>
        </w:rPr>
        <w:t xml:space="preserve">The North Carolina Supreme Court has held that where the trial court conducts an inquiry into a potential conflict of </w:t>
      </w:r>
      <w:proofErr w:type="gramStart"/>
      <w:r>
        <w:rPr>
          <w:rFonts w:ascii="Arial" w:hAnsi="Arial" w:cs="Arial"/>
          <w:bCs/>
        </w:rPr>
        <w:t>interest</w:t>
      </w:r>
      <w:proofErr w:type="gramEnd"/>
      <w:r>
        <w:rPr>
          <w:rFonts w:ascii="Arial" w:hAnsi="Arial" w:cs="Arial"/>
          <w:bCs/>
        </w:rPr>
        <w:t xml:space="preserve"> but that inquiry is </w:t>
      </w:r>
      <w:r w:rsidR="0082765C">
        <w:rPr>
          <w:rFonts w:ascii="Arial" w:hAnsi="Arial" w:cs="Arial"/>
          <w:bCs/>
        </w:rPr>
        <w:t xml:space="preserve">inadequate or incomplete, the trial court’s error is presumptively prejudicial where the defendant can demonstrate that an actual conflict of interest adversely affected defense counsel’s performance. </w:t>
      </w:r>
      <w:r w:rsidR="0082765C">
        <w:rPr>
          <w:rFonts w:ascii="Arial" w:hAnsi="Arial" w:cs="Arial"/>
          <w:bCs/>
          <w:i/>
          <w:iCs/>
        </w:rPr>
        <w:t>Id.</w:t>
      </w:r>
      <w:r w:rsidR="0082765C">
        <w:rPr>
          <w:rFonts w:ascii="Arial" w:hAnsi="Arial" w:cs="Arial"/>
          <w:bCs/>
        </w:rPr>
        <w:t xml:space="preserve"> at 224.</w:t>
      </w:r>
      <w:r w:rsidR="000B70B7">
        <w:rPr>
          <w:rFonts w:ascii="Arial" w:hAnsi="Arial" w:cs="Arial"/>
          <w:bCs/>
        </w:rPr>
        <w:t xml:space="preserve"> This approach is consistent with </w:t>
      </w:r>
      <w:r w:rsidR="00B66AF0">
        <w:rPr>
          <w:rFonts w:ascii="Arial" w:hAnsi="Arial" w:cs="Arial"/>
          <w:bCs/>
        </w:rPr>
        <w:t xml:space="preserve">United States Supreme Court case law limiting the remedy of automatic reversal to situations where </w:t>
      </w:r>
      <w:r w:rsidR="0044243C">
        <w:rPr>
          <w:rFonts w:ascii="Arial" w:hAnsi="Arial" w:cs="Arial"/>
          <w:bCs/>
        </w:rPr>
        <w:t>a</w:t>
      </w:r>
      <w:r w:rsidR="00B66AF0">
        <w:rPr>
          <w:rFonts w:ascii="Arial" w:hAnsi="Arial" w:cs="Arial"/>
          <w:bCs/>
        </w:rPr>
        <w:t xml:space="preserve"> trial court</w:t>
      </w:r>
      <w:r w:rsidR="0044243C">
        <w:rPr>
          <w:rFonts w:ascii="Arial" w:hAnsi="Arial" w:cs="Arial"/>
          <w:bCs/>
        </w:rPr>
        <w:t xml:space="preserve"> does not address defense counsel’s objection to representation </w:t>
      </w:r>
      <w:proofErr w:type="gramStart"/>
      <w:r w:rsidR="0044243C">
        <w:rPr>
          <w:rFonts w:ascii="Arial" w:hAnsi="Arial" w:cs="Arial"/>
          <w:bCs/>
        </w:rPr>
        <w:t>on the basis of</w:t>
      </w:r>
      <w:proofErr w:type="gramEnd"/>
      <w:r w:rsidR="0044243C">
        <w:rPr>
          <w:rFonts w:ascii="Arial" w:hAnsi="Arial" w:cs="Arial"/>
          <w:bCs/>
        </w:rPr>
        <w:t xml:space="preserve"> an alleged conflict of interest, and otherwise requiring</w:t>
      </w:r>
      <w:r w:rsidR="00B66AF0">
        <w:rPr>
          <w:rFonts w:ascii="Arial" w:hAnsi="Arial" w:cs="Arial"/>
          <w:bCs/>
        </w:rPr>
        <w:t xml:space="preserve"> </w:t>
      </w:r>
      <w:r w:rsidR="0044243C">
        <w:rPr>
          <w:rFonts w:ascii="Arial" w:hAnsi="Arial" w:cs="Arial"/>
          <w:bCs/>
        </w:rPr>
        <w:t xml:space="preserve">proof that a conflict actually affected counsel’s performance as a prerequisite for relief. </w:t>
      </w:r>
      <w:r w:rsidR="0044243C">
        <w:rPr>
          <w:rFonts w:ascii="Arial" w:hAnsi="Arial" w:cs="Arial"/>
          <w:bCs/>
          <w:i/>
          <w:iCs/>
        </w:rPr>
        <w:t>See generally</w:t>
      </w:r>
      <w:r w:rsidR="0044243C">
        <w:rPr>
          <w:rFonts w:ascii="Arial" w:hAnsi="Arial" w:cs="Arial"/>
          <w:bCs/>
        </w:rPr>
        <w:t xml:space="preserve"> Mickens v. Taylor, 535 U.S. 162, 166-74 (2002). </w:t>
      </w:r>
      <w:r w:rsidR="00B66AF0">
        <w:rPr>
          <w:rFonts w:ascii="Arial" w:hAnsi="Arial" w:cs="Arial"/>
          <w:bCs/>
        </w:rPr>
        <w:t xml:space="preserve"> </w:t>
      </w:r>
    </w:p>
    <w:p w14:paraId="45C3A6B0" w14:textId="24038922" w:rsidR="0089405B" w:rsidRPr="00F33D10" w:rsidRDefault="0089405B" w:rsidP="00EC21B7">
      <w:pPr>
        <w:pStyle w:val="ListParagraph"/>
        <w:numPr>
          <w:ilvl w:val="0"/>
          <w:numId w:val="11"/>
        </w:numPr>
        <w:spacing w:after="0" w:line="240" w:lineRule="auto"/>
        <w:rPr>
          <w:rFonts w:ascii="Arial" w:hAnsi="Arial" w:cs="Arial"/>
          <w:b/>
        </w:rPr>
      </w:pPr>
      <w:r w:rsidRPr="00F33D10">
        <w:rPr>
          <w:rFonts w:ascii="Arial" w:hAnsi="Arial" w:cs="Arial"/>
          <w:b/>
        </w:rPr>
        <w:t xml:space="preserve">Waiver. </w:t>
      </w:r>
      <w:r w:rsidRPr="00F33D10">
        <w:rPr>
          <w:rFonts w:ascii="Arial" w:hAnsi="Arial" w:cs="Arial"/>
        </w:rPr>
        <w:t xml:space="preserve">If a conflict of interest is found, a defendant may waive the right to counsel unimpeded by a conflict of interest. </w:t>
      </w:r>
      <w:r w:rsidRPr="00F33D10">
        <w:rPr>
          <w:rFonts w:ascii="Arial" w:hAnsi="Arial" w:cs="Arial"/>
        </w:rPr>
        <w:lastRenderedPageBreak/>
        <w:t>For information on how to take a waiver in this context, see</w:t>
      </w:r>
      <w:r w:rsidR="00371392">
        <w:rPr>
          <w:rFonts w:ascii="Arial" w:hAnsi="Arial" w:cs="Arial"/>
        </w:rPr>
        <w:t xml:space="preserve"> </w:t>
      </w:r>
      <w:hyperlink r:id="rId9" w:history="1">
        <w:r w:rsidR="00371392" w:rsidRPr="00371392">
          <w:rPr>
            <w:rStyle w:val="Hyperlink"/>
            <w:rFonts w:ascii="Arial" w:hAnsi="Arial" w:cs="Arial"/>
          </w:rPr>
          <w:t>Counsel Issues</w:t>
        </w:r>
      </w:hyperlink>
      <w:r w:rsidR="00371392">
        <w:rPr>
          <w:rFonts w:ascii="Arial" w:hAnsi="Arial" w:cs="Arial"/>
        </w:rPr>
        <w:t xml:space="preserve">, in this </w:t>
      </w:r>
      <w:proofErr w:type="spellStart"/>
      <w:r w:rsidR="00371392">
        <w:rPr>
          <w:rFonts w:ascii="Arial" w:hAnsi="Arial" w:cs="Arial"/>
        </w:rPr>
        <w:t>Benchbook</w:t>
      </w:r>
      <w:proofErr w:type="spellEnd"/>
      <w:r w:rsidRPr="00F33D10">
        <w:rPr>
          <w:rFonts w:ascii="Arial" w:hAnsi="Arial" w:cs="Arial"/>
        </w:rPr>
        <w:t>.</w:t>
      </w:r>
    </w:p>
    <w:p w14:paraId="5B9E9F63" w14:textId="72309F08" w:rsidR="0089405B" w:rsidRPr="00B20F3B" w:rsidRDefault="00DB2854" w:rsidP="00B20F3B">
      <w:pPr>
        <w:pStyle w:val="ListParagraph"/>
        <w:numPr>
          <w:ilvl w:val="0"/>
          <w:numId w:val="10"/>
        </w:numPr>
        <w:spacing w:after="0" w:line="240" w:lineRule="auto"/>
        <w:rPr>
          <w:rFonts w:ascii="Arial" w:hAnsi="Arial" w:cs="Arial"/>
          <w:b/>
        </w:rPr>
      </w:pPr>
      <w:r>
        <w:rPr>
          <w:rFonts w:ascii="Arial" w:hAnsi="Arial" w:cs="Arial"/>
          <w:b/>
        </w:rPr>
        <w:t>Conflict R</w:t>
      </w:r>
      <w:r w:rsidR="0089405B" w:rsidRPr="00F33D10">
        <w:rPr>
          <w:rFonts w:ascii="Arial" w:hAnsi="Arial" w:cs="Arial"/>
          <w:b/>
        </w:rPr>
        <w:t xml:space="preserve">aised </w:t>
      </w:r>
      <w:r>
        <w:rPr>
          <w:rFonts w:ascii="Arial" w:hAnsi="Arial" w:cs="Arial"/>
          <w:b/>
        </w:rPr>
        <w:t>L</w:t>
      </w:r>
      <w:r w:rsidR="0089405B" w:rsidRPr="00F33D10">
        <w:rPr>
          <w:rFonts w:ascii="Arial" w:hAnsi="Arial" w:cs="Arial"/>
          <w:b/>
        </w:rPr>
        <w:t xml:space="preserve">ater. </w:t>
      </w:r>
      <w:r w:rsidR="0089405B" w:rsidRPr="00F33D10">
        <w:rPr>
          <w:rFonts w:ascii="Arial" w:hAnsi="Arial" w:cs="Arial"/>
        </w:rPr>
        <w:t xml:space="preserve">When defense counsel makes no conflict objection before or during trial and the trial court has no reason to believe that a conflict exists, </w:t>
      </w:r>
      <w:r w:rsidR="0089405B" w:rsidRPr="00B20F3B">
        <w:rPr>
          <w:rFonts w:ascii="Arial" w:hAnsi="Arial" w:cs="Arial"/>
        </w:rPr>
        <w:t xml:space="preserve">the defendant must show that an actual conflict of interest adversely affected counsel's performance. </w:t>
      </w:r>
      <w:r w:rsidR="0089405B" w:rsidRPr="00B20F3B">
        <w:rPr>
          <w:rFonts w:ascii="Arial" w:hAnsi="Arial" w:cs="Arial"/>
          <w:i/>
          <w:iCs/>
        </w:rPr>
        <w:t>Sullivan</w:t>
      </w:r>
      <w:r w:rsidR="0089405B" w:rsidRPr="00B20F3B">
        <w:rPr>
          <w:rFonts w:ascii="Arial" w:hAnsi="Arial" w:cs="Arial"/>
        </w:rPr>
        <w:t>,</w:t>
      </w:r>
      <w:r w:rsidR="0089405B" w:rsidRPr="00B20F3B">
        <w:rPr>
          <w:rFonts w:ascii="Arial" w:hAnsi="Arial" w:cs="Arial"/>
          <w:i/>
        </w:rPr>
        <w:t xml:space="preserve"> </w:t>
      </w:r>
      <w:r w:rsidR="0089405B" w:rsidRPr="00B20F3B">
        <w:rPr>
          <w:rFonts w:ascii="Arial" w:hAnsi="Arial" w:cs="Arial"/>
        </w:rPr>
        <w:t xml:space="preserve">446 U.S. </w:t>
      </w:r>
      <w:r w:rsidR="00286E45" w:rsidRPr="00B20F3B">
        <w:rPr>
          <w:rFonts w:ascii="Arial" w:hAnsi="Arial" w:cs="Arial"/>
        </w:rPr>
        <w:t>at 348</w:t>
      </w:r>
      <w:r w:rsidR="0089405B" w:rsidRPr="00B20F3B">
        <w:rPr>
          <w:rFonts w:ascii="Arial" w:hAnsi="Arial" w:cs="Arial"/>
        </w:rPr>
        <w:t>.</w:t>
      </w:r>
    </w:p>
    <w:p w14:paraId="6F558B14" w14:textId="77777777" w:rsidR="0089405B" w:rsidRPr="00F33D10" w:rsidRDefault="0089405B" w:rsidP="00EC21B7">
      <w:pPr>
        <w:pStyle w:val="ListParagraph"/>
        <w:spacing w:after="0" w:line="240" w:lineRule="auto"/>
        <w:ind w:left="1800"/>
        <w:rPr>
          <w:rFonts w:ascii="Arial" w:hAnsi="Arial" w:cs="Arial"/>
          <w:b/>
        </w:rPr>
      </w:pPr>
    </w:p>
    <w:p w14:paraId="3FC5709B" w14:textId="77777777" w:rsidR="0089405B" w:rsidRPr="00F33D10" w:rsidRDefault="0089405B" w:rsidP="00EC21B7">
      <w:pPr>
        <w:pStyle w:val="Heading2"/>
        <w:jc w:val="left"/>
      </w:pPr>
      <w:bookmarkStart w:id="5" w:name="_Toc402959270"/>
      <w:r w:rsidRPr="00F33D10">
        <w:t xml:space="preserve">Harbison </w:t>
      </w:r>
      <w:r w:rsidR="00DB2854">
        <w:t>C</w:t>
      </w:r>
      <w:r w:rsidRPr="00F33D10">
        <w:t>laims</w:t>
      </w:r>
      <w:bookmarkEnd w:id="5"/>
    </w:p>
    <w:p w14:paraId="147DCB58" w14:textId="7562EDC0" w:rsidR="0089405B" w:rsidRPr="00F33D10" w:rsidRDefault="0089405B" w:rsidP="00EC21B7">
      <w:pPr>
        <w:pStyle w:val="ListParagraph"/>
        <w:numPr>
          <w:ilvl w:val="0"/>
          <w:numId w:val="12"/>
        </w:numPr>
        <w:spacing w:after="0" w:line="240" w:lineRule="auto"/>
        <w:rPr>
          <w:rFonts w:ascii="Arial" w:hAnsi="Arial" w:cs="Arial"/>
          <w:b/>
        </w:rPr>
      </w:pPr>
      <w:r w:rsidRPr="00F33D10">
        <w:rPr>
          <w:rFonts w:ascii="Arial" w:hAnsi="Arial" w:cs="Arial"/>
          <w:b/>
        </w:rPr>
        <w:t xml:space="preserve">Defined. </w:t>
      </w:r>
      <w:r w:rsidRPr="00F33D10">
        <w:rPr>
          <w:rFonts w:ascii="Arial" w:hAnsi="Arial" w:cs="Arial"/>
        </w:rPr>
        <w:t>North Carolina has a special category of IAC claims called</w:t>
      </w:r>
      <w:r w:rsidRPr="00F33D10">
        <w:rPr>
          <w:rFonts w:ascii="Arial" w:hAnsi="Arial" w:cs="Arial"/>
          <w:b/>
        </w:rPr>
        <w:t xml:space="preserve"> </w:t>
      </w:r>
      <w:r w:rsidRPr="00F33D10">
        <w:rPr>
          <w:rFonts w:ascii="Arial" w:hAnsi="Arial" w:cs="Arial"/>
          <w:i/>
        </w:rPr>
        <w:t xml:space="preserve">Harbison </w:t>
      </w:r>
      <w:r w:rsidRPr="00F33D10">
        <w:rPr>
          <w:rFonts w:ascii="Arial" w:hAnsi="Arial" w:cs="Arial"/>
        </w:rPr>
        <w:t xml:space="preserve">claims. A </w:t>
      </w:r>
      <w:r w:rsidRPr="00F33D10">
        <w:rPr>
          <w:rFonts w:ascii="Arial" w:hAnsi="Arial" w:cs="Arial"/>
          <w:i/>
        </w:rPr>
        <w:t xml:space="preserve">Harbison </w:t>
      </w:r>
      <w:r w:rsidRPr="00F33D10">
        <w:rPr>
          <w:rFonts w:ascii="Arial" w:hAnsi="Arial" w:cs="Arial"/>
        </w:rPr>
        <w:t>claim alleges that counsel admitted the defendant's guilt to the jury without the defendant's consent. State v. Harbison,</w:t>
      </w:r>
      <w:r w:rsidRPr="00F33D10">
        <w:rPr>
          <w:rFonts w:ascii="Arial" w:hAnsi="Arial" w:cs="Arial"/>
          <w:i/>
        </w:rPr>
        <w:t xml:space="preserve"> </w:t>
      </w:r>
      <w:r w:rsidRPr="00F33D10">
        <w:rPr>
          <w:rFonts w:ascii="Arial" w:hAnsi="Arial" w:cs="Arial"/>
        </w:rPr>
        <w:t>315 N.C. 175 (1985).</w:t>
      </w:r>
    </w:p>
    <w:p w14:paraId="4DC658FB" w14:textId="11945AF8" w:rsidR="000B465C" w:rsidRPr="000B465C" w:rsidRDefault="0089405B" w:rsidP="00EC21B7">
      <w:pPr>
        <w:pStyle w:val="ListParagraph"/>
        <w:numPr>
          <w:ilvl w:val="0"/>
          <w:numId w:val="12"/>
        </w:numPr>
        <w:spacing w:after="0" w:line="240" w:lineRule="auto"/>
        <w:rPr>
          <w:rFonts w:ascii="Arial" w:hAnsi="Arial" w:cs="Arial"/>
          <w:b/>
        </w:rPr>
      </w:pPr>
      <w:r w:rsidRPr="00F33D10">
        <w:rPr>
          <w:rFonts w:ascii="Arial" w:hAnsi="Arial" w:cs="Arial"/>
          <w:b/>
        </w:rPr>
        <w:t xml:space="preserve">Standard. </w:t>
      </w:r>
      <w:r w:rsidR="007B0FCA">
        <w:rPr>
          <w:rFonts w:ascii="Arial" w:hAnsi="Arial" w:cs="Arial"/>
        </w:rPr>
        <w:t xml:space="preserve">It is IAC for defense </w:t>
      </w:r>
      <w:r w:rsidRPr="00F33D10">
        <w:rPr>
          <w:rFonts w:ascii="Arial" w:hAnsi="Arial" w:cs="Arial"/>
        </w:rPr>
        <w:t xml:space="preserve">counsel </w:t>
      </w:r>
      <w:r w:rsidR="007B0FCA">
        <w:rPr>
          <w:rFonts w:ascii="Arial" w:hAnsi="Arial" w:cs="Arial"/>
        </w:rPr>
        <w:t xml:space="preserve">to </w:t>
      </w:r>
      <w:r w:rsidRPr="00F33D10">
        <w:rPr>
          <w:rFonts w:ascii="Arial" w:hAnsi="Arial" w:cs="Arial"/>
        </w:rPr>
        <w:t xml:space="preserve">admit </w:t>
      </w:r>
      <w:r w:rsidR="007B0FCA">
        <w:rPr>
          <w:rFonts w:ascii="Arial" w:hAnsi="Arial" w:cs="Arial"/>
        </w:rPr>
        <w:t>a</w:t>
      </w:r>
      <w:r w:rsidR="007B0FCA" w:rsidRPr="00F33D10">
        <w:rPr>
          <w:rFonts w:ascii="Arial" w:hAnsi="Arial" w:cs="Arial"/>
        </w:rPr>
        <w:t xml:space="preserve"> </w:t>
      </w:r>
      <w:r w:rsidRPr="00F33D10">
        <w:rPr>
          <w:rFonts w:ascii="Arial" w:hAnsi="Arial" w:cs="Arial"/>
        </w:rPr>
        <w:t xml:space="preserve">defendant's guilt to the jury without the defendant's consent. </w:t>
      </w:r>
      <w:r w:rsidR="00D8618E">
        <w:rPr>
          <w:rFonts w:ascii="Arial" w:hAnsi="Arial" w:cs="Arial"/>
        </w:rPr>
        <w:t>T</w:t>
      </w:r>
      <w:r w:rsidRPr="00F33D10">
        <w:rPr>
          <w:rFonts w:ascii="Arial" w:hAnsi="Arial" w:cs="Arial"/>
        </w:rPr>
        <w:t xml:space="preserve">he only inquiry </w:t>
      </w:r>
      <w:r w:rsidR="00D8618E">
        <w:rPr>
          <w:rFonts w:ascii="Arial" w:hAnsi="Arial" w:cs="Arial"/>
        </w:rPr>
        <w:t xml:space="preserve">in these circumstances </w:t>
      </w:r>
      <w:r w:rsidRPr="00F33D10">
        <w:rPr>
          <w:rFonts w:ascii="Arial" w:hAnsi="Arial" w:cs="Arial"/>
        </w:rPr>
        <w:t>is whether there was an admission of guilt.</w:t>
      </w:r>
      <w:r w:rsidR="006A57EA">
        <w:rPr>
          <w:rFonts w:ascii="Arial" w:hAnsi="Arial" w:cs="Arial"/>
        </w:rPr>
        <w:t xml:space="preserve"> </w:t>
      </w:r>
    </w:p>
    <w:p w14:paraId="38EEAB10" w14:textId="5A393922" w:rsidR="0089405B" w:rsidRPr="000B465C" w:rsidRDefault="000B465C" w:rsidP="000B465C">
      <w:pPr>
        <w:pStyle w:val="ListParagraph"/>
        <w:numPr>
          <w:ilvl w:val="1"/>
          <w:numId w:val="12"/>
        </w:numPr>
        <w:spacing w:after="0" w:line="240" w:lineRule="auto"/>
        <w:ind w:left="2880" w:hanging="720"/>
        <w:rPr>
          <w:rFonts w:ascii="Arial" w:hAnsi="Arial" w:cs="Arial"/>
          <w:b/>
        </w:rPr>
      </w:pPr>
      <w:r>
        <w:rPr>
          <w:rFonts w:ascii="Arial" w:hAnsi="Arial" w:cs="Arial"/>
          <w:b/>
          <w:bCs/>
        </w:rPr>
        <w:t xml:space="preserve">Express or Implied Admission. </w:t>
      </w:r>
      <w:r w:rsidR="006A57EA">
        <w:rPr>
          <w:rFonts w:ascii="Arial" w:hAnsi="Arial" w:cs="Arial"/>
        </w:rPr>
        <w:t xml:space="preserve">A defendant can make out a </w:t>
      </w:r>
      <w:r w:rsidR="006A57EA">
        <w:rPr>
          <w:rFonts w:ascii="Arial" w:hAnsi="Arial" w:cs="Arial"/>
          <w:i/>
          <w:iCs/>
        </w:rPr>
        <w:t xml:space="preserve">Harbison </w:t>
      </w:r>
      <w:r w:rsidR="006A57EA">
        <w:rPr>
          <w:rFonts w:ascii="Arial" w:hAnsi="Arial" w:cs="Arial"/>
        </w:rPr>
        <w:t xml:space="preserve">claim </w:t>
      </w:r>
      <w:r w:rsidR="00A617D1">
        <w:rPr>
          <w:rFonts w:ascii="Arial" w:hAnsi="Arial" w:cs="Arial"/>
        </w:rPr>
        <w:t>in connection with</w:t>
      </w:r>
      <w:r w:rsidR="006A57EA">
        <w:rPr>
          <w:rFonts w:ascii="Arial" w:hAnsi="Arial" w:cs="Arial"/>
        </w:rPr>
        <w:t xml:space="preserve"> either an express or implied admission of guilt</w:t>
      </w:r>
      <w:r w:rsidR="00F70B28">
        <w:rPr>
          <w:rFonts w:ascii="Arial" w:hAnsi="Arial" w:cs="Arial"/>
        </w:rPr>
        <w:t xml:space="preserve"> by defense counsel</w:t>
      </w:r>
      <w:r w:rsidR="00177D13">
        <w:rPr>
          <w:rFonts w:ascii="Arial" w:hAnsi="Arial" w:cs="Arial"/>
        </w:rPr>
        <w:t>.</w:t>
      </w:r>
      <w:r w:rsidR="006A57EA">
        <w:rPr>
          <w:rFonts w:ascii="Arial" w:hAnsi="Arial" w:cs="Arial"/>
        </w:rPr>
        <w:t xml:space="preserve"> </w:t>
      </w:r>
      <w:r w:rsidR="00177D13">
        <w:rPr>
          <w:rFonts w:ascii="Arial" w:hAnsi="Arial" w:cs="Arial"/>
        </w:rPr>
        <w:t>T</w:t>
      </w:r>
      <w:r w:rsidR="006A57EA">
        <w:rPr>
          <w:rFonts w:ascii="Arial" w:hAnsi="Arial" w:cs="Arial"/>
        </w:rPr>
        <w:t xml:space="preserve">he North Carolina Supreme Court has emphasized that finding IAC </w:t>
      </w:r>
      <w:proofErr w:type="gramStart"/>
      <w:r w:rsidR="006A57EA">
        <w:rPr>
          <w:rFonts w:ascii="Arial" w:hAnsi="Arial" w:cs="Arial"/>
        </w:rPr>
        <w:t>on the basis of</w:t>
      </w:r>
      <w:proofErr w:type="gramEnd"/>
      <w:r w:rsidR="006A57EA">
        <w:rPr>
          <w:rFonts w:ascii="Arial" w:hAnsi="Arial" w:cs="Arial"/>
        </w:rPr>
        <w:t xml:space="preserve"> an implied admission of guilt “should be a rare occurrence.” State v. McAllister, 375 N.C. 455, 475 (2020)</w:t>
      </w:r>
      <w:r w:rsidR="002E1605">
        <w:rPr>
          <w:rFonts w:ascii="Arial" w:hAnsi="Arial" w:cs="Arial"/>
        </w:rPr>
        <w:t xml:space="preserve"> (finding an implied admission of guilt)</w:t>
      </w:r>
      <w:r w:rsidR="006A57EA">
        <w:rPr>
          <w:rFonts w:ascii="Arial" w:hAnsi="Arial" w:cs="Arial"/>
        </w:rPr>
        <w:t>.</w:t>
      </w:r>
      <w:r w:rsidR="00A617D1">
        <w:rPr>
          <w:rFonts w:ascii="Arial" w:hAnsi="Arial" w:cs="Arial"/>
        </w:rPr>
        <w:t xml:space="preserve"> </w:t>
      </w:r>
      <w:r w:rsidR="00371392">
        <w:rPr>
          <w:rFonts w:ascii="Arial" w:hAnsi="Arial" w:cs="Arial"/>
          <w:i/>
          <w:iCs/>
        </w:rPr>
        <w:t>Compare McAllister</w:t>
      </w:r>
      <w:r w:rsidR="00371392">
        <w:rPr>
          <w:rFonts w:ascii="Arial" w:hAnsi="Arial" w:cs="Arial"/>
        </w:rPr>
        <w:t>, 375 N.C. at 475 (finding an implied admission of guilt),</w:t>
      </w:r>
      <w:r w:rsidR="00DC79D6">
        <w:rPr>
          <w:rFonts w:ascii="Arial" w:hAnsi="Arial" w:cs="Arial"/>
          <w:i/>
          <w:iCs/>
        </w:rPr>
        <w:t xml:space="preserve"> </w:t>
      </w:r>
      <w:r w:rsidR="00DC79D6">
        <w:rPr>
          <w:rFonts w:ascii="Arial" w:hAnsi="Arial" w:cs="Arial"/>
        </w:rPr>
        <w:t xml:space="preserve">State v. </w:t>
      </w:r>
      <w:proofErr w:type="spellStart"/>
      <w:r w:rsidR="00DC79D6">
        <w:rPr>
          <w:rFonts w:ascii="Arial" w:hAnsi="Arial" w:cs="Arial"/>
        </w:rPr>
        <w:t>Cholon</w:t>
      </w:r>
      <w:proofErr w:type="spellEnd"/>
      <w:r w:rsidR="002E1605">
        <w:rPr>
          <w:rFonts w:ascii="Arial" w:hAnsi="Arial" w:cs="Arial"/>
        </w:rPr>
        <w:t>, 284 N.C. App. 152, 160-61 (2022) (</w:t>
      </w:r>
      <w:r w:rsidR="00371392">
        <w:rPr>
          <w:rFonts w:ascii="Arial" w:hAnsi="Arial" w:cs="Arial"/>
        </w:rPr>
        <w:t>same</w:t>
      </w:r>
      <w:r w:rsidR="002E1605">
        <w:rPr>
          <w:rFonts w:ascii="Arial" w:hAnsi="Arial" w:cs="Arial"/>
        </w:rPr>
        <w:t>)</w:t>
      </w:r>
      <w:r w:rsidR="00371392">
        <w:rPr>
          <w:rFonts w:ascii="Arial" w:hAnsi="Arial" w:cs="Arial"/>
        </w:rPr>
        <w:t xml:space="preserve">, </w:t>
      </w:r>
      <w:r w:rsidR="00371392" w:rsidRPr="00872C61">
        <w:rPr>
          <w:rFonts w:ascii="Arial" w:hAnsi="Arial" w:cs="Arial"/>
          <w:i/>
          <w:iCs/>
        </w:rPr>
        <w:t>and</w:t>
      </w:r>
      <w:r w:rsidR="00EC6B64">
        <w:rPr>
          <w:rFonts w:ascii="Arial" w:hAnsi="Arial" w:cs="Arial"/>
        </w:rPr>
        <w:t xml:space="preserve"> </w:t>
      </w:r>
      <w:r w:rsidR="00EC6B64" w:rsidRPr="00872C61">
        <w:rPr>
          <w:rFonts w:ascii="Arial" w:hAnsi="Arial" w:cs="Arial"/>
        </w:rPr>
        <w:t>State v. Hester</w:t>
      </w:r>
      <w:r w:rsidR="00EC6B64">
        <w:rPr>
          <w:rFonts w:ascii="Arial" w:hAnsi="Arial" w:cs="Arial"/>
        </w:rPr>
        <w:t>, ___ N.C. App. ___, 882 S.E.2d 446 (2022) (same)</w:t>
      </w:r>
      <w:r w:rsidR="00371392">
        <w:rPr>
          <w:rFonts w:ascii="Arial" w:hAnsi="Arial" w:cs="Arial"/>
        </w:rPr>
        <w:t xml:space="preserve">, </w:t>
      </w:r>
      <w:r w:rsidR="00371392">
        <w:rPr>
          <w:rFonts w:ascii="Arial" w:hAnsi="Arial" w:cs="Arial"/>
          <w:i/>
          <w:iCs/>
        </w:rPr>
        <w:t xml:space="preserve">with </w:t>
      </w:r>
      <w:r w:rsidR="00371392">
        <w:rPr>
          <w:rFonts w:ascii="Arial" w:hAnsi="Arial" w:cs="Arial"/>
        </w:rPr>
        <w:t xml:space="preserve">State v. </w:t>
      </w:r>
      <w:proofErr w:type="spellStart"/>
      <w:r w:rsidR="00371392">
        <w:rPr>
          <w:rFonts w:ascii="Arial" w:hAnsi="Arial" w:cs="Arial"/>
        </w:rPr>
        <w:t>Mahatha</w:t>
      </w:r>
      <w:proofErr w:type="spellEnd"/>
      <w:r w:rsidR="00371392">
        <w:rPr>
          <w:rFonts w:ascii="Arial" w:hAnsi="Arial" w:cs="Arial"/>
        </w:rPr>
        <w:t>, ___ N.C. App. ___, ___ S.E.2d ___ (2023) (finding no implied admission of guilt)</w:t>
      </w:r>
      <w:r w:rsidR="000C4C29">
        <w:rPr>
          <w:rFonts w:ascii="Arial" w:hAnsi="Arial" w:cs="Arial"/>
        </w:rPr>
        <w:t xml:space="preserve">, </w:t>
      </w:r>
      <w:r w:rsidR="000C4C29">
        <w:rPr>
          <w:rFonts w:ascii="Arial" w:hAnsi="Arial" w:cs="Arial"/>
          <w:i/>
          <w:iCs/>
        </w:rPr>
        <w:t xml:space="preserve">and </w:t>
      </w:r>
      <w:r w:rsidR="000C4C29">
        <w:rPr>
          <w:rFonts w:ascii="Arial" w:hAnsi="Arial" w:cs="Arial"/>
        </w:rPr>
        <w:t xml:space="preserve">State v. </w:t>
      </w:r>
      <w:proofErr w:type="spellStart"/>
      <w:r w:rsidR="000C4C29">
        <w:rPr>
          <w:rFonts w:ascii="Arial" w:hAnsi="Arial" w:cs="Arial"/>
        </w:rPr>
        <w:t>Guin</w:t>
      </w:r>
      <w:proofErr w:type="spellEnd"/>
      <w:r w:rsidR="000C4C29">
        <w:rPr>
          <w:rFonts w:ascii="Arial" w:hAnsi="Arial" w:cs="Arial"/>
        </w:rPr>
        <w:t>, 282 N.C. App. 160, 171-75 (2022) (same)</w:t>
      </w:r>
      <w:r w:rsidR="002E1605">
        <w:rPr>
          <w:rFonts w:ascii="Arial" w:hAnsi="Arial" w:cs="Arial"/>
        </w:rPr>
        <w:t>.</w:t>
      </w:r>
      <w:r w:rsidR="00A617D1">
        <w:rPr>
          <w:rFonts w:ascii="Arial" w:hAnsi="Arial" w:cs="Arial"/>
        </w:rPr>
        <w:t xml:space="preserve"> </w:t>
      </w:r>
      <w:r w:rsidR="00177D13">
        <w:rPr>
          <w:rFonts w:ascii="Arial" w:hAnsi="Arial" w:cs="Arial"/>
        </w:rPr>
        <w:t xml:space="preserve">Courts assessing whether defense counsel has made an implied admission of guilt have examined whether “the only logical inference" that a jury could draw from the statements at issue is that defense counsel is conceding the defendant’s guilt on a particular offense. </w:t>
      </w:r>
      <w:r w:rsidR="00177D13">
        <w:rPr>
          <w:rFonts w:ascii="Arial" w:hAnsi="Arial" w:cs="Arial"/>
          <w:i/>
          <w:iCs/>
        </w:rPr>
        <w:t>McAllister</w:t>
      </w:r>
      <w:r w:rsidR="00177D13">
        <w:rPr>
          <w:rFonts w:ascii="Arial" w:hAnsi="Arial" w:cs="Arial"/>
        </w:rPr>
        <w:t xml:space="preserve">, 375 N.C. at 474-75 (such statements "are the functional equivalent of an outright admission of the defendant’s guilt as to a charged offense”); </w:t>
      </w:r>
      <w:proofErr w:type="spellStart"/>
      <w:r w:rsidR="00177D13" w:rsidRPr="00872C61">
        <w:rPr>
          <w:rFonts w:ascii="Arial" w:hAnsi="Arial" w:cs="Arial"/>
          <w:i/>
          <w:iCs/>
        </w:rPr>
        <w:t>Mahatha</w:t>
      </w:r>
      <w:proofErr w:type="spellEnd"/>
      <w:r w:rsidR="00177D13">
        <w:rPr>
          <w:rFonts w:ascii="Arial" w:hAnsi="Arial" w:cs="Arial"/>
        </w:rPr>
        <w:t>, ___ N.C. App. at ___, ___ S.E.2d at ___.</w:t>
      </w:r>
    </w:p>
    <w:p w14:paraId="6A3A2DCA" w14:textId="79204073" w:rsidR="000B465C" w:rsidRPr="00902A27" w:rsidRDefault="000B465C" w:rsidP="000B465C">
      <w:pPr>
        <w:pStyle w:val="ListParagraph"/>
        <w:numPr>
          <w:ilvl w:val="1"/>
          <w:numId w:val="12"/>
        </w:numPr>
        <w:spacing w:after="0" w:line="240" w:lineRule="auto"/>
        <w:ind w:left="2880" w:hanging="720"/>
        <w:rPr>
          <w:rFonts w:ascii="Arial" w:hAnsi="Arial" w:cs="Arial"/>
          <w:b/>
        </w:rPr>
      </w:pPr>
      <w:r>
        <w:rPr>
          <w:rFonts w:ascii="Arial" w:hAnsi="Arial" w:cs="Arial"/>
          <w:b/>
        </w:rPr>
        <w:t>Admission of Elements.</w:t>
      </w:r>
      <w:r w:rsidR="00F70B28">
        <w:rPr>
          <w:rFonts w:ascii="Arial" w:hAnsi="Arial" w:cs="Arial"/>
          <w:bCs/>
        </w:rPr>
        <w:t xml:space="preserve"> The North Carolina Court of Appeals has held that a </w:t>
      </w:r>
      <w:r w:rsidR="00F70B28">
        <w:rPr>
          <w:rFonts w:ascii="Arial" w:hAnsi="Arial" w:cs="Arial"/>
          <w:bCs/>
          <w:i/>
          <w:iCs/>
        </w:rPr>
        <w:t xml:space="preserve">Harbison </w:t>
      </w:r>
      <w:r w:rsidR="00F70B28">
        <w:rPr>
          <w:rFonts w:ascii="Arial" w:hAnsi="Arial" w:cs="Arial"/>
          <w:bCs/>
        </w:rPr>
        <w:t xml:space="preserve">error does not </w:t>
      </w:r>
      <w:r w:rsidR="00C55831">
        <w:rPr>
          <w:rFonts w:ascii="Arial" w:hAnsi="Arial" w:cs="Arial"/>
          <w:bCs/>
        </w:rPr>
        <w:t xml:space="preserve">necessarily </w:t>
      </w:r>
      <w:r w:rsidR="00F70B28">
        <w:rPr>
          <w:rFonts w:ascii="Arial" w:hAnsi="Arial" w:cs="Arial"/>
          <w:bCs/>
        </w:rPr>
        <w:t xml:space="preserve">occur where defense counsel admits some but not </w:t>
      </w:r>
      <w:proofErr w:type="gramStart"/>
      <w:r w:rsidR="00F70B28">
        <w:rPr>
          <w:rFonts w:ascii="Arial" w:hAnsi="Arial" w:cs="Arial"/>
          <w:bCs/>
        </w:rPr>
        <w:t>all of</w:t>
      </w:r>
      <w:proofErr w:type="gramEnd"/>
      <w:r w:rsidR="00F70B28">
        <w:rPr>
          <w:rFonts w:ascii="Arial" w:hAnsi="Arial" w:cs="Arial"/>
          <w:bCs/>
        </w:rPr>
        <w:t xml:space="preserve"> the elements of a charged offense. State v. Crump</w:t>
      </w:r>
      <w:r w:rsidR="000B1B06">
        <w:rPr>
          <w:rFonts w:ascii="Arial" w:hAnsi="Arial" w:cs="Arial"/>
          <w:bCs/>
        </w:rPr>
        <w:t xml:space="preserve">, 273 N.C. App. 336, 345 (2020) (even if defense counsel made an admission to one element of second-degree forcible sex offense without defendant’s consent, no </w:t>
      </w:r>
      <w:r w:rsidR="000B1B06">
        <w:rPr>
          <w:rFonts w:ascii="Arial" w:hAnsi="Arial" w:cs="Arial"/>
          <w:bCs/>
          <w:i/>
          <w:iCs/>
        </w:rPr>
        <w:t>Harbison</w:t>
      </w:r>
      <w:r w:rsidR="000B1B06">
        <w:rPr>
          <w:rFonts w:ascii="Arial" w:hAnsi="Arial" w:cs="Arial"/>
          <w:bCs/>
        </w:rPr>
        <w:t xml:space="preserve"> error occurred </w:t>
      </w:r>
      <w:r w:rsidR="00B25B8B">
        <w:rPr>
          <w:rFonts w:ascii="Arial" w:hAnsi="Arial" w:cs="Arial"/>
          <w:bCs/>
        </w:rPr>
        <w:t>because</w:t>
      </w:r>
      <w:r w:rsidR="000B1B06">
        <w:rPr>
          <w:rFonts w:ascii="Arial" w:hAnsi="Arial" w:cs="Arial"/>
          <w:bCs/>
        </w:rPr>
        <w:t xml:space="preserve"> counsel “vociferously argued” against the existence of the other elements of the offense)</w:t>
      </w:r>
      <w:r w:rsidR="00E72396">
        <w:rPr>
          <w:rFonts w:ascii="Arial" w:hAnsi="Arial" w:cs="Arial"/>
          <w:bCs/>
        </w:rPr>
        <w:t>;</w:t>
      </w:r>
      <w:r w:rsidR="00BD2D1C">
        <w:rPr>
          <w:rFonts w:ascii="Arial" w:hAnsi="Arial" w:cs="Arial"/>
          <w:bCs/>
        </w:rPr>
        <w:t xml:space="preserve"> </w:t>
      </w:r>
      <w:r w:rsidR="00BD2D1C">
        <w:rPr>
          <w:rFonts w:ascii="Arial" w:hAnsi="Arial" w:cs="Arial"/>
          <w:bCs/>
          <w:i/>
          <w:iCs/>
        </w:rPr>
        <w:t>see also</w:t>
      </w:r>
      <w:r w:rsidR="00E72396">
        <w:rPr>
          <w:rFonts w:ascii="Arial" w:hAnsi="Arial" w:cs="Arial"/>
          <w:bCs/>
        </w:rPr>
        <w:t xml:space="preserve"> State v. Wilson, 236 N.C. App. 472, 476 (2014) ("Admission by defense counsel of an element of a crime charged, while still maintaining the defendant’s innocence, does not necessarily amount to a </w:t>
      </w:r>
      <w:r w:rsidR="00E72396">
        <w:rPr>
          <w:rFonts w:ascii="Arial" w:hAnsi="Arial" w:cs="Arial"/>
          <w:bCs/>
          <w:i/>
          <w:iCs/>
        </w:rPr>
        <w:t>Harbison</w:t>
      </w:r>
      <w:r w:rsidR="00E72396">
        <w:rPr>
          <w:rFonts w:ascii="Arial" w:hAnsi="Arial" w:cs="Arial"/>
          <w:bCs/>
        </w:rPr>
        <w:t xml:space="preserve"> error.”)</w:t>
      </w:r>
      <w:r w:rsidR="000B1B06">
        <w:rPr>
          <w:rFonts w:ascii="Arial" w:hAnsi="Arial" w:cs="Arial"/>
          <w:bCs/>
        </w:rPr>
        <w:t>.</w:t>
      </w:r>
      <w:r w:rsidR="00A26386">
        <w:rPr>
          <w:rFonts w:ascii="Arial" w:hAnsi="Arial" w:cs="Arial"/>
          <w:bCs/>
        </w:rPr>
        <w:t xml:space="preserve"> </w:t>
      </w:r>
      <w:r w:rsidR="000E1BCC">
        <w:rPr>
          <w:rFonts w:ascii="Arial" w:hAnsi="Arial" w:cs="Arial"/>
          <w:bCs/>
        </w:rPr>
        <w:t>Note, h</w:t>
      </w:r>
      <w:r w:rsidR="00A26386">
        <w:rPr>
          <w:rFonts w:ascii="Arial" w:hAnsi="Arial" w:cs="Arial"/>
          <w:bCs/>
        </w:rPr>
        <w:t xml:space="preserve">owever, </w:t>
      </w:r>
      <w:r w:rsidR="000E1BCC">
        <w:rPr>
          <w:rFonts w:ascii="Arial" w:hAnsi="Arial" w:cs="Arial"/>
          <w:bCs/>
        </w:rPr>
        <w:t xml:space="preserve">that the North Carolina Supreme Court has admonished against evaluating </w:t>
      </w:r>
      <w:r w:rsidR="0018376C">
        <w:rPr>
          <w:rFonts w:ascii="Arial" w:hAnsi="Arial" w:cs="Arial"/>
          <w:bCs/>
        </w:rPr>
        <w:t xml:space="preserve">the existence of </w:t>
      </w:r>
      <w:r w:rsidR="000E1BCC">
        <w:rPr>
          <w:rFonts w:ascii="Arial" w:hAnsi="Arial" w:cs="Arial"/>
          <w:bCs/>
          <w:i/>
          <w:iCs/>
        </w:rPr>
        <w:t xml:space="preserve">Harbison </w:t>
      </w:r>
      <w:r w:rsidR="000E1BCC">
        <w:rPr>
          <w:rFonts w:ascii="Arial" w:hAnsi="Arial" w:cs="Arial"/>
          <w:bCs/>
        </w:rPr>
        <w:t xml:space="preserve">error on the strict basis of “whether </w:t>
      </w:r>
      <w:r w:rsidR="000E1BCC">
        <w:rPr>
          <w:rFonts w:ascii="Arial" w:hAnsi="Arial" w:cs="Arial"/>
          <w:bCs/>
        </w:rPr>
        <w:lastRenderedPageBreak/>
        <w:t>counsel’s statements ‘checked the box’ as to each element of the offense</w:t>
      </w:r>
      <w:r w:rsidR="0018376C">
        <w:rPr>
          <w:rFonts w:ascii="Arial" w:hAnsi="Arial" w:cs="Arial"/>
          <w:bCs/>
        </w:rPr>
        <w:t>.</w:t>
      </w:r>
      <w:r w:rsidR="000E1BCC">
        <w:rPr>
          <w:rFonts w:ascii="Arial" w:hAnsi="Arial" w:cs="Arial"/>
          <w:bCs/>
        </w:rPr>
        <w:t>”</w:t>
      </w:r>
      <w:r w:rsidR="0018376C">
        <w:rPr>
          <w:rFonts w:ascii="Arial" w:hAnsi="Arial" w:cs="Arial"/>
          <w:bCs/>
        </w:rPr>
        <w:t xml:space="preserve"> </w:t>
      </w:r>
      <w:r w:rsidR="0018376C">
        <w:rPr>
          <w:rFonts w:ascii="Arial" w:hAnsi="Arial" w:cs="Arial"/>
          <w:bCs/>
          <w:i/>
          <w:iCs/>
        </w:rPr>
        <w:t>McAllister</w:t>
      </w:r>
      <w:r w:rsidR="0018376C">
        <w:rPr>
          <w:rFonts w:ascii="Arial" w:hAnsi="Arial" w:cs="Arial"/>
          <w:bCs/>
        </w:rPr>
        <w:t>, 375 N.C. at 475 n.4 (noting that while counsel did not expressly concede that the defendant charged with assault on a female was at least 18 years of age, that element was not in dispute</w:t>
      </w:r>
      <w:r w:rsidR="00404CB9">
        <w:rPr>
          <w:rFonts w:ascii="Arial" w:hAnsi="Arial" w:cs="Arial"/>
          <w:bCs/>
        </w:rPr>
        <w:t xml:space="preserve"> and counsel’s statements amounted to an implied admission of guilt</w:t>
      </w:r>
      <w:r w:rsidR="0018376C">
        <w:rPr>
          <w:rFonts w:ascii="Arial" w:hAnsi="Arial" w:cs="Arial"/>
          <w:bCs/>
        </w:rPr>
        <w:t>).</w:t>
      </w:r>
    </w:p>
    <w:p w14:paraId="3C1BEE9C" w14:textId="3CA63799" w:rsidR="00902A27" w:rsidRPr="00F33D10" w:rsidRDefault="00902A27" w:rsidP="000B465C">
      <w:pPr>
        <w:pStyle w:val="ListParagraph"/>
        <w:numPr>
          <w:ilvl w:val="1"/>
          <w:numId w:val="12"/>
        </w:numPr>
        <w:spacing w:after="0" w:line="240" w:lineRule="auto"/>
        <w:ind w:left="2880" w:hanging="720"/>
        <w:rPr>
          <w:rFonts w:ascii="Arial" w:hAnsi="Arial" w:cs="Arial"/>
          <w:b/>
        </w:rPr>
      </w:pPr>
      <w:r>
        <w:rPr>
          <w:rFonts w:ascii="Arial" w:hAnsi="Arial" w:cs="Arial"/>
          <w:b/>
        </w:rPr>
        <w:t>Admission to Charged Offense or a Lesser Included Offense.</w:t>
      </w:r>
      <w:r>
        <w:rPr>
          <w:rFonts w:ascii="Arial" w:hAnsi="Arial" w:cs="Arial"/>
          <w:bCs/>
        </w:rPr>
        <w:t xml:space="preserve"> A </w:t>
      </w:r>
      <w:r>
        <w:rPr>
          <w:rFonts w:ascii="Arial" w:hAnsi="Arial" w:cs="Arial"/>
          <w:bCs/>
          <w:i/>
          <w:iCs/>
        </w:rPr>
        <w:t xml:space="preserve">Harbison </w:t>
      </w:r>
      <w:r>
        <w:rPr>
          <w:rFonts w:ascii="Arial" w:hAnsi="Arial" w:cs="Arial"/>
          <w:bCs/>
        </w:rPr>
        <w:t xml:space="preserve">error occurs when, without consent, “defense counsel concedes defendant’s guilt to either the charged offense or a lesser included offense.” </w:t>
      </w:r>
      <w:r w:rsidR="00882B76" w:rsidRPr="00872C61">
        <w:rPr>
          <w:rFonts w:ascii="Arial" w:hAnsi="Arial" w:cs="Arial"/>
          <w:bCs/>
          <w:i/>
          <w:iCs/>
        </w:rPr>
        <w:t>Cf.</w:t>
      </w:r>
      <w:r w:rsidR="00882B76">
        <w:rPr>
          <w:rFonts w:ascii="Arial" w:hAnsi="Arial" w:cs="Arial"/>
          <w:bCs/>
        </w:rPr>
        <w:t xml:space="preserve"> </w:t>
      </w:r>
      <w:r>
        <w:rPr>
          <w:rFonts w:ascii="Arial" w:hAnsi="Arial" w:cs="Arial"/>
          <w:bCs/>
        </w:rPr>
        <w:t>State v. Alvarez</w:t>
      </w:r>
      <w:r w:rsidR="00B25B8B">
        <w:rPr>
          <w:rFonts w:ascii="Arial" w:hAnsi="Arial" w:cs="Arial"/>
          <w:bCs/>
        </w:rPr>
        <w:t xml:space="preserve">, 168 N.C. App. 487, 501 (2005) (noting in process of finding no </w:t>
      </w:r>
      <w:r w:rsidR="00B25B8B">
        <w:rPr>
          <w:rFonts w:ascii="Arial" w:hAnsi="Arial" w:cs="Arial"/>
          <w:bCs/>
          <w:i/>
          <w:iCs/>
        </w:rPr>
        <w:t xml:space="preserve">Harbison </w:t>
      </w:r>
      <w:r w:rsidR="00B25B8B">
        <w:rPr>
          <w:rFonts w:ascii="Arial" w:hAnsi="Arial" w:cs="Arial"/>
          <w:bCs/>
        </w:rPr>
        <w:t>error that “the primary defense to the crimes charged centered on explaining the events as an uncharged drug transaction gone terribly wrong</w:t>
      </w:r>
      <w:r w:rsidR="004067A9">
        <w:rPr>
          <w:rFonts w:ascii="Arial" w:hAnsi="Arial" w:cs="Arial"/>
          <w:bCs/>
        </w:rPr>
        <w:t>;</w:t>
      </w:r>
      <w:r w:rsidR="00B25B8B">
        <w:rPr>
          <w:rFonts w:ascii="Arial" w:hAnsi="Arial" w:cs="Arial"/>
          <w:bCs/>
        </w:rPr>
        <w:t>”</w:t>
      </w:r>
      <w:r w:rsidR="004067A9">
        <w:rPr>
          <w:rFonts w:ascii="Arial" w:hAnsi="Arial" w:cs="Arial"/>
          <w:bCs/>
        </w:rPr>
        <w:t xml:space="preserve"> finding the objected-to comments were in the context of that central argument and di</w:t>
      </w:r>
      <w:r w:rsidR="0083451E">
        <w:rPr>
          <w:rFonts w:ascii="Arial" w:hAnsi="Arial" w:cs="Arial"/>
          <w:bCs/>
        </w:rPr>
        <w:t>d not concede defendant’s guilt to the crimes charged</w:t>
      </w:r>
      <w:r w:rsidR="00611ACA">
        <w:rPr>
          <w:rFonts w:ascii="Arial" w:hAnsi="Arial" w:cs="Arial"/>
          <w:bCs/>
        </w:rPr>
        <w:t xml:space="preserve"> – murder, kidnapping, and </w:t>
      </w:r>
      <w:r w:rsidR="007D2B68">
        <w:rPr>
          <w:rFonts w:ascii="Arial" w:hAnsi="Arial" w:cs="Arial"/>
          <w:bCs/>
        </w:rPr>
        <w:t xml:space="preserve">armed </w:t>
      </w:r>
      <w:r w:rsidR="00611ACA">
        <w:rPr>
          <w:rFonts w:ascii="Arial" w:hAnsi="Arial" w:cs="Arial"/>
          <w:bCs/>
        </w:rPr>
        <w:t xml:space="preserve">robbery </w:t>
      </w:r>
      <w:r w:rsidR="00872C61">
        <w:rPr>
          <w:rFonts w:ascii="Arial" w:hAnsi="Arial" w:cs="Arial"/>
          <w:bCs/>
        </w:rPr>
        <w:t xml:space="preserve">– </w:t>
      </w:r>
      <w:r w:rsidR="0083451E">
        <w:rPr>
          <w:rFonts w:ascii="Arial" w:hAnsi="Arial" w:cs="Arial"/>
          <w:bCs/>
        </w:rPr>
        <w:t>or any lesser-included offense</w:t>
      </w:r>
      <w:r w:rsidR="00B25B8B">
        <w:rPr>
          <w:rFonts w:ascii="Arial" w:hAnsi="Arial" w:cs="Arial"/>
          <w:bCs/>
        </w:rPr>
        <w:t xml:space="preserve">); </w:t>
      </w:r>
      <w:r w:rsidR="00B25B8B">
        <w:rPr>
          <w:rFonts w:ascii="Arial" w:hAnsi="Arial" w:cs="Arial"/>
          <w:bCs/>
          <w:i/>
          <w:iCs/>
        </w:rPr>
        <w:t>Wilson</w:t>
      </w:r>
      <w:r w:rsidR="00B25B8B">
        <w:rPr>
          <w:rFonts w:ascii="Arial" w:hAnsi="Arial" w:cs="Arial"/>
          <w:bCs/>
        </w:rPr>
        <w:t xml:space="preserve">, 236 N.C. App. at 477-78 (no </w:t>
      </w:r>
      <w:r w:rsidR="00B25B8B">
        <w:rPr>
          <w:rFonts w:ascii="Arial" w:hAnsi="Arial" w:cs="Arial"/>
          <w:bCs/>
          <w:i/>
          <w:iCs/>
        </w:rPr>
        <w:t xml:space="preserve">Harbison </w:t>
      </w:r>
      <w:r w:rsidR="00B25B8B">
        <w:rPr>
          <w:rFonts w:ascii="Arial" w:hAnsi="Arial" w:cs="Arial"/>
          <w:bCs/>
        </w:rPr>
        <w:t xml:space="preserve">error where trial counsel admitted that defendant committed assault by pointing a gun but defendant was not charged with that offense); State v. Foreman, 270 N.C. App. 784, 789-90 (2020) (no </w:t>
      </w:r>
      <w:r w:rsidR="00B25B8B">
        <w:rPr>
          <w:rFonts w:ascii="Arial" w:hAnsi="Arial" w:cs="Arial"/>
          <w:bCs/>
          <w:i/>
          <w:iCs/>
        </w:rPr>
        <w:t xml:space="preserve">Harbison </w:t>
      </w:r>
      <w:r w:rsidR="00B25B8B">
        <w:rPr>
          <w:rFonts w:ascii="Arial" w:hAnsi="Arial" w:cs="Arial"/>
          <w:bCs/>
        </w:rPr>
        <w:t>error with respect to attempted first-degree murder</w:t>
      </w:r>
      <w:r w:rsidR="00BD2D1C">
        <w:rPr>
          <w:rFonts w:ascii="Arial" w:hAnsi="Arial" w:cs="Arial"/>
          <w:bCs/>
        </w:rPr>
        <w:t xml:space="preserve"> charge</w:t>
      </w:r>
      <w:r w:rsidR="00B25B8B">
        <w:rPr>
          <w:rFonts w:ascii="Arial" w:hAnsi="Arial" w:cs="Arial"/>
          <w:bCs/>
        </w:rPr>
        <w:t xml:space="preserve"> where defense counsel made a consented-to admission to AWDWISI</w:t>
      </w:r>
      <w:r w:rsidR="00BD2D1C">
        <w:rPr>
          <w:rFonts w:ascii="Arial" w:hAnsi="Arial" w:cs="Arial"/>
          <w:bCs/>
        </w:rPr>
        <w:t xml:space="preserve"> as</w:t>
      </w:r>
      <w:r w:rsidR="00B25B8B">
        <w:rPr>
          <w:rFonts w:ascii="Arial" w:hAnsi="Arial" w:cs="Arial"/>
          <w:bCs/>
        </w:rPr>
        <w:t xml:space="preserve"> AWDWISI is not a lesser included offense of attempted </w:t>
      </w:r>
      <w:r w:rsidR="009B64CA">
        <w:rPr>
          <w:rFonts w:ascii="Arial" w:hAnsi="Arial" w:cs="Arial"/>
          <w:bCs/>
        </w:rPr>
        <w:t xml:space="preserve">first-degree </w:t>
      </w:r>
      <w:r w:rsidR="00B25B8B">
        <w:rPr>
          <w:rFonts w:ascii="Arial" w:hAnsi="Arial" w:cs="Arial"/>
          <w:bCs/>
        </w:rPr>
        <w:t>murder).</w:t>
      </w:r>
      <w:r>
        <w:rPr>
          <w:rFonts w:ascii="Arial" w:hAnsi="Arial" w:cs="Arial"/>
          <w:bCs/>
        </w:rPr>
        <w:t xml:space="preserve">  </w:t>
      </w:r>
    </w:p>
    <w:p w14:paraId="620A0DB6" w14:textId="574362E9" w:rsidR="00C1362C" w:rsidRPr="00C1362C" w:rsidRDefault="00DB2854" w:rsidP="00EC21B7">
      <w:pPr>
        <w:pStyle w:val="ListParagraph"/>
        <w:numPr>
          <w:ilvl w:val="0"/>
          <w:numId w:val="12"/>
        </w:numPr>
        <w:spacing w:after="0" w:line="240" w:lineRule="auto"/>
        <w:rPr>
          <w:rFonts w:ascii="Arial" w:hAnsi="Arial" w:cs="Arial"/>
          <w:b/>
        </w:rPr>
      </w:pPr>
      <w:r>
        <w:rPr>
          <w:rFonts w:ascii="Arial" w:hAnsi="Arial" w:cs="Arial"/>
          <w:b/>
        </w:rPr>
        <w:t>Current V</w:t>
      </w:r>
      <w:r w:rsidR="0089405B" w:rsidRPr="00F33D10">
        <w:rPr>
          <w:rFonts w:ascii="Arial" w:hAnsi="Arial" w:cs="Arial"/>
          <w:b/>
        </w:rPr>
        <w:t xml:space="preserve">iability of </w:t>
      </w:r>
      <w:r w:rsidR="0089405B" w:rsidRPr="00F33D10">
        <w:rPr>
          <w:rFonts w:ascii="Arial" w:hAnsi="Arial" w:cs="Arial"/>
          <w:b/>
          <w:i/>
        </w:rPr>
        <w:t xml:space="preserve">Harbison </w:t>
      </w:r>
      <w:r>
        <w:rPr>
          <w:rFonts w:ascii="Arial" w:hAnsi="Arial" w:cs="Arial"/>
          <w:b/>
        </w:rPr>
        <w:t>C</w:t>
      </w:r>
      <w:r w:rsidR="0089405B" w:rsidRPr="00F33D10">
        <w:rPr>
          <w:rFonts w:ascii="Arial" w:hAnsi="Arial" w:cs="Arial"/>
          <w:b/>
        </w:rPr>
        <w:t xml:space="preserve">laims. </w:t>
      </w:r>
      <w:r w:rsidR="0089405B" w:rsidRPr="00F33D10">
        <w:rPr>
          <w:rFonts w:ascii="Arial" w:hAnsi="Arial" w:cs="Arial"/>
        </w:rPr>
        <w:t xml:space="preserve">In 2004, the United States Supreme Court decided </w:t>
      </w:r>
      <w:r w:rsidR="0089405B" w:rsidRPr="00F33D10">
        <w:rPr>
          <w:rFonts w:ascii="Arial" w:hAnsi="Arial" w:cs="Arial"/>
          <w:i/>
        </w:rPr>
        <w:t>Florida v. Nixon</w:t>
      </w:r>
      <w:r w:rsidR="0089405B" w:rsidRPr="00F33D10">
        <w:rPr>
          <w:rFonts w:ascii="Arial" w:hAnsi="Arial" w:cs="Arial"/>
        </w:rPr>
        <w:t xml:space="preserve">, 543 U.S. 175 (2004). That case held that, under federal law, when the defendant alleges IAC due to an admission of guilt, the claim should be analyzed under the </w:t>
      </w:r>
      <w:r w:rsidR="0089405B" w:rsidRPr="00F33D10">
        <w:rPr>
          <w:rFonts w:ascii="Arial" w:hAnsi="Arial" w:cs="Arial"/>
          <w:i/>
        </w:rPr>
        <w:t>Strickland</w:t>
      </w:r>
      <w:r w:rsidR="0089405B" w:rsidRPr="00F33D10">
        <w:rPr>
          <w:rFonts w:ascii="Arial" w:hAnsi="Arial" w:cs="Arial"/>
        </w:rPr>
        <w:t xml:space="preserve"> attorney error standard. As such, it called the </w:t>
      </w:r>
      <w:r w:rsidR="0089405B" w:rsidRPr="00F33D10">
        <w:rPr>
          <w:rFonts w:ascii="Arial" w:hAnsi="Arial" w:cs="Arial"/>
          <w:i/>
        </w:rPr>
        <w:t>Harbison</w:t>
      </w:r>
      <w:r w:rsidR="0089405B" w:rsidRPr="00F33D10">
        <w:rPr>
          <w:rFonts w:ascii="Arial" w:hAnsi="Arial" w:cs="Arial"/>
        </w:rPr>
        <w:t xml:space="preserve"> line of cases into question. However, in </w:t>
      </w:r>
      <w:r w:rsidR="0089405B" w:rsidRPr="00F33D10">
        <w:rPr>
          <w:rFonts w:ascii="Arial" w:hAnsi="Arial" w:cs="Arial"/>
          <w:i/>
        </w:rPr>
        <w:t xml:space="preserve">State v. </w:t>
      </w:r>
      <w:proofErr w:type="spellStart"/>
      <w:r w:rsidR="0089405B" w:rsidRPr="00F33D10">
        <w:rPr>
          <w:rFonts w:ascii="Arial" w:hAnsi="Arial" w:cs="Arial"/>
          <w:i/>
        </w:rPr>
        <w:t>Maready</w:t>
      </w:r>
      <w:proofErr w:type="spellEnd"/>
      <w:r w:rsidR="0089405B" w:rsidRPr="00F33D10">
        <w:rPr>
          <w:rFonts w:ascii="Arial" w:hAnsi="Arial" w:cs="Arial"/>
        </w:rPr>
        <w:t xml:space="preserve">, </w:t>
      </w:r>
      <w:r w:rsidR="007A652B">
        <w:rPr>
          <w:rFonts w:ascii="Arial" w:hAnsi="Arial" w:cs="Arial"/>
        </w:rPr>
        <w:t>205</w:t>
      </w:r>
      <w:r w:rsidR="0089405B" w:rsidRPr="00F33D10">
        <w:rPr>
          <w:rFonts w:ascii="Arial" w:hAnsi="Arial" w:cs="Arial"/>
        </w:rPr>
        <w:t xml:space="preserve"> N.C. App. </w:t>
      </w:r>
      <w:r w:rsidR="007A652B">
        <w:rPr>
          <w:rFonts w:ascii="Arial" w:hAnsi="Arial" w:cs="Arial"/>
        </w:rPr>
        <w:t>1</w:t>
      </w:r>
      <w:r w:rsidR="0089405B" w:rsidRPr="00F33D10">
        <w:rPr>
          <w:rFonts w:ascii="Arial" w:hAnsi="Arial" w:cs="Arial"/>
        </w:rPr>
        <w:t xml:space="preserve"> (2010), the North Carolina Court of Appeals held that </w:t>
      </w:r>
      <w:r w:rsidR="0089405B" w:rsidRPr="00F33D10">
        <w:rPr>
          <w:rFonts w:ascii="Arial" w:hAnsi="Arial" w:cs="Arial"/>
          <w:i/>
        </w:rPr>
        <w:t xml:space="preserve">Nixon </w:t>
      </w:r>
      <w:r w:rsidR="0089405B" w:rsidRPr="00F33D10">
        <w:rPr>
          <w:rFonts w:ascii="Arial" w:hAnsi="Arial" w:cs="Arial"/>
        </w:rPr>
        <w:t xml:space="preserve">did not affect the North Carolina </w:t>
      </w:r>
      <w:r w:rsidR="0089405B" w:rsidRPr="00F33D10">
        <w:rPr>
          <w:rFonts w:ascii="Arial" w:hAnsi="Arial" w:cs="Arial"/>
          <w:i/>
        </w:rPr>
        <w:t>Harbison</w:t>
      </w:r>
      <w:r w:rsidR="0089405B" w:rsidRPr="00F33D10">
        <w:rPr>
          <w:rFonts w:ascii="Arial" w:hAnsi="Arial" w:cs="Arial"/>
        </w:rPr>
        <w:t xml:space="preserve"> rule. </w:t>
      </w:r>
    </w:p>
    <w:p w14:paraId="37255237" w14:textId="437E0EBD" w:rsidR="0089405B" w:rsidRPr="00F33D10" w:rsidRDefault="00DF4F68" w:rsidP="00C1362C">
      <w:pPr>
        <w:pStyle w:val="ListParagraph"/>
        <w:spacing w:after="0" w:line="240" w:lineRule="auto"/>
        <w:ind w:left="2160" w:firstLine="720"/>
        <w:rPr>
          <w:rFonts w:ascii="Arial" w:hAnsi="Arial" w:cs="Arial"/>
          <w:b/>
        </w:rPr>
      </w:pPr>
      <w:r>
        <w:rPr>
          <w:rFonts w:ascii="Arial" w:hAnsi="Arial" w:cs="Arial"/>
        </w:rPr>
        <w:t xml:space="preserve">In 2018, the United States Supreme Court decided </w:t>
      </w:r>
      <w:r>
        <w:rPr>
          <w:rFonts w:ascii="Arial" w:hAnsi="Arial" w:cs="Arial"/>
          <w:i/>
          <w:iCs/>
        </w:rPr>
        <w:t>McCoy v. Louisiana</w:t>
      </w:r>
      <w:r>
        <w:rPr>
          <w:rFonts w:ascii="Arial" w:hAnsi="Arial" w:cs="Arial"/>
        </w:rPr>
        <w:t>, 138 S. Ct. 1500</w:t>
      </w:r>
      <w:r w:rsidR="00FB3018">
        <w:rPr>
          <w:rFonts w:ascii="Arial" w:hAnsi="Arial" w:cs="Arial"/>
        </w:rPr>
        <w:t>, 1511</w:t>
      </w:r>
      <w:r>
        <w:rPr>
          <w:rFonts w:ascii="Arial" w:hAnsi="Arial" w:cs="Arial"/>
        </w:rPr>
        <w:t xml:space="preserve"> (2018), holding that a Sixth Amendment </w:t>
      </w:r>
      <w:r w:rsidR="00FB3018">
        <w:rPr>
          <w:rFonts w:ascii="Arial" w:hAnsi="Arial" w:cs="Arial"/>
        </w:rPr>
        <w:t xml:space="preserve">violation </w:t>
      </w:r>
      <w:r>
        <w:rPr>
          <w:rFonts w:ascii="Arial" w:hAnsi="Arial" w:cs="Arial"/>
        </w:rPr>
        <w:t>occurs whe</w:t>
      </w:r>
      <w:r w:rsidR="00FB3018">
        <w:rPr>
          <w:rFonts w:ascii="Arial" w:hAnsi="Arial" w:cs="Arial"/>
        </w:rPr>
        <w:t>n</w:t>
      </w:r>
      <w:r>
        <w:rPr>
          <w:rFonts w:ascii="Arial" w:hAnsi="Arial" w:cs="Arial"/>
        </w:rPr>
        <w:t xml:space="preserve"> trial counsel admits a defendant’s guilt over his or her intransigent objection</w:t>
      </w:r>
      <w:r w:rsidR="00FB3018">
        <w:rPr>
          <w:rFonts w:ascii="Arial" w:hAnsi="Arial" w:cs="Arial"/>
        </w:rPr>
        <w:t>.</w:t>
      </w:r>
      <w:r>
        <w:rPr>
          <w:rFonts w:ascii="Arial" w:hAnsi="Arial" w:cs="Arial"/>
        </w:rPr>
        <w:t xml:space="preserve"> </w:t>
      </w:r>
      <w:r>
        <w:rPr>
          <w:rFonts w:ascii="Arial" w:hAnsi="Arial" w:cs="Arial"/>
          <w:i/>
          <w:iCs/>
        </w:rPr>
        <w:t>McCoy</w:t>
      </w:r>
      <w:r>
        <w:rPr>
          <w:rFonts w:ascii="Arial" w:hAnsi="Arial" w:cs="Arial"/>
        </w:rPr>
        <w:t xml:space="preserve"> does not appear to</w:t>
      </w:r>
      <w:r w:rsidR="00FB3018">
        <w:rPr>
          <w:rFonts w:ascii="Arial" w:hAnsi="Arial" w:cs="Arial"/>
        </w:rPr>
        <w:t xml:space="preserve"> directly</w:t>
      </w:r>
      <w:r>
        <w:rPr>
          <w:rFonts w:ascii="Arial" w:hAnsi="Arial" w:cs="Arial"/>
        </w:rPr>
        <w:t xml:space="preserve"> affect North Carolina</w:t>
      </w:r>
      <w:r w:rsidR="008A717B">
        <w:rPr>
          <w:rFonts w:ascii="Arial" w:hAnsi="Arial" w:cs="Arial"/>
        </w:rPr>
        <w:t xml:space="preserve"> law</w:t>
      </w:r>
      <w:r>
        <w:rPr>
          <w:rFonts w:ascii="Arial" w:hAnsi="Arial" w:cs="Arial"/>
        </w:rPr>
        <w:t xml:space="preserve"> as the rule from </w:t>
      </w:r>
      <w:r>
        <w:rPr>
          <w:rFonts w:ascii="Arial" w:hAnsi="Arial" w:cs="Arial"/>
          <w:i/>
          <w:iCs/>
        </w:rPr>
        <w:t xml:space="preserve">Harbison </w:t>
      </w:r>
      <w:r>
        <w:rPr>
          <w:rFonts w:ascii="Arial" w:hAnsi="Arial" w:cs="Arial"/>
        </w:rPr>
        <w:t xml:space="preserve">is more stringent than that announced in </w:t>
      </w:r>
      <w:r>
        <w:rPr>
          <w:rFonts w:ascii="Arial" w:hAnsi="Arial" w:cs="Arial"/>
          <w:i/>
          <w:iCs/>
        </w:rPr>
        <w:t>McCoy</w:t>
      </w:r>
      <w:r>
        <w:rPr>
          <w:rFonts w:ascii="Arial" w:hAnsi="Arial" w:cs="Arial"/>
        </w:rPr>
        <w:t xml:space="preserve">. </w:t>
      </w:r>
      <w:r w:rsidRPr="00EE683C">
        <w:rPr>
          <w:rFonts w:ascii="Arial" w:hAnsi="Arial" w:cs="Arial"/>
          <w:i/>
          <w:iCs/>
        </w:rPr>
        <w:t>See</w:t>
      </w:r>
      <w:r>
        <w:rPr>
          <w:rFonts w:ascii="Arial" w:hAnsi="Arial" w:cs="Arial"/>
        </w:rPr>
        <w:t xml:space="preserve"> Jessica Smith, </w:t>
      </w:r>
      <w:hyperlink r:id="rId10" w:history="1">
        <w:r w:rsidRPr="00DF4F68">
          <w:rPr>
            <w:rStyle w:val="Hyperlink"/>
            <w:rFonts w:ascii="Arial" w:hAnsi="Arial" w:cs="Arial"/>
            <w:i/>
            <w:iCs/>
          </w:rPr>
          <w:t>Does McCoy v. Louisiana Matter in North Carolina?</w:t>
        </w:r>
      </w:hyperlink>
      <w:r>
        <w:rPr>
          <w:rFonts w:ascii="Arial" w:hAnsi="Arial" w:cs="Arial"/>
        </w:rPr>
        <w:t xml:space="preserve">, </w:t>
      </w:r>
      <w:r>
        <w:rPr>
          <w:rFonts w:ascii="Arial" w:hAnsi="Arial" w:cs="Arial"/>
          <w:smallCaps/>
        </w:rPr>
        <w:t>N.C. Criminal L., UNC Sch. of Gov’t Blog</w:t>
      </w:r>
      <w:r>
        <w:rPr>
          <w:rFonts w:ascii="Arial" w:hAnsi="Arial" w:cs="Arial"/>
        </w:rPr>
        <w:t xml:space="preserve"> (Jun. 26, 2018)</w:t>
      </w:r>
      <w:r w:rsidR="000439CE">
        <w:rPr>
          <w:rFonts w:ascii="Arial" w:hAnsi="Arial" w:cs="Arial"/>
        </w:rPr>
        <w:t>.</w:t>
      </w:r>
      <w:r w:rsidR="00E828F7">
        <w:rPr>
          <w:rFonts w:ascii="Arial" w:hAnsi="Arial" w:cs="Arial"/>
        </w:rPr>
        <w:t xml:space="preserve"> </w:t>
      </w:r>
      <w:r w:rsidR="000439CE">
        <w:rPr>
          <w:rFonts w:ascii="Arial" w:hAnsi="Arial" w:cs="Arial"/>
        </w:rPr>
        <w:t>N</w:t>
      </w:r>
      <w:r w:rsidR="00FB3018">
        <w:rPr>
          <w:rFonts w:ascii="Arial" w:hAnsi="Arial" w:cs="Arial"/>
        </w:rPr>
        <w:t xml:space="preserve">ote that the Court in </w:t>
      </w:r>
      <w:r w:rsidR="00FB3018">
        <w:rPr>
          <w:rFonts w:ascii="Arial" w:hAnsi="Arial" w:cs="Arial"/>
          <w:i/>
          <w:iCs/>
        </w:rPr>
        <w:t>McCoy</w:t>
      </w:r>
      <w:r w:rsidR="00FB3018">
        <w:rPr>
          <w:rFonts w:ascii="Arial" w:hAnsi="Arial" w:cs="Arial"/>
        </w:rPr>
        <w:t xml:space="preserve"> found a Sixth Amendment violation on the basis of infringement on the defendant’s autonomy to decide the objective of the defense rather than ineffective assistance of </w:t>
      </w:r>
      <w:proofErr w:type="gramStart"/>
      <w:r w:rsidR="00FB3018">
        <w:rPr>
          <w:rFonts w:ascii="Arial" w:hAnsi="Arial" w:cs="Arial"/>
        </w:rPr>
        <w:t>counsel</w:t>
      </w:r>
      <w:proofErr w:type="gramEnd"/>
      <w:r w:rsidR="000D0626">
        <w:rPr>
          <w:rFonts w:ascii="Arial" w:hAnsi="Arial" w:cs="Arial"/>
        </w:rPr>
        <w:t xml:space="preserve"> but the distinction is of little practical consequence in North Carolina</w:t>
      </w:r>
      <w:r>
        <w:rPr>
          <w:rFonts w:ascii="Arial" w:hAnsi="Arial" w:cs="Arial"/>
        </w:rPr>
        <w:t>.</w:t>
      </w:r>
      <w:r w:rsidR="00720D4C">
        <w:rPr>
          <w:rFonts w:ascii="Arial" w:hAnsi="Arial" w:cs="Arial"/>
        </w:rPr>
        <w:t xml:space="preserve"> </w:t>
      </w:r>
      <w:r w:rsidR="00720D4C">
        <w:rPr>
          <w:rFonts w:ascii="Arial" w:hAnsi="Arial" w:cs="Arial"/>
          <w:i/>
          <w:iCs/>
        </w:rPr>
        <w:t>Cf.</w:t>
      </w:r>
      <w:r w:rsidR="00720D4C">
        <w:rPr>
          <w:rFonts w:ascii="Arial" w:hAnsi="Arial" w:cs="Arial"/>
        </w:rPr>
        <w:t xml:space="preserve"> State v. Crump, 273 N.C. App. 336, 347 (2020) (“</w:t>
      </w:r>
      <w:r w:rsidR="00720D4C">
        <w:rPr>
          <w:rFonts w:ascii="Arial" w:hAnsi="Arial" w:cs="Arial"/>
          <w:i/>
          <w:iCs/>
        </w:rPr>
        <w:t>McCoy</w:t>
      </w:r>
      <w:r w:rsidR="00720D4C">
        <w:rPr>
          <w:rFonts w:ascii="Arial" w:hAnsi="Arial" w:cs="Arial"/>
        </w:rPr>
        <w:t xml:space="preserve"> did not change our </w:t>
      </w:r>
      <w:r w:rsidR="00720D4C">
        <w:rPr>
          <w:rFonts w:ascii="Arial" w:hAnsi="Arial" w:cs="Arial"/>
          <w:i/>
          <w:iCs/>
        </w:rPr>
        <w:t>Harbison</w:t>
      </w:r>
      <w:r w:rsidR="00720D4C">
        <w:rPr>
          <w:rFonts w:ascii="Arial" w:hAnsi="Arial" w:cs="Arial"/>
        </w:rPr>
        <w:t xml:space="preserve"> landscape”).</w:t>
      </w:r>
    </w:p>
    <w:p w14:paraId="2DCFD3CF" w14:textId="3BEF141E" w:rsidR="0089405B" w:rsidRPr="00F33D10" w:rsidRDefault="00DB2854" w:rsidP="00EC21B7">
      <w:pPr>
        <w:pStyle w:val="ListParagraph"/>
        <w:numPr>
          <w:ilvl w:val="0"/>
          <w:numId w:val="12"/>
        </w:numPr>
        <w:spacing w:after="0" w:line="240" w:lineRule="auto"/>
        <w:rPr>
          <w:rFonts w:ascii="Arial" w:hAnsi="Arial" w:cs="Arial"/>
          <w:b/>
        </w:rPr>
      </w:pPr>
      <w:r>
        <w:rPr>
          <w:rFonts w:ascii="Arial" w:hAnsi="Arial" w:cs="Arial"/>
          <w:b/>
        </w:rPr>
        <w:t>Best Practices at T</w:t>
      </w:r>
      <w:r w:rsidR="0089405B" w:rsidRPr="00F33D10">
        <w:rPr>
          <w:rFonts w:ascii="Arial" w:hAnsi="Arial" w:cs="Arial"/>
          <w:b/>
        </w:rPr>
        <w:t xml:space="preserve">rial. </w:t>
      </w:r>
      <w:r w:rsidR="0089405B" w:rsidRPr="00F33D10">
        <w:rPr>
          <w:rFonts w:ascii="Arial" w:hAnsi="Arial" w:cs="Arial"/>
        </w:rPr>
        <w:t xml:space="preserve">Judges are advised to ask--before both opening and closing statements--whether counsel plans to admit guilt. </w:t>
      </w:r>
      <w:r w:rsidR="00C230E9">
        <w:rPr>
          <w:rFonts w:ascii="Arial" w:hAnsi="Arial" w:cs="Arial"/>
          <w:i/>
          <w:iCs/>
        </w:rPr>
        <w:t>See McAllister</w:t>
      </w:r>
      <w:r w:rsidR="00C230E9">
        <w:rPr>
          <w:rFonts w:ascii="Arial" w:hAnsi="Arial" w:cs="Arial"/>
        </w:rPr>
        <w:t xml:space="preserve">, 375 N.C. at 477 (while not the sole measurement of consent, “an on-the record exchange between the trial court and the defendant is the preferred method of determining whether the defendant knowingly </w:t>
      </w:r>
      <w:r w:rsidR="00C230E9">
        <w:rPr>
          <w:rFonts w:ascii="Arial" w:hAnsi="Arial" w:cs="Arial"/>
        </w:rPr>
        <w:lastRenderedPageBreak/>
        <w:t xml:space="preserve">and voluntarily consented to an admission of guilt” (internal quotation omitted)). </w:t>
      </w:r>
      <w:r w:rsidR="0089405B" w:rsidRPr="00F33D10">
        <w:rPr>
          <w:rFonts w:ascii="Arial" w:hAnsi="Arial" w:cs="Arial"/>
        </w:rPr>
        <w:t>If so, the judge should determine, on the record, whether the defendant consents to this strategy.</w:t>
      </w:r>
      <w:r w:rsidR="00A617D1">
        <w:rPr>
          <w:rFonts w:ascii="Arial" w:hAnsi="Arial" w:cs="Arial"/>
        </w:rPr>
        <w:t xml:space="preserve"> </w:t>
      </w:r>
      <w:r w:rsidR="00C230E9">
        <w:rPr>
          <w:rFonts w:ascii="Arial" w:hAnsi="Arial" w:cs="Arial"/>
          <w:i/>
          <w:iCs/>
        </w:rPr>
        <w:t>See, e.g.</w:t>
      </w:r>
      <w:r w:rsidR="00C230E9">
        <w:rPr>
          <w:rFonts w:ascii="Arial" w:hAnsi="Arial" w:cs="Arial"/>
        </w:rPr>
        <w:t xml:space="preserve">, </w:t>
      </w:r>
      <w:r w:rsidR="00F77BEC">
        <w:rPr>
          <w:rFonts w:ascii="Arial" w:hAnsi="Arial" w:cs="Arial"/>
        </w:rPr>
        <w:t>State v. Moore, 286 N.C. App. 341, 346 (2022) (providing a transcript of the trial court’s colloquy with the defendant which, under the facts, established the defendant’s knowing and informed consent to counsel’s strategy of admitting guilt to lesser included offense during opening statement)</w:t>
      </w:r>
      <w:r w:rsidR="00D76666">
        <w:rPr>
          <w:rFonts w:ascii="Arial" w:hAnsi="Arial" w:cs="Arial"/>
        </w:rPr>
        <w:t>.</w:t>
      </w:r>
      <w:r w:rsidR="0089405B" w:rsidRPr="00F33D10">
        <w:rPr>
          <w:rFonts w:ascii="Arial" w:hAnsi="Arial" w:cs="Arial"/>
        </w:rPr>
        <w:t xml:space="preserve"> Defense counsel may not proceed with this strategy unless the defendant gives explicit consent. If counsel unexpectedly admits guilt during trial, the trial judge should excuse the jury and determine, on the record, whether the defendant consents to the admission.</w:t>
      </w:r>
      <w:r w:rsidR="002E1605">
        <w:rPr>
          <w:rFonts w:ascii="Arial" w:hAnsi="Arial" w:cs="Arial"/>
        </w:rPr>
        <w:t xml:space="preserve"> State v. Bryant, 281 N.C. App. 116, 125 (2021) (trial court made adequate </w:t>
      </w:r>
      <w:r w:rsidR="002E1605">
        <w:rPr>
          <w:rFonts w:ascii="Arial" w:hAnsi="Arial" w:cs="Arial"/>
          <w:i/>
          <w:iCs/>
        </w:rPr>
        <w:t>Harbison</w:t>
      </w:r>
      <w:r w:rsidR="002E1605">
        <w:rPr>
          <w:rFonts w:ascii="Arial" w:hAnsi="Arial" w:cs="Arial"/>
        </w:rPr>
        <w:t xml:space="preserve"> inquiry following defense counsel’s opening statement which arguably included an implied admission of guilt).</w:t>
      </w:r>
      <w:r w:rsidR="0089405B" w:rsidRPr="00F33D10">
        <w:rPr>
          <w:rFonts w:ascii="Arial" w:hAnsi="Arial" w:cs="Arial"/>
        </w:rPr>
        <w:t xml:space="preserve"> If the defendant does not consent, a mistrial may be required.</w:t>
      </w:r>
    </w:p>
    <w:p w14:paraId="18FD7F26" w14:textId="77777777" w:rsidR="00525E34" w:rsidRDefault="0089405B" w:rsidP="00DB36DF">
      <w:pPr>
        <w:jc w:val="center"/>
        <w:rPr>
          <w:rFonts w:ascii="Arial" w:hAnsi="Arial" w:cs="Arial"/>
          <w:color w:val="000000"/>
          <w:sz w:val="20"/>
          <w:szCs w:val="20"/>
        </w:rPr>
      </w:pPr>
      <w:r w:rsidRPr="00F33D10">
        <w:rPr>
          <w:rFonts w:ascii="Arial" w:hAnsi="Arial" w:cs="Arial"/>
          <w:color w:val="000000"/>
          <w:sz w:val="20"/>
          <w:szCs w:val="20"/>
        </w:rPr>
        <w:br/>
      </w:r>
      <w:r w:rsidRPr="00F33D10">
        <w:rPr>
          <w:rFonts w:ascii="Arial" w:hAnsi="Arial" w:cs="Arial"/>
          <w:color w:val="000000"/>
          <w:sz w:val="20"/>
          <w:szCs w:val="20"/>
        </w:rPr>
        <w:br/>
      </w:r>
      <w:r w:rsidRPr="00F33D10">
        <w:rPr>
          <w:rFonts w:ascii="Arial" w:hAnsi="Arial" w:cs="Arial"/>
          <w:color w:val="000000"/>
          <w:sz w:val="20"/>
          <w:szCs w:val="20"/>
        </w:rPr>
        <w:br/>
      </w:r>
      <w:r w:rsidRPr="00F33D10">
        <w:rPr>
          <w:rFonts w:ascii="Arial" w:hAnsi="Arial" w:cs="Arial"/>
          <w:color w:val="000000"/>
          <w:sz w:val="20"/>
          <w:szCs w:val="20"/>
        </w:rPr>
        <w:br/>
      </w:r>
      <w:r w:rsidRPr="00F33D10">
        <w:rPr>
          <w:rFonts w:ascii="Arial" w:hAnsi="Arial" w:cs="Arial"/>
          <w:color w:val="000000"/>
          <w:sz w:val="20"/>
          <w:szCs w:val="20"/>
        </w:rPr>
        <w:br/>
      </w:r>
    </w:p>
    <w:p w14:paraId="50038B34" w14:textId="77777777" w:rsidR="00525E34" w:rsidRDefault="00525E34" w:rsidP="00DB36DF">
      <w:pPr>
        <w:jc w:val="center"/>
        <w:rPr>
          <w:rFonts w:ascii="Arial" w:hAnsi="Arial" w:cs="Arial"/>
          <w:color w:val="000000"/>
          <w:sz w:val="20"/>
          <w:szCs w:val="20"/>
        </w:rPr>
      </w:pPr>
    </w:p>
    <w:p w14:paraId="33001EC9" w14:textId="77777777" w:rsidR="00525E34" w:rsidRDefault="00525E34" w:rsidP="00DB36DF">
      <w:pPr>
        <w:jc w:val="center"/>
        <w:rPr>
          <w:rFonts w:ascii="Arial" w:hAnsi="Arial" w:cs="Arial"/>
          <w:color w:val="000000"/>
          <w:sz w:val="20"/>
          <w:szCs w:val="20"/>
        </w:rPr>
      </w:pPr>
    </w:p>
    <w:p w14:paraId="26A9D725" w14:textId="77777777" w:rsidR="00525E34" w:rsidRDefault="00525E34" w:rsidP="00DB36DF">
      <w:pPr>
        <w:jc w:val="center"/>
        <w:rPr>
          <w:rFonts w:ascii="Arial" w:hAnsi="Arial" w:cs="Arial"/>
          <w:color w:val="000000"/>
          <w:sz w:val="20"/>
          <w:szCs w:val="20"/>
        </w:rPr>
      </w:pPr>
    </w:p>
    <w:p w14:paraId="0A6F3BD3" w14:textId="77777777" w:rsidR="00525E34" w:rsidRDefault="00525E34" w:rsidP="000439CE">
      <w:pPr>
        <w:rPr>
          <w:rFonts w:ascii="Arial" w:hAnsi="Arial" w:cs="Arial"/>
          <w:color w:val="000000"/>
          <w:sz w:val="20"/>
          <w:szCs w:val="20"/>
        </w:rPr>
      </w:pPr>
    </w:p>
    <w:p w14:paraId="6856C65F" w14:textId="77777777" w:rsidR="00525E34" w:rsidRDefault="00525E34" w:rsidP="00DB36DF">
      <w:pPr>
        <w:jc w:val="center"/>
        <w:rPr>
          <w:rFonts w:ascii="Arial" w:hAnsi="Arial" w:cs="Arial"/>
          <w:color w:val="000000"/>
          <w:sz w:val="20"/>
          <w:szCs w:val="20"/>
        </w:rPr>
      </w:pPr>
    </w:p>
    <w:p w14:paraId="6405179B" w14:textId="77777777" w:rsidR="00525E34" w:rsidRDefault="00525E34" w:rsidP="00DB36DF">
      <w:pPr>
        <w:jc w:val="center"/>
        <w:rPr>
          <w:rFonts w:ascii="Arial" w:hAnsi="Arial" w:cs="Arial"/>
          <w:color w:val="000000"/>
          <w:sz w:val="20"/>
          <w:szCs w:val="20"/>
        </w:rPr>
      </w:pPr>
    </w:p>
    <w:p w14:paraId="32678122" w14:textId="77777777" w:rsidR="00525E34" w:rsidRDefault="00525E34" w:rsidP="00DB36DF">
      <w:pPr>
        <w:jc w:val="center"/>
        <w:rPr>
          <w:rFonts w:ascii="Arial" w:hAnsi="Arial" w:cs="Arial"/>
          <w:color w:val="000000"/>
          <w:sz w:val="20"/>
          <w:szCs w:val="20"/>
        </w:rPr>
      </w:pPr>
    </w:p>
    <w:p w14:paraId="47D1B770" w14:textId="77777777" w:rsidR="00525E34" w:rsidRDefault="00525E34" w:rsidP="00DB36DF">
      <w:pPr>
        <w:jc w:val="center"/>
        <w:rPr>
          <w:rFonts w:ascii="Arial" w:hAnsi="Arial" w:cs="Arial"/>
          <w:color w:val="000000"/>
          <w:sz w:val="20"/>
          <w:szCs w:val="20"/>
        </w:rPr>
      </w:pPr>
    </w:p>
    <w:p w14:paraId="53772578" w14:textId="77777777" w:rsidR="00525E34" w:rsidRDefault="00525E34" w:rsidP="00DB36DF">
      <w:pPr>
        <w:jc w:val="center"/>
        <w:rPr>
          <w:rFonts w:ascii="Arial" w:hAnsi="Arial" w:cs="Arial"/>
          <w:color w:val="000000"/>
          <w:sz w:val="20"/>
          <w:szCs w:val="20"/>
        </w:rPr>
      </w:pPr>
    </w:p>
    <w:p w14:paraId="1CE54802" w14:textId="77777777" w:rsidR="00525E34" w:rsidRDefault="00525E34" w:rsidP="00DB36DF">
      <w:pPr>
        <w:jc w:val="center"/>
        <w:rPr>
          <w:rFonts w:ascii="Arial" w:hAnsi="Arial" w:cs="Arial"/>
          <w:color w:val="000000"/>
          <w:sz w:val="20"/>
          <w:szCs w:val="20"/>
        </w:rPr>
      </w:pPr>
    </w:p>
    <w:p w14:paraId="23083F48" w14:textId="66400E2C" w:rsidR="0089405B" w:rsidRPr="007F32CD" w:rsidRDefault="0089405B" w:rsidP="00525E34">
      <w:pPr>
        <w:jc w:val="center"/>
        <w:rPr>
          <w:rFonts w:ascii="Arial" w:hAnsi="Arial" w:cs="Arial"/>
          <w:b/>
          <w:sz w:val="16"/>
          <w:szCs w:val="16"/>
        </w:rPr>
      </w:pPr>
      <w:r w:rsidRPr="00F33D10">
        <w:rPr>
          <w:rFonts w:ascii="Arial" w:hAnsi="Arial" w:cs="Arial"/>
          <w:color w:val="000000"/>
          <w:sz w:val="20"/>
          <w:szCs w:val="20"/>
        </w:rPr>
        <w:br/>
      </w:r>
      <w:r w:rsidRPr="00F33D10">
        <w:rPr>
          <w:rFonts w:ascii="Arial" w:hAnsi="Arial" w:cs="Arial"/>
          <w:color w:val="000000"/>
          <w:sz w:val="20"/>
          <w:szCs w:val="20"/>
        </w:rPr>
        <w:br/>
      </w:r>
      <w:r w:rsidRPr="00F33D10">
        <w:rPr>
          <w:rFonts w:ascii="Arial" w:hAnsi="Arial" w:cs="Arial"/>
          <w:color w:val="000000"/>
          <w:sz w:val="20"/>
          <w:szCs w:val="20"/>
        </w:rPr>
        <w:br/>
      </w:r>
      <w:r w:rsidR="004976A7" w:rsidRPr="008146F5">
        <w:rPr>
          <w:rFonts w:ascii="Arial" w:hAnsi="Arial" w:cs="Arial"/>
          <w:sz w:val="18"/>
          <w:szCs w:val="18"/>
        </w:rPr>
        <w:t xml:space="preserve">© 2023 School of Government. The University of North Carolina at Chapel Hill Use of this publication for commercial purposes or without acknowledgment of its source is prohibited. Reproducing, distributing, or otherwise making available to a </w:t>
      </w:r>
      <w:proofErr w:type="spellStart"/>
      <w:r w:rsidR="004976A7" w:rsidRPr="008146F5">
        <w:rPr>
          <w:rFonts w:ascii="Arial" w:hAnsi="Arial" w:cs="Arial"/>
          <w:sz w:val="18"/>
          <w:szCs w:val="18"/>
        </w:rPr>
        <w:t>nonpurchaser</w:t>
      </w:r>
      <w:proofErr w:type="spellEnd"/>
      <w:r w:rsidR="004976A7" w:rsidRPr="008146F5">
        <w:rPr>
          <w:rFonts w:ascii="Arial" w:hAnsi="Arial" w:cs="Arial"/>
          <w:sz w:val="18"/>
          <w:szCs w:val="18"/>
        </w:rPr>
        <w:t xml:space="preserve"> the entire publication, or a substantial portion of it, without express permission, is prohibited. For permissions questions or requests, email the School of Government at copyright_permissions@sog.unc.</w:t>
      </w:r>
      <w:r w:rsidR="004976A7">
        <w:rPr>
          <w:rFonts w:ascii="Arial" w:hAnsi="Arial" w:cs="Arial"/>
          <w:sz w:val="18"/>
          <w:szCs w:val="18"/>
        </w:rPr>
        <w:t>edu.</w:t>
      </w:r>
    </w:p>
    <w:sectPr w:rsidR="0089405B" w:rsidRPr="007F32CD" w:rsidSect="00A677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D79C" w14:textId="77777777" w:rsidR="00C476E5" w:rsidRDefault="00C476E5" w:rsidP="00A06F4D">
      <w:pPr>
        <w:spacing w:after="0" w:line="240" w:lineRule="auto"/>
      </w:pPr>
      <w:r>
        <w:separator/>
      </w:r>
    </w:p>
    <w:p w14:paraId="02254F12" w14:textId="77777777" w:rsidR="00C476E5" w:rsidRDefault="00C476E5"/>
  </w:endnote>
  <w:endnote w:type="continuationSeparator" w:id="0">
    <w:p w14:paraId="655BD522" w14:textId="77777777" w:rsidR="00C476E5" w:rsidRDefault="00C476E5" w:rsidP="00A06F4D">
      <w:pPr>
        <w:spacing w:after="0" w:line="240" w:lineRule="auto"/>
      </w:pPr>
      <w:r>
        <w:continuationSeparator/>
      </w:r>
    </w:p>
    <w:p w14:paraId="0F0C64BA" w14:textId="77777777" w:rsidR="00C476E5" w:rsidRDefault="00C47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DADA" w14:textId="77777777" w:rsidR="0089405B" w:rsidRPr="00F15943" w:rsidRDefault="0089405B">
    <w:pPr>
      <w:pStyle w:val="Footer"/>
      <w:jc w:val="center"/>
      <w:rPr>
        <w:rFonts w:ascii="Arial" w:hAnsi="Arial" w:cs="Arial"/>
        <w:sz w:val="20"/>
        <w:szCs w:val="20"/>
      </w:rPr>
    </w:pPr>
    <w:r w:rsidRPr="00F15943">
      <w:rPr>
        <w:rFonts w:ascii="Arial" w:hAnsi="Arial" w:cs="Arial"/>
        <w:sz w:val="20"/>
        <w:szCs w:val="20"/>
      </w:rPr>
      <w:t xml:space="preserve">Ineffective Assistance of Counsel - </w:t>
    </w:r>
    <w:r w:rsidR="005C3391" w:rsidRPr="00F15943">
      <w:rPr>
        <w:rFonts w:ascii="Arial" w:hAnsi="Arial" w:cs="Arial"/>
        <w:sz w:val="20"/>
        <w:szCs w:val="20"/>
      </w:rPr>
      <w:fldChar w:fldCharType="begin"/>
    </w:r>
    <w:r w:rsidRPr="00F15943">
      <w:rPr>
        <w:rFonts w:ascii="Arial" w:hAnsi="Arial" w:cs="Arial"/>
        <w:sz w:val="20"/>
        <w:szCs w:val="20"/>
      </w:rPr>
      <w:instrText xml:space="preserve"> PAGE   \* MERGEFORMAT </w:instrText>
    </w:r>
    <w:r w:rsidR="005C3391" w:rsidRPr="00F15943">
      <w:rPr>
        <w:rFonts w:ascii="Arial" w:hAnsi="Arial" w:cs="Arial"/>
        <w:sz w:val="20"/>
        <w:szCs w:val="20"/>
      </w:rPr>
      <w:fldChar w:fldCharType="separate"/>
    </w:r>
    <w:r w:rsidR="00525E34">
      <w:rPr>
        <w:rFonts w:ascii="Arial" w:hAnsi="Arial" w:cs="Arial"/>
        <w:noProof/>
        <w:sz w:val="20"/>
        <w:szCs w:val="20"/>
      </w:rPr>
      <w:t>1</w:t>
    </w:r>
    <w:r w:rsidR="005C3391" w:rsidRPr="00F1594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BACF" w14:textId="77777777" w:rsidR="00C476E5" w:rsidRDefault="00C476E5" w:rsidP="00A06F4D">
      <w:pPr>
        <w:spacing w:after="0" w:line="240" w:lineRule="auto"/>
      </w:pPr>
      <w:r>
        <w:separator/>
      </w:r>
    </w:p>
    <w:p w14:paraId="0EAF8CEA" w14:textId="77777777" w:rsidR="00C476E5" w:rsidRDefault="00C476E5"/>
  </w:footnote>
  <w:footnote w:type="continuationSeparator" w:id="0">
    <w:p w14:paraId="2AD36EED" w14:textId="77777777" w:rsidR="00C476E5" w:rsidRDefault="00C476E5" w:rsidP="00A06F4D">
      <w:pPr>
        <w:spacing w:after="0" w:line="240" w:lineRule="auto"/>
      </w:pPr>
      <w:r>
        <w:continuationSeparator/>
      </w:r>
    </w:p>
    <w:p w14:paraId="0C533645" w14:textId="77777777" w:rsidR="00C476E5" w:rsidRDefault="00C476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F999" w14:textId="77777777" w:rsidR="0089405B" w:rsidRDefault="0089405B">
    <w:pPr>
      <w:pStyle w:val="Header"/>
      <w:jc w:val="center"/>
    </w:pPr>
  </w:p>
  <w:p w14:paraId="75660D97" w14:textId="77777777" w:rsidR="0089405B" w:rsidRDefault="0089405B">
    <w:pPr>
      <w:pStyle w:val="Header"/>
    </w:pPr>
  </w:p>
  <w:p w14:paraId="67243DBC" w14:textId="77777777" w:rsidR="005C3391" w:rsidRDefault="005C33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6A9"/>
    <w:multiLevelType w:val="hybridMultilevel"/>
    <w:tmpl w:val="36D88286"/>
    <w:lvl w:ilvl="0" w:tplc="906285CA">
      <w:start w:val="1"/>
      <w:numFmt w:val="upperLetter"/>
      <w:pStyle w:val="Heading2"/>
      <w:lvlText w:val="%1."/>
      <w:lvlJc w:val="left"/>
      <w:pPr>
        <w:ind w:left="1440" w:hanging="72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2F6C52"/>
    <w:multiLevelType w:val="hybridMultilevel"/>
    <w:tmpl w:val="3F9004CC"/>
    <w:lvl w:ilvl="0" w:tplc="0AA229CE">
      <w:start w:val="1"/>
      <w:numFmt w:val="decimal"/>
      <w:lvlText w:val="%1."/>
      <w:lvlJc w:val="left"/>
      <w:pPr>
        <w:ind w:left="216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B58709A"/>
    <w:multiLevelType w:val="hybridMultilevel"/>
    <w:tmpl w:val="51B060F8"/>
    <w:lvl w:ilvl="0" w:tplc="2EE09694">
      <w:start w:val="1"/>
      <w:numFmt w:val="lowerRoman"/>
      <w:lvlText w:val="%1."/>
      <w:lvlJc w:val="left"/>
      <w:pPr>
        <w:ind w:left="5040" w:hanging="72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3" w15:restartNumberingAfterBreak="0">
    <w:nsid w:val="11B50E13"/>
    <w:multiLevelType w:val="hybridMultilevel"/>
    <w:tmpl w:val="522E3DAE"/>
    <w:lvl w:ilvl="0" w:tplc="04090019">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79A2DE7"/>
    <w:multiLevelType w:val="hybridMultilevel"/>
    <w:tmpl w:val="EE2CA88E"/>
    <w:lvl w:ilvl="0" w:tplc="E6D41542">
      <w:start w:val="1"/>
      <w:numFmt w:val="lowerRoman"/>
      <w:lvlText w:val="%1."/>
      <w:lvlJc w:val="left"/>
      <w:pPr>
        <w:ind w:left="3240" w:hanging="360"/>
      </w:pPr>
      <w:rPr>
        <w:rFonts w:ascii="Arial" w:eastAsia="Calibri" w:hAnsi="Arial" w:cs="Arial" w:hint="default"/>
      </w:rPr>
    </w:lvl>
    <w:lvl w:ilvl="1" w:tplc="04090019" w:tentative="1">
      <w:start w:val="1"/>
      <w:numFmt w:val="lowerLetter"/>
      <w:lvlText w:val="%2."/>
      <w:lvlJc w:val="left"/>
      <w:pPr>
        <w:ind w:left="7200" w:hanging="360"/>
      </w:pPr>
      <w:rPr>
        <w:rFonts w:cs="Times New Roman"/>
      </w:rPr>
    </w:lvl>
    <w:lvl w:ilvl="2" w:tplc="0409001B" w:tentative="1">
      <w:start w:val="1"/>
      <w:numFmt w:val="lowerRoman"/>
      <w:lvlText w:val="%3."/>
      <w:lvlJc w:val="right"/>
      <w:pPr>
        <w:ind w:left="7920" w:hanging="180"/>
      </w:pPr>
      <w:rPr>
        <w:rFonts w:cs="Times New Roman"/>
      </w:rPr>
    </w:lvl>
    <w:lvl w:ilvl="3" w:tplc="0409000F" w:tentative="1">
      <w:start w:val="1"/>
      <w:numFmt w:val="decimal"/>
      <w:lvlText w:val="%4."/>
      <w:lvlJc w:val="left"/>
      <w:pPr>
        <w:ind w:left="8640" w:hanging="360"/>
      </w:pPr>
      <w:rPr>
        <w:rFonts w:cs="Times New Roman"/>
      </w:rPr>
    </w:lvl>
    <w:lvl w:ilvl="4" w:tplc="04090019" w:tentative="1">
      <w:start w:val="1"/>
      <w:numFmt w:val="lowerLetter"/>
      <w:lvlText w:val="%5."/>
      <w:lvlJc w:val="left"/>
      <w:pPr>
        <w:ind w:left="9360" w:hanging="360"/>
      </w:pPr>
      <w:rPr>
        <w:rFonts w:cs="Times New Roman"/>
      </w:rPr>
    </w:lvl>
    <w:lvl w:ilvl="5" w:tplc="0409001B" w:tentative="1">
      <w:start w:val="1"/>
      <w:numFmt w:val="lowerRoman"/>
      <w:lvlText w:val="%6."/>
      <w:lvlJc w:val="right"/>
      <w:pPr>
        <w:ind w:left="10080" w:hanging="180"/>
      </w:pPr>
      <w:rPr>
        <w:rFonts w:cs="Times New Roman"/>
      </w:rPr>
    </w:lvl>
    <w:lvl w:ilvl="6" w:tplc="0409000F" w:tentative="1">
      <w:start w:val="1"/>
      <w:numFmt w:val="decimal"/>
      <w:lvlText w:val="%7."/>
      <w:lvlJc w:val="left"/>
      <w:pPr>
        <w:ind w:left="10800" w:hanging="360"/>
      </w:pPr>
      <w:rPr>
        <w:rFonts w:cs="Times New Roman"/>
      </w:rPr>
    </w:lvl>
    <w:lvl w:ilvl="7" w:tplc="04090019" w:tentative="1">
      <w:start w:val="1"/>
      <w:numFmt w:val="lowerLetter"/>
      <w:lvlText w:val="%8."/>
      <w:lvlJc w:val="left"/>
      <w:pPr>
        <w:ind w:left="11520" w:hanging="360"/>
      </w:pPr>
      <w:rPr>
        <w:rFonts w:cs="Times New Roman"/>
      </w:rPr>
    </w:lvl>
    <w:lvl w:ilvl="8" w:tplc="0409001B" w:tentative="1">
      <w:start w:val="1"/>
      <w:numFmt w:val="lowerRoman"/>
      <w:lvlText w:val="%9."/>
      <w:lvlJc w:val="right"/>
      <w:pPr>
        <w:ind w:left="12240" w:hanging="180"/>
      </w:pPr>
      <w:rPr>
        <w:rFonts w:cs="Times New Roman"/>
      </w:rPr>
    </w:lvl>
  </w:abstractNum>
  <w:abstractNum w:abstractNumId="5" w15:restartNumberingAfterBreak="0">
    <w:nsid w:val="209C4318"/>
    <w:multiLevelType w:val="hybridMultilevel"/>
    <w:tmpl w:val="E312CD86"/>
    <w:lvl w:ilvl="0" w:tplc="8F66C0DA">
      <w:start w:val="1"/>
      <w:numFmt w:val="decimal"/>
      <w:lvlText w:val="%1."/>
      <w:lvlJc w:val="left"/>
      <w:pPr>
        <w:ind w:left="216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24D204B"/>
    <w:multiLevelType w:val="hybridMultilevel"/>
    <w:tmpl w:val="85A233F2"/>
    <w:lvl w:ilvl="0" w:tplc="46EC3558">
      <w:start w:val="1"/>
      <w:numFmt w:val="upperRoman"/>
      <w:pStyle w:val="Heading1"/>
      <w:lvlText w:val="%1."/>
      <w:lvlJc w:val="left"/>
      <w:pPr>
        <w:ind w:left="72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AD65D2B"/>
    <w:multiLevelType w:val="hybridMultilevel"/>
    <w:tmpl w:val="9594EA12"/>
    <w:lvl w:ilvl="0" w:tplc="CEE8287C">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408A26FF"/>
    <w:multiLevelType w:val="hybridMultilevel"/>
    <w:tmpl w:val="7506C7A6"/>
    <w:lvl w:ilvl="0" w:tplc="4268235A">
      <w:start w:val="1"/>
      <w:numFmt w:val="decimal"/>
      <w:lvlText w:val="%1."/>
      <w:lvlJc w:val="left"/>
      <w:pPr>
        <w:ind w:left="216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12320B5"/>
    <w:multiLevelType w:val="hybridMultilevel"/>
    <w:tmpl w:val="1004C324"/>
    <w:lvl w:ilvl="0" w:tplc="6E74C79A">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5190437D"/>
    <w:multiLevelType w:val="hybridMultilevel"/>
    <w:tmpl w:val="BB08AF7E"/>
    <w:lvl w:ilvl="0" w:tplc="C2780B82">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55607883"/>
    <w:multiLevelType w:val="hybridMultilevel"/>
    <w:tmpl w:val="88B295D6"/>
    <w:lvl w:ilvl="0" w:tplc="720CB02E">
      <w:start w:val="1"/>
      <w:numFmt w:val="decimal"/>
      <w:lvlText w:val="%1."/>
      <w:lvlJc w:val="left"/>
      <w:pPr>
        <w:ind w:left="216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5D47268C"/>
    <w:multiLevelType w:val="hybridMultilevel"/>
    <w:tmpl w:val="CDDE3C6A"/>
    <w:lvl w:ilvl="0" w:tplc="46A6A2FA">
      <w:start w:val="1"/>
      <w:numFmt w:val="lowerLetter"/>
      <w:lvlText w:val="%1."/>
      <w:lvlJc w:val="left"/>
      <w:pPr>
        <w:ind w:left="28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5F5F0986"/>
    <w:multiLevelType w:val="hybridMultilevel"/>
    <w:tmpl w:val="893420F2"/>
    <w:lvl w:ilvl="0" w:tplc="4880D88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629D6206"/>
    <w:multiLevelType w:val="hybridMultilevel"/>
    <w:tmpl w:val="2112355A"/>
    <w:lvl w:ilvl="0" w:tplc="327AD82E">
      <w:start w:val="1"/>
      <w:numFmt w:val="lowerLetter"/>
      <w:lvlText w:val="%1."/>
      <w:lvlJc w:val="left"/>
      <w:pPr>
        <w:ind w:left="2880" w:hanging="720"/>
      </w:pPr>
      <w:rPr>
        <w:rFonts w:ascii="Arial" w:eastAsia="Calibri" w:hAnsi="Arial" w:cs="Arial"/>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64C459E"/>
    <w:multiLevelType w:val="hybridMultilevel"/>
    <w:tmpl w:val="632C0804"/>
    <w:lvl w:ilvl="0" w:tplc="61BE35A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75DD692F"/>
    <w:multiLevelType w:val="hybridMultilevel"/>
    <w:tmpl w:val="173A5F38"/>
    <w:lvl w:ilvl="0" w:tplc="667CFD22">
      <w:start w:val="1"/>
      <w:numFmt w:val="lowerRoman"/>
      <w:lvlText w:val="%1."/>
      <w:lvlJc w:val="left"/>
      <w:pPr>
        <w:ind w:left="2160" w:hanging="72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1818763785">
    <w:abstractNumId w:val="6"/>
  </w:num>
  <w:num w:numId="2" w16cid:durableId="1140268257">
    <w:abstractNumId w:val="0"/>
  </w:num>
  <w:num w:numId="3" w16cid:durableId="495070649">
    <w:abstractNumId w:val="1"/>
  </w:num>
  <w:num w:numId="4" w16cid:durableId="1168132593">
    <w:abstractNumId w:val="12"/>
  </w:num>
  <w:num w:numId="5" w16cid:durableId="1449936698">
    <w:abstractNumId w:val="9"/>
  </w:num>
  <w:num w:numId="6" w16cid:durableId="1940209860">
    <w:abstractNumId w:val="7"/>
  </w:num>
  <w:num w:numId="7" w16cid:durableId="982081694">
    <w:abstractNumId w:val="16"/>
  </w:num>
  <w:num w:numId="8" w16cid:durableId="642807498">
    <w:abstractNumId w:val="8"/>
  </w:num>
  <w:num w:numId="9" w16cid:durableId="814297578">
    <w:abstractNumId w:val="11"/>
  </w:num>
  <w:num w:numId="10" w16cid:durableId="2141680915">
    <w:abstractNumId w:val="10"/>
  </w:num>
  <w:num w:numId="11" w16cid:durableId="2637604">
    <w:abstractNumId w:val="4"/>
  </w:num>
  <w:num w:numId="12" w16cid:durableId="1608199010">
    <w:abstractNumId w:val="5"/>
  </w:num>
  <w:num w:numId="13" w16cid:durableId="65223807">
    <w:abstractNumId w:val="15"/>
  </w:num>
  <w:num w:numId="14" w16cid:durableId="440344614">
    <w:abstractNumId w:val="13"/>
  </w:num>
  <w:num w:numId="15" w16cid:durableId="127824206">
    <w:abstractNumId w:val="2"/>
  </w:num>
  <w:num w:numId="16" w16cid:durableId="469136477">
    <w:abstractNumId w:val="14"/>
  </w:num>
  <w:num w:numId="17" w16cid:durableId="1220359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2078834F-6A5B-418E-A742-633100D9B8D6}"/>
    <w:docVar w:name="dgnword-eventsink" w:val="72342384"/>
  </w:docVars>
  <w:rsids>
    <w:rsidRoot w:val="0099465D"/>
    <w:rsid w:val="0001391A"/>
    <w:rsid w:val="000306B7"/>
    <w:rsid w:val="000379E8"/>
    <w:rsid w:val="000439CE"/>
    <w:rsid w:val="00046332"/>
    <w:rsid w:val="000618A5"/>
    <w:rsid w:val="00070149"/>
    <w:rsid w:val="000902E8"/>
    <w:rsid w:val="000A628F"/>
    <w:rsid w:val="000B1B06"/>
    <w:rsid w:val="000B465C"/>
    <w:rsid w:val="000B6FF9"/>
    <w:rsid w:val="000B70B7"/>
    <w:rsid w:val="000C4C29"/>
    <w:rsid w:val="000C5DBD"/>
    <w:rsid w:val="000D0626"/>
    <w:rsid w:val="000D6B6E"/>
    <w:rsid w:val="000E1BCC"/>
    <w:rsid w:val="000F1481"/>
    <w:rsid w:val="000F1C27"/>
    <w:rsid w:val="0011530B"/>
    <w:rsid w:val="00152834"/>
    <w:rsid w:val="00161237"/>
    <w:rsid w:val="00170815"/>
    <w:rsid w:val="00177D13"/>
    <w:rsid w:val="001825C9"/>
    <w:rsid w:val="0018376C"/>
    <w:rsid w:val="001852F7"/>
    <w:rsid w:val="0019025A"/>
    <w:rsid w:val="0019533F"/>
    <w:rsid w:val="00197CEA"/>
    <w:rsid w:val="001A21F0"/>
    <w:rsid w:val="001B2529"/>
    <w:rsid w:val="001C3DD7"/>
    <w:rsid w:val="001D7D88"/>
    <w:rsid w:val="001E48B3"/>
    <w:rsid w:val="00220E06"/>
    <w:rsid w:val="0022631D"/>
    <w:rsid w:val="002333C2"/>
    <w:rsid w:val="00243285"/>
    <w:rsid w:val="00275135"/>
    <w:rsid w:val="00286DE9"/>
    <w:rsid w:val="00286E45"/>
    <w:rsid w:val="0029399B"/>
    <w:rsid w:val="002C7398"/>
    <w:rsid w:val="002D0CF7"/>
    <w:rsid w:val="002E1605"/>
    <w:rsid w:val="002E62A9"/>
    <w:rsid w:val="00301B30"/>
    <w:rsid w:val="00314F0E"/>
    <w:rsid w:val="0032062F"/>
    <w:rsid w:val="003328E6"/>
    <w:rsid w:val="00337C06"/>
    <w:rsid w:val="003460AF"/>
    <w:rsid w:val="003479E9"/>
    <w:rsid w:val="00361B08"/>
    <w:rsid w:val="00362C60"/>
    <w:rsid w:val="00371392"/>
    <w:rsid w:val="0038544D"/>
    <w:rsid w:val="003873CB"/>
    <w:rsid w:val="0039515F"/>
    <w:rsid w:val="003A0E09"/>
    <w:rsid w:val="003A360A"/>
    <w:rsid w:val="003C4C73"/>
    <w:rsid w:val="003D700B"/>
    <w:rsid w:val="003F0CD8"/>
    <w:rsid w:val="00403906"/>
    <w:rsid w:val="00404CB9"/>
    <w:rsid w:val="004067A9"/>
    <w:rsid w:val="00430EB3"/>
    <w:rsid w:val="0044243C"/>
    <w:rsid w:val="0047432E"/>
    <w:rsid w:val="00476093"/>
    <w:rsid w:val="00477103"/>
    <w:rsid w:val="004873F2"/>
    <w:rsid w:val="00494749"/>
    <w:rsid w:val="004976A7"/>
    <w:rsid w:val="004A4BA5"/>
    <w:rsid w:val="004B0BC2"/>
    <w:rsid w:val="004F4CA0"/>
    <w:rsid w:val="004F52C1"/>
    <w:rsid w:val="005026E4"/>
    <w:rsid w:val="0050391A"/>
    <w:rsid w:val="00525E34"/>
    <w:rsid w:val="00536DA7"/>
    <w:rsid w:val="0054079A"/>
    <w:rsid w:val="00563D97"/>
    <w:rsid w:val="0057190B"/>
    <w:rsid w:val="0057206C"/>
    <w:rsid w:val="005805DC"/>
    <w:rsid w:val="005866D4"/>
    <w:rsid w:val="00596156"/>
    <w:rsid w:val="005B3762"/>
    <w:rsid w:val="005C3391"/>
    <w:rsid w:val="00603E88"/>
    <w:rsid w:val="00611ACA"/>
    <w:rsid w:val="00617F5A"/>
    <w:rsid w:val="006251C2"/>
    <w:rsid w:val="006254F0"/>
    <w:rsid w:val="00637247"/>
    <w:rsid w:val="00637DAA"/>
    <w:rsid w:val="0065271C"/>
    <w:rsid w:val="00657137"/>
    <w:rsid w:val="006942FB"/>
    <w:rsid w:val="006A08C2"/>
    <w:rsid w:val="006A34CF"/>
    <w:rsid w:val="006A57EA"/>
    <w:rsid w:val="006A712F"/>
    <w:rsid w:val="006B0F95"/>
    <w:rsid w:val="006B7D38"/>
    <w:rsid w:val="006E724B"/>
    <w:rsid w:val="006F6AB4"/>
    <w:rsid w:val="00712AC6"/>
    <w:rsid w:val="00720D4C"/>
    <w:rsid w:val="00733165"/>
    <w:rsid w:val="007345BB"/>
    <w:rsid w:val="0074780F"/>
    <w:rsid w:val="007A2D6F"/>
    <w:rsid w:val="007A3B82"/>
    <w:rsid w:val="007A4516"/>
    <w:rsid w:val="007A584D"/>
    <w:rsid w:val="007A5A8C"/>
    <w:rsid w:val="007A652B"/>
    <w:rsid w:val="007B0FCA"/>
    <w:rsid w:val="007B2CB1"/>
    <w:rsid w:val="007B708C"/>
    <w:rsid w:val="007B7B9D"/>
    <w:rsid w:val="007C0926"/>
    <w:rsid w:val="007C6A66"/>
    <w:rsid w:val="007D1115"/>
    <w:rsid w:val="007D1271"/>
    <w:rsid w:val="007D2B68"/>
    <w:rsid w:val="007F0997"/>
    <w:rsid w:val="007F32CD"/>
    <w:rsid w:val="007F3648"/>
    <w:rsid w:val="00802E59"/>
    <w:rsid w:val="00812C39"/>
    <w:rsid w:val="0082765C"/>
    <w:rsid w:val="0083451E"/>
    <w:rsid w:val="00872481"/>
    <w:rsid w:val="00872C61"/>
    <w:rsid w:val="00882B76"/>
    <w:rsid w:val="0089366F"/>
    <w:rsid w:val="0089405B"/>
    <w:rsid w:val="008A4298"/>
    <w:rsid w:val="008A717B"/>
    <w:rsid w:val="008A726B"/>
    <w:rsid w:val="008B10AD"/>
    <w:rsid w:val="008C1BFD"/>
    <w:rsid w:val="00902A27"/>
    <w:rsid w:val="00913188"/>
    <w:rsid w:val="0091321A"/>
    <w:rsid w:val="0091602B"/>
    <w:rsid w:val="00922684"/>
    <w:rsid w:val="00944D4F"/>
    <w:rsid w:val="00950585"/>
    <w:rsid w:val="00952058"/>
    <w:rsid w:val="0095484C"/>
    <w:rsid w:val="00955328"/>
    <w:rsid w:val="009901A8"/>
    <w:rsid w:val="0099465D"/>
    <w:rsid w:val="009A70BD"/>
    <w:rsid w:val="009B64CA"/>
    <w:rsid w:val="009C09BC"/>
    <w:rsid w:val="009C514C"/>
    <w:rsid w:val="009E368A"/>
    <w:rsid w:val="00A015BB"/>
    <w:rsid w:val="00A069C3"/>
    <w:rsid w:val="00A06F4D"/>
    <w:rsid w:val="00A110D8"/>
    <w:rsid w:val="00A26386"/>
    <w:rsid w:val="00A3283D"/>
    <w:rsid w:val="00A42A7D"/>
    <w:rsid w:val="00A617D1"/>
    <w:rsid w:val="00A67710"/>
    <w:rsid w:val="00A71F6A"/>
    <w:rsid w:val="00A8089B"/>
    <w:rsid w:val="00A86961"/>
    <w:rsid w:val="00A93BFE"/>
    <w:rsid w:val="00AA6889"/>
    <w:rsid w:val="00AB4584"/>
    <w:rsid w:val="00AD1E90"/>
    <w:rsid w:val="00AE68AB"/>
    <w:rsid w:val="00AF6AEE"/>
    <w:rsid w:val="00B1015F"/>
    <w:rsid w:val="00B158B5"/>
    <w:rsid w:val="00B20F3B"/>
    <w:rsid w:val="00B227A6"/>
    <w:rsid w:val="00B25B8B"/>
    <w:rsid w:val="00B262F6"/>
    <w:rsid w:val="00B66AF0"/>
    <w:rsid w:val="00B71A7A"/>
    <w:rsid w:val="00B876CC"/>
    <w:rsid w:val="00BB72C5"/>
    <w:rsid w:val="00BD2D1C"/>
    <w:rsid w:val="00BD499D"/>
    <w:rsid w:val="00BF0A43"/>
    <w:rsid w:val="00C107D1"/>
    <w:rsid w:val="00C1362C"/>
    <w:rsid w:val="00C22322"/>
    <w:rsid w:val="00C230E9"/>
    <w:rsid w:val="00C42A83"/>
    <w:rsid w:val="00C443B6"/>
    <w:rsid w:val="00C476E5"/>
    <w:rsid w:val="00C5379F"/>
    <w:rsid w:val="00C55831"/>
    <w:rsid w:val="00C674C0"/>
    <w:rsid w:val="00C70DE2"/>
    <w:rsid w:val="00C7635E"/>
    <w:rsid w:val="00C93E5E"/>
    <w:rsid w:val="00CB2899"/>
    <w:rsid w:val="00CC7342"/>
    <w:rsid w:val="00CE20CF"/>
    <w:rsid w:val="00CE252D"/>
    <w:rsid w:val="00D0076B"/>
    <w:rsid w:val="00D13D6F"/>
    <w:rsid w:val="00D140E0"/>
    <w:rsid w:val="00D143B7"/>
    <w:rsid w:val="00D34D99"/>
    <w:rsid w:val="00D368D2"/>
    <w:rsid w:val="00D740B2"/>
    <w:rsid w:val="00D74D26"/>
    <w:rsid w:val="00D75298"/>
    <w:rsid w:val="00D76666"/>
    <w:rsid w:val="00D80E6A"/>
    <w:rsid w:val="00D848A1"/>
    <w:rsid w:val="00D8618E"/>
    <w:rsid w:val="00D94547"/>
    <w:rsid w:val="00D96E2F"/>
    <w:rsid w:val="00DB2854"/>
    <w:rsid w:val="00DB36DF"/>
    <w:rsid w:val="00DB6A4E"/>
    <w:rsid w:val="00DB7525"/>
    <w:rsid w:val="00DC5933"/>
    <w:rsid w:val="00DC64BC"/>
    <w:rsid w:val="00DC79D6"/>
    <w:rsid w:val="00DF4F68"/>
    <w:rsid w:val="00E3229F"/>
    <w:rsid w:val="00E3656E"/>
    <w:rsid w:val="00E46A02"/>
    <w:rsid w:val="00E47953"/>
    <w:rsid w:val="00E54159"/>
    <w:rsid w:val="00E72396"/>
    <w:rsid w:val="00E77408"/>
    <w:rsid w:val="00E828F7"/>
    <w:rsid w:val="00E8723E"/>
    <w:rsid w:val="00E95756"/>
    <w:rsid w:val="00EC21B7"/>
    <w:rsid w:val="00EC6758"/>
    <w:rsid w:val="00EC6B64"/>
    <w:rsid w:val="00EE6353"/>
    <w:rsid w:val="00EE683C"/>
    <w:rsid w:val="00EF25CD"/>
    <w:rsid w:val="00EF3FE2"/>
    <w:rsid w:val="00F11FA4"/>
    <w:rsid w:val="00F15943"/>
    <w:rsid w:val="00F329AC"/>
    <w:rsid w:val="00F33D10"/>
    <w:rsid w:val="00F46C61"/>
    <w:rsid w:val="00F56E11"/>
    <w:rsid w:val="00F6061D"/>
    <w:rsid w:val="00F62C5F"/>
    <w:rsid w:val="00F66164"/>
    <w:rsid w:val="00F70B28"/>
    <w:rsid w:val="00F77BEC"/>
    <w:rsid w:val="00F91483"/>
    <w:rsid w:val="00FA6679"/>
    <w:rsid w:val="00FB3018"/>
    <w:rsid w:val="00FD0147"/>
    <w:rsid w:val="00FD08F1"/>
    <w:rsid w:val="00FD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98C3C"/>
  <w15:docId w15:val="{1F758B7D-274E-9D49-AC61-9A282F1E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F0E"/>
    <w:pPr>
      <w:spacing w:after="200" w:line="276" w:lineRule="auto"/>
    </w:pPr>
    <w:rPr>
      <w:rFonts w:ascii="Times New Roman" w:hAnsi="Times New Roman"/>
    </w:rPr>
  </w:style>
  <w:style w:type="paragraph" w:styleId="Heading1">
    <w:name w:val="heading 1"/>
    <w:basedOn w:val="ListParagraph"/>
    <w:next w:val="Normal"/>
    <w:link w:val="Heading1Char"/>
    <w:qFormat/>
    <w:locked/>
    <w:rsid w:val="00E54159"/>
    <w:pPr>
      <w:numPr>
        <w:numId w:val="1"/>
      </w:numPr>
      <w:spacing w:after="0" w:line="240" w:lineRule="auto"/>
      <w:jc w:val="both"/>
      <w:outlineLvl w:val="0"/>
    </w:pPr>
    <w:rPr>
      <w:rFonts w:ascii="Arial" w:hAnsi="Arial" w:cs="Arial"/>
      <w:b/>
    </w:rPr>
  </w:style>
  <w:style w:type="paragraph" w:styleId="Heading2">
    <w:name w:val="heading 2"/>
    <w:basedOn w:val="ListParagraph"/>
    <w:next w:val="Normal"/>
    <w:link w:val="Heading2Char"/>
    <w:unhideWhenUsed/>
    <w:qFormat/>
    <w:locked/>
    <w:rsid w:val="00E54159"/>
    <w:pPr>
      <w:numPr>
        <w:numId w:val="2"/>
      </w:numPr>
      <w:spacing w:after="0" w:line="240" w:lineRule="auto"/>
      <w:jc w:val="both"/>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465D"/>
    <w:pPr>
      <w:ind w:left="720"/>
      <w:contextualSpacing/>
    </w:pPr>
  </w:style>
  <w:style w:type="paragraph" w:styleId="Header">
    <w:name w:val="header"/>
    <w:basedOn w:val="Normal"/>
    <w:link w:val="HeaderChar"/>
    <w:uiPriority w:val="99"/>
    <w:rsid w:val="00A06F4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06F4D"/>
    <w:rPr>
      <w:rFonts w:ascii="Times New Roman" w:hAnsi="Times New Roman" w:cs="Times New Roman"/>
    </w:rPr>
  </w:style>
  <w:style w:type="paragraph" w:styleId="Footer">
    <w:name w:val="footer"/>
    <w:basedOn w:val="Normal"/>
    <w:link w:val="FooterChar"/>
    <w:uiPriority w:val="99"/>
    <w:rsid w:val="00A06F4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06F4D"/>
    <w:rPr>
      <w:rFonts w:ascii="Times New Roman" w:hAnsi="Times New Roman" w:cs="Times New Roman"/>
    </w:rPr>
  </w:style>
  <w:style w:type="paragraph" w:styleId="BalloonText">
    <w:name w:val="Balloon Text"/>
    <w:basedOn w:val="Normal"/>
    <w:link w:val="BalloonTextChar"/>
    <w:uiPriority w:val="99"/>
    <w:semiHidden/>
    <w:rsid w:val="002333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21A"/>
    <w:rPr>
      <w:rFonts w:ascii="Times New Roman" w:hAnsi="Times New Roman" w:cs="Times New Roman"/>
      <w:sz w:val="2"/>
    </w:rPr>
  </w:style>
  <w:style w:type="character" w:styleId="CommentReference">
    <w:name w:val="annotation reference"/>
    <w:basedOn w:val="DefaultParagraphFont"/>
    <w:uiPriority w:val="99"/>
    <w:semiHidden/>
    <w:rsid w:val="00D74D26"/>
    <w:rPr>
      <w:rFonts w:cs="Times New Roman"/>
      <w:sz w:val="16"/>
      <w:szCs w:val="16"/>
    </w:rPr>
  </w:style>
  <w:style w:type="paragraph" w:styleId="CommentText">
    <w:name w:val="annotation text"/>
    <w:basedOn w:val="Normal"/>
    <w:link w:val="CommentTextChar"/>
    <w:uiPriority w:val="99"/>
    <w:semiHidden/>
    <w:rsid w:val="00D74D26"/>
    <w:rPr>
      <w:sz w:val="20"/>
      <w:szCs w:val="20"/>
    </w:rPr>
  </w:style>
  <w:style w:type="character" w:customStyle="1" w:styleId="CommentTextChar">
    <w:name w:val="Comment Text Char"/>
    <w:basedOn w:val="DefaultParagraphFont"/>
    <w:link w:val="CommentText"/>
    <w:uiPriority w:val="99"/>
    <w:semiHidden/>
    <w:locked/>
    <w:rsid w:val="0091321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74D26"/>
    <w:rPr>
      <w:b/>
      <w:bCs/>
    </w:rPr>
  </w:style>
  <w:style w:type="character" w:customStyle="1" w:styleId="CommentSubjectChar">
    <w:name w:val="Comment Subject Char"/>
    <w:basedOn w:val="CommentTextChar"/>
    <w:link w:val="CommentSubject"/>
    <w:uiPriority w:val="99"/>
    <w:semiHidden/>
    <w:locked/>
    <w:rsid w:val="0091321A"/>
    <w:rPr>
      <w:rFonts w:ascii="Times New Roman" w:hAnsi="Times New Roman" w:cs="Times New Roman"/>
      <w:b/>
      <w:bCs/>
      <w:sz w:val="20"/>
      <w:szCs w:val="20"/>
    </w:rPr>
  </w:style>
  <w:style w:type="character" w:styleId="Hyperlink">
    <w:name w:val="Hyperlink"/>
    <w:uiPriority w:val="99"/>
    <w:unhideWhenUsed/>
    <w:rsid w:val="00DB36DF"/>
    <w:rPr>
      <w:color w:val="0000FF"/>
      <w:u w:val="single"/>
    </w:rPr>
  </w:style>
  <w:style w:type="character" w:customStyle="1" w:styleId="Heading1Char">
    <w:name w:val="Heading 1 Char"/>
    <w:basedOn w:val="DefaultParagraphFont"/>
    <w:link w:val="Heading1"/>
    <w:rsid w:val="00E54159"/>
    <w:rPr>
      <w:rFonts w:ascii="Arial" w:hAnsi="Arial" w:cs="Arial"/>
      <w:b/>
    </w:rPr>
  </w:style>
  <w:style w:type="character" w:customStyle="1" w:styleId="Heading2Char">
    <w:name w:val="Heading 2 Char"/>
    <w:basedOn w:val="DefaultParagraphFont"/>
    <w:link w:val="Heading2"/>
    <w:rsid w:val="00E54159"/>
    <w:rPr>
      <w:rFonts w:ascii="Arial" w:hAnsi="Arial" w:cs="Arial"/>
      <w:b/>
    </w:rPr>
  </w:style>
  <w:style w:type="paragraph" w:styleId="TOC1">
    <w:name w:val="toc 1"/>
    <w:basedOn w:val="Normal"/>
    <w:next w:val="Normal"/>
    <w:autoRedefine/>
    <w:uiPriority w:val="39"/>
    <w:locked/>
    <w:rsid w:val="00DB2854"/>
    <w:pPr>
      <w:spacing w:after="0" w:line="240" w:lineRule="auto"/>
    </w:pPr>
    <w:rPr>
      <w:rFonts w:ascii="Arial" w:hAnsi="Arial"/>
    </w:rPr>
  </w:style>
  <w:style w:type="paragraph" w:styleId="TOC2">
    <w:name w:val="toc 2"/>
    <w:basedOn w:val="Normal"/>
    <w:next w:val="Normal"/>
    <w:autoRedefine/>
    <w:uiPriority w:val="39"/>
    <w:locked/>
    <w:rsid w:val="00DB2854"/>
    <w:pPr>
      <w:spacing w:after="0" w:line="240" w:lineRule="auto"/>
      <w:ind w:left="720"/>
    </w:pPr>
    <w:rPr>
      <w:rFonts w:ascii="Arial" w:hAnsi="Arial"/>
    </w:rPr>
  </w:style>
  <w:style w:type="paragraph" w:styleId="Revision">
    <w:name w:val="Revision"/>
    <w:hidden/>
    <w:uiPriority w:val="99"/>
    <w:semiHidden/>
    <w:rsid w:val="005866D4"/>
    <w:rPr>
      <w:rFonts w:ascii="Times New Roman" w:hAnsi="Times New Roman"/>
    </w:rPr>
  </w:style>
  <w:style w:type="character" w:styleId="UnresolvedMention">
    <w:name w:val="Unresolved Mention"/>
    <w:basedOn w:val="DefaultParagraphFont"/>
    <w:uiPriority w:val="99"/>
    <w:semiHidden/>
    <w:unhideWhenUsed/>
    <w:rsid w:val="00DF4F68"/>
    <w:rPr>
      <w:color w:val="605E5C"/>
      <w:shd w:val="clear" w:color="auto" w:fill="E1DFDD"/>
    </w:rPr>
  </w:style>
  <w:style w:type="character" w:styleId="FollowedHyperlink">
    <w:name w:val="FollowedHyperlink"/>
    <w:basedOn w:val="DefaultParagraphFont"/>
    <w:uiPriority w:val="99"/>
    <w:semiHidden/>
    <w:unhideWhenUsed/>
    <w:rsid w:val="00FB3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8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ccriminallaw.sog.unc.edu/does-mccoy-v-louisiana-matter-in-north-carolina/" TargetMode="External"/><Relationship Id="rId4" Type="http://schemas.openxmlformats.org/officeDocument/2006/relationships/settings" Target="settings.xml"/><Relationship Id="rId9" Type="http://schemas.openxmlformats.org/officeDocument/2006/relationships/hyperlink" Target="https://benchbook.sog.unc.edu/criminal/counsel-issu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FD8CE-DC90-424F-B661-0F148CEA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3850</Words>
  <Characters>21951</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Smith</dc:creator>
  <cp:lastModifiedBy>Denning, Shea R.</cp:lastModifiedBy>
  <cp:revision>2</cp:revision>
  <cp:lastPrinted>2014-11-05T18:59:00Z</cp:lastPrinted>
  <dcterms:created xsi:type="dcterms:W3CDTF">2023-06-09T14:02:00Z</dcterms:created>
  <dcterms:modified xsi:type="dcterms:W3CDTF">2023-06-09T14:02:00Z</dcterms:modified>
</cp:coreProperties>
</file>