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70699" w14:textId="77777777" w:rsidR="00EE30AD" w:rsidRPr="00ED14A8" w:rsidRDefault="00ED14A8" w:rsidP="00ED14A8">
      <w:pPr>
        <w:jc w:val="center"/>
        <w:rPr>
          <w:b/>
        </w:rPr>
      </w:pPr>
      <w:r w:rsidRPr="00ED14A8">
        <w:rPr>
          <w:b/>
        </w:rPr>
        <w:t>JURY DEADLOCK</w:t>
      </w:r>
    </w:p>
    <w:p w14:paraId="06F4F02E" w14:textId="77777777" w:rsidR="00ED14A8" w:rsidRDefault="00ED14A8" w:rsidP="00ED14A8">
      <w:pPr>
        <w:jc w:val="center"/>
      </w:pPr>
    </w:p>
    <w:p w14:paraId="7DAECAF5" w14:textId="77777777" w:rsidR="00ED14A8" w:rsidRPr="004B62BE" w:rsidRDefault="00ED14A8" w:rsidP="00ED14A8">
      <w:r w:rsidRPr="004B62BE">
        <w:t>Jessica Smith, UNC School of Government (Jan. 2015)</w:t>
      </w:r>
    </w:p>
    <w:p w14:paraId="35AD0653" w14:textId="4B5519D4" w:rsidR="00ED14A8" w:rsidRDefault="001C2D28" w:rsidP="00ED14A8">
      <w:r>
        <w:t>Updated by Christopher Tyner (Sept. 2024)</w:t>
      </w:r>
    </w:p>
    <w:p w14:paraId="367BA28C" w14:textId="77777777" w:rsidR="001C2D28" w:rsidRPr="004B62BE" w:rsidRDefault="001C2D28" w:rsidP="00ED14A8"/>
    <w:p w14:paraId="49D87897" w14:textId="77777777" w:rsidR="007F2A57" w:rsidRPr="004B62BE" w:rsidRDefault="007F2A57" w:rsidP="00ED14A8">
      <w:r w:rsidRPr="004B62BE">
        <w:rPr>
          <w:b/>
        </w:rPr>
        <w:t>Contents</w:t>
      </w:r>
    </w:p>
    <w:p w14:paraId="10971BEA" w14:textId="0EB60922" w:rsidR="007F2A57" w:rsidRPr="004B62BE" w:rsidRDefault="007F2A57">
      <w:pPr>
        <w:pStyle w:val="TOC1"/>
        <w:tabs>
          <w:tab w:val="left" w:pos="720"/>
          <w:tab w:val="right" w:leader="dot" w:pos="9350"/>
        </w:tabs>
        <w:rPr>
          <w:rFonts w:asciiTheme="minorHAnsi" w:eastAsiaTheme="minorEastAsia" w:hAnsiTheme="minorHAnsi"/>
          <w:noProof/>
        </w:rPr>
      </w:pPr>
      <w:r w:rsidRPr="004B62BE">
        <w:fldChar w:fldCharType="begin"/>
      </w:r>
      <w:r w:rsidRPr="004B62BE">
        <w:instrText xml:space="preserve"> TOC \o "3-3" \h \z \t "Heading 1,1,Heading 2,2" </w:instrText>
      </w:r>
      <w:r w:rsidRPr="004B62BE">
        <w:fldChar w:fldCharType="separate"/>
      </w:r>
      <w:hyperlink w:anchor="_Toc409106973" w:history="1">
        <w:r w:rsidRPr="004B62BE">
          <w:rPr>
            <w:rStyle w:val="Hyperlink"/>
            <w:noProof/>
          </w:rPr>
          <w:t>I.</w:t>
        </w:r>
        <w:r w:rsidRPr="004B62BE">
          <w:rPr>
            <w:rFonts w:asciiTheme="minorHAnsi" w:eastAsiaTheme="minorEastAsia" w:hAnsiTheme="minorHAnsi"/>
            <w:noProof/>
          </w:rPr>
          <w:tab/>
        </w:r>
        <w:r w:rsidRPr="004B62BE">
          <w:rPr>
            <w:rStyle w:val="Hyperlink"/>
            <w:noProof/>
          </w:rPr>
          <w:t>Generally</w:t>
        </w:r>
        <w:r w:rsidRPr="004B62BE">
          <w:rPr>
            <w:noProof/>
            <w:webHidden/>
          </w:rPr>
          <w:tab/>
        </w:r>
        <w:r w:rsidRPr="004B62BE">
          <w:rPr>
            <w:noProof/>
            <w:webHidden/>
          </w:rPr>
          <w:fldChar w:fldCharType="begin"/>
        </w:r>
        <w:r w:rsidRPr="004B62BE">
          <w:rPr>
            <w:noProof/>
            <w:webHidden/>
          </w:rPr>
          <w:instrText xml:space="preserve"> PAGEREF _Toc409106973 \h </w:instrText>
        </w:r>
        <w:r w:rsidRPr="004B62BE">
          <w:rPr>
            <w:noProof/>
            <w:webHidden/>
          </w:rPr>
        </w:r>
        <w:r w:rsidRPr="004B62BE">
          <w:rPr>
            <w:noProof/>
            <w:webHidden/>
          </w:rPr>
          <w:fldChar w:fldCharType="separate"/>
        </w:r>
        <w:r w:rsidR="00A20122">
          <w:rPr>
            <w:noProof/>
            <w:webHidden/>
          </w:rPr>
          <w:t>1</w:t>
        </w:r>
        <w:r w:rsidRPr="004B62BE">
          <w:rPr>
            <w:noProof/>
            <w:webHidden/>
          </w:rPr>
          <w:fldChar w:fldCharType="end"/>
        </w:r>
      </w:hyperlink>
    </w:p>
    <w:p w14:paraId="1016986F" w14:textId="5B16DB05" w:rsidR="007F2A57" w:rsidRPr="004B62BE" w:rsidRDefault="007F2A57">
      <w:pPr>
        <w:pStyle w:val="TOC1"/>
        <w:tabs>
          <w:tab w:val="left" w:pos="720"/>
          <w:tab w:val="right" w:leader="dot" w:pos="9350"/>
        </w:tabs>
        <w:rPr>
          <w:rFonts w:asciiTheme="minorHAnsi" w:eastAsiaTheme="minorEastAsia" w:hAnsiTheme="minorHAnsi"/>
          <w:noProof/>
        </w:rPr>
      </w:pPr>
      <w:hyperlink w:anchor="_Toc409106974" w:history="1">
        <w:r w:rsidRPr="004B62BE">
          <w:rPr>
            <w:rStyle w:val="Hyperlink"/>
            <w:noProof/>
          </w:rPr>
          <w:t>II.</w:t>
        </w:r>
        <w:r w:rsidRPr="004B62BE">
          <w:rPr>
            <w:rFonts w:asciiTheme="minorHAnsi" w:eastAsiaTheme="minorEastAsia" w:hAnsiTheme="minorHAnsi"/>
            <w:noProof/>
          </w:rPr>
          <w:tab/>
        </w:r>
        <w:r w:rsidRPr="004B62BE">
          <w:rPr>
            <w:rStyle w:val="Hyperlink"/>
            <w:noProof/>
          </w:rPr>
          <w:t>Instructions prior to Deliberations</w:t>
        </w:r>
        <w:r w:rsidRPr="004B62BE">
          <w:rPr>
            <w:noProof/>
            <w:webHidden/>
          </w:rPr>
          <w:tab/>
        </w:r>
        <w:r w:rsidRPr="004B62BE">
          <w:rPr>
            <w:noProof/>
            <w:webHidden/>
          </w:rPr>
          <w:fldChar w:fldCharType="begin"/>
        </w:r>
        <w:r w:rsidRPr="004B62BE">
          <w:rPr>
            <w:noProof/>
            <w:webHidden/>
          </w:rPr>
          <w:instrText xml:space="preserve"> PAGEREF _Toc409106974 \h </w:instrText>
        </w:r>
        <w:r w:rsidRPr="004B62BE">
          <w:rPr>
            <w:noProof/>
            <w:webHidden/>
          </w:rPr>
        </w:r>
        <w:r w:rsidRPr="004B62BE">
          <w:rPr>
            <w:noProof/>
            <w:webHidden/>
          </w:rPr>
          <w:fldChar w:fldCharType="separate"/>
        </w:r>
        <w:r w:rsidR="00A20122">
          <w:rPr>
            <w:noProof/>
            <w:webHidden/>
          </w:rPr>
          <w:t>1</w:t>
        </w:r>
        <w:r w:rsidRPr="004B62BE">
          <w:rPr>
            <w:noProof/>
            <w:webHidden/>
          </w:rPr>
          <w:fldChar w:fldCharType="end"/>
        </w:r>
      </w:hyperlink>
    </w:p>
    <w:p w14:paraId="4DE2852F" w14:textId="18B7282D" w:rsidR="007F2A57" w:rsidRPr="004B62BE" w:rsidRDefault="007F2A57">
      <w:pPr>
        <w:pStyle w:val="TOC2"/>
        <w:tabs>
          <w:tab w:val="left" w:pos="1440"/>
          <w:tab w:val="right" w:leader="dot" w:pos="9350"/>
        </w:tabs>
        <w:rPr>
          <w:rFonts w:asciiTheme="minorHAnsi" w:eastAsiaTheme="minorEastAsia" w:hAnsiTheme="minorHAnsi"/>
          <w:noProof/>
        </w:rPr>
      </w:pPr>
      <w:hyperlink w:anchor="_Toc409106975" w:history="1">
        <w:r w:rsidRPr="004B62BE">
          <w:rPr>
            <w:rStyle w:val="Hyperlink"/>
            <w:noProof/>
          </w:rPr>
          <w:t>A.</w:t>
        </w:r>
        <w:r w:rsidRPr="004B62BE">
          <w:rPr>
            <w:rFonts w:asciiTheme="minorHAnsi" w:eastAsiaTheme="minorEastAsia" w:hAnsiTheme="minorHAnsi"/>
            <w:noProof/>
          </w:rPr>
          <w:tab/>
        </w:r>
        <w:r w:rsidRPr="004B62BE">
          <w:rPr>
            <w:rStyle w:val="Hyperlink"/>
            <w:noProof/>
          </w:rPr>
          <w:t>Mandatory Instruction</w:t>
        </w:r>
        <w:r w:rsidRPr="004B62BE">
          <w:rPr>
            <w:noProof/>
            <w:webHidden/>
          </w:rPr>
          <w:tab/>
        </w:r>
        <w:r w:rsidRPr="004B62BE">
          <w:rPr>
            <w:noProof/>
            <w:webHidden/>
          </w:rPr>
          <w:fldChar w:fldCharType="begin"/>
        </w:r>
        <w:r w:rsidRPr="004B62BE">
          <w:rPr>
            <w:noProof/>
            <w:webHidden/>
          </w:rPr>
          <w:instrText xml:space="preserve"> PAGEREF _Toc409106975 \h </w:instrText>
        </w:r>
        <w:r w:rsidRPr="004B62BE">
          <w:rPr>
            <w:noProof/>
            <w:webHidden/>
          </w:rPr>
        </w:r>
        <w:r w:rsidRPr="004B62BE">
          <w:rPr>
            <w:noProof/>
            <w:webHidden/>
          </w:rPr>
          <w:fldChar w:fldCharType="separate"/>
        </w:r>
        <w:r w:rsidR="00A20122">
          <w:rPr>
            <w:noProof/>
            <w:webHidden/>
          </w:rPr>
          <w:t>1</w:t>
        </w:r>
        <w:r w:rsidRPr="004B62BE">
          <w:rPr>
            <w:noProof/>
            <w:webHidden/>
          </w:rPr>
          <w:fldChar w:fldCharType="end"/>
        </w:r>
      </w:hyperlink>
    </w:p>
    <w:p w14:paraId="061C3205" w14:textId="1F57DC6E" w:rsidR="007F2A57" w:rsidRPr="004B62BE" w:rsidRDefault="007F2A57">
      <w:pPr>
        <w:pStyle w:val="TOC2"/>
        <w:tabs>
          <w:tab w:val="left" w:pos="1440"/>
          <w:tab w:val="right" w:leader="dot" w:pos="9350"/>
        </w:tabs>
        <w:rPr>
          <w:rFonts w:asciiTheme="minorHAnsi" w:eastAsiaTheme="minorEastAsia" w:hAnsiTheme="minorHAnsi"/>
          <w:noProof/>
        </w:rPr>
      </w:pPr>
      <w:hyperlink w:anchor="_Toc409106976" w:history="1">
        <w:r w:rsidRPr="004B62BE">
          <w:rPr>
            <w:rStyle w:val="Hyperlink"/>
            <w:noProof/>
          </w:rPr>
          <w:t>B.</w:t>
        </w:r>
        <w:r w:rsidRPr="004B62BE">
          <w:rPr>
            <w:rFonts w:asciiTheme="minorHAnsi" w:eastAsiaTheme="minorEastAsia" w:hAnsiTheme="minorHAnsi"/>
            <w:noProof/>
          </w:rPr>
          <w:tab/>
        </w:r>
        <w:r w:rsidRPr="004B62BE">
          <w:rPr>
            <w:rStyle w:val="Hyperlink"/>
            <w:noProof/>
          </w:rPr>
          <w:t>Optional Instruction</w:t>
        </w:r>
        <w:r w:rsidRPr="004B62BE">
          <w:rPr>
            <w:noProof/>
            <w:webHidden/>
          </w:rPr>
          <w:tab/>
        </w:r>
        <w:r w:rsidRPr="004B62BE">
          <w:rPr>
            <w:noProof/>
            <w:webHidden/>
          </w:rPr>
          <w:fldChar w:fldCharType="begin"/>
        </w:r>
        <w:r w:rsidRPr="004B62BE">
          <w:rPr>
            <w:noProof/>
            <w:webHidden/>
          </w:rPr>
          <w:instrText xml:space="preserve"> PAGEREF _Toc409106976 \h </w:instrText>
        </w:r>
        <w:r w:rsidRPr="004B62BE">
          <w:rPr>
            <w:noProof/>
            <w:webHidden/>
          </w:rPr>
        </w:r>
        <w:r w:rsidRPr="004B62BE">
          <w:rPr>
            <w:noProof/>
            <w:webHidden/>
          </w:rPr>
          <w:fldChar w:fldCharType="separate"/>
        </w:r>
        <w:r w:rsidR="00A20122">
          <w:rPr>
            <w:noProof/>
            <w:webHidden/>
          </w:rPr>
          <w:t>1</w:t>
        </w:r>
        <w:r w:rsidRPr="004B62BE">
          <w:rPr>
            <w:noProof/>
            <w:webHidden/>
          </w:rPr>
          <w:fldChar w:fldCharType="end"/>
        </w:r>
      </w:hyperlink>
    </w:p>
    <w:p w14:paraId="02B7AA69" w14:textId="686C73CA" w:rsidR="007F2A57" w:rsidRPr="004B62BE" w:rsidRDefault="007F2A57">
      <w:pPr>
        <w:pStyle w:val="TOC1"/>
        <w:tabs>
          <w:tab w:val="left" w:pos="720"/>
          <w:tab w:val="right" w:leader="dot" w:pos="9350"/>
        </w:tabs>
        <w:rPr>
          <w:rFonts w:asciiTheme="minorHAnsi" w:eastAsiaTheme="minorEastAsia" w:hAnsiTheme="minorHAnsi"/>
          <w:noProof/>
        </w:rPr>
      </w:pPr>
      <w:hyperlink w:anchor="_Toc409106977" w:history="1">
        <w:r w:rsidRPr="004B62BE">
          <w:rPr>
            <w:rStyle w:val="Hyperlink"/>
            <w:noProof/>
          </w:rPr>
          <w:t>III.</w:t>
        </w:r>
        <w:r w:rsidRPr="004B62BE">
          <w:rPr>
            <w:rFonts w:asciiTheme="minorHAnsi" w:eastAsiaTheme="minorEastAsia" w:hAnsiTheme="minorHAnsi"/>
            <w:noProof/>
          </w:rPr>
          <w:tab/>
        </w:r>
        <w:r w:rsidRPr="004B62BE">
          <w:rPr>
            <w:rStyle w:val="Hyperlink"/>
            <w:noProof/>
          </w:rPr>
          <w:t>When Jury Indicates It Cannot Agree</w:t>
        </w:r>
        <w:r w:rsidRPr="004B62BE">
          <w:rPr>
            <w:noProof/>
            <w:webHidden/>
          </w:rPr>
          <w:tab/>
        </w:r>
        <w:r w:rsidRPr="004B62BE">
          <w:rPr>
            <w:noProof/>
            <w:webHidden/>
          </w:rPr>
          <w:fldChar w:fldCharType="begin"/>
        </w:r>
        <w:r w:rsidRPr="004B62BE">
          <w:rPr>
            <w:noProof/>
            <w:webHidden/>
          </w:rPr>
          <w:instrText xml:space="preserve"> PAGEREF _Toc409106977 \h </w:instrText>
        </w:r>
        <w:r w:rsidRPr="004B62BE">
          <w:rPr>
            <w:noProof/>
            <w:webHidden/>
          </w:rPr>
        </w:r>
        <w:r w:rsidRPr="004B62BE">
          <w:rPr>
            <w:noProof/>
            <w:webHidden/>
          </w:rPr>
          <w:fldChar w:fldCharType="separate"/>
        </w:r>
        <w:r w:rsidR="00A20122">
          <w:rPr>
            <w:noProof/>
            <w:webHidden/>
          </w:rPr>
          <w:t>2</w:t>
        </w:r>
        <w:r w:rsidRPr="004B62BE">
          <w:rPr>
            <w:noProof/>
            <w:webHidden/>
          </w:rPr>
          <w:fldChar w:fldCharType="end"/>
        </w:r>
      </w:hyperlink>
    </w:p>
    <w:p w14:paraId="5B112149" w14:textId="4361F9E7" w:rsidR="007F2A57" w:rsidRPr="004B62BE" w:rsidRDefault="007F2A57">
      <w:pPr>
        <w:pStyle w:val="TOC2"/>
        <w:tabs>
          <w:tab w:val="left" w:pos="1440"/>
          <w:tab w:val="right" w:leader="dot" w:pos="9350"/>
        </w:tabs>
        <w:rPr>
          <w:rFonts w:asciiTheme="minorHAnsi" w:eastAsiaTheme="minorEastAsia" w:hAnsiTheme="minorHAnsi"/>
          <w:noProof/>
        </w:rPr>
      </w:pPr>
      <w:hyperlink w:anchor="_Toc409106978" w:history="1">
        <w:r w:rsidRPr="004B62BE">
          <w:rPr>
            <w:rStyle w:val="Hyperlink"/>
            <w:noProof/>
          </w:rPr>
          <w:t>A.</w:t>
        </w:r>
        <w:r w:rsidRPr="004B62BE">
          <w:rPr>
            <w:rFonts w:asciiTheme="minorHAnsi" w:eastAsiaTheme="minorEastAsia" w:hAnsiTheme="minorHAnsi"/>
            <w:noProof/>
          </w:rPr>
          <w:tab/>
        </w:r>
        <w:r w:rsidRPr="004B62BE">
          <w:rPr>
            <w:rStyle w:val="Hyperlink"/>
            <w:noProof/>
          </w:rPr>
          <w:t>How the Issue Arises</w:t>
        </w:r>
        <w:r w:rsidRPr="004B62BE">
          <w:rPr>
            <w:noProof/>
            <w:webHidden/>
          </w:rPr>
          <w:tab/>
        </w:r>
        <w:r w:rsidRPr="004B62BE">
          <w:rPr>
            <w:noProof/>
            <w:webHidden/>
          </w:rPr>
          <w:fldChar w:fldCharType="begin"/>
        </w:r>
        <w:r w:rsidRPr="004B62BE">
          <w:rPr>
            <w:noProof/>
            <w:webHidden/>
          </w:rPr>
          <w:instrText xml:space="preserve"> PAGEREF _Toc409106978 \h </w:instrText>
        </w:r>
        <w:r w:rsidRPr="004B62BE">
          <w:rPr>
            <w:noProof/>
            <w:webHidden/>
          </w:rPr>
        </w:r>
        <w:r w:rsidRPr="004B62BE">
          <w:rPr>
            <w:noProof/>
            <w:webHidden/>
          </w:rPr>
          <w:fldChar w:fldCharType="separate"/>
        </w:r>
        <w:r w:rsidR="00A20122">
          <w:rPr>
            <w:noProof/>
            <w:webHidden/>
          </w:rPr>
          <w:t>2</w:t>
        </w:r>
        <w:r w:rsidRPr="004B62BE">
          <w:rPr>
            <w:noProof/>
            <w:webHidden/>
          </w:rPr>
          <w:fldChar w:fldCharType="end"/>
        </w:r>
      </w:hyperlink>
    </w:p>
    <w:p w14:paraId="3B36CEA1" w14:textId="5D2D1C04" w:rsidR="007F2A57" w:rsidRPr="004B62BE" w:rsidRDefault="007F2A57">
      <w:pPr>
        <w:pStyle w:val="TOC2"/>
        <w:tabs>
          <w:tab w:val="left" w:pos="1440"/>
          <w:tab w:val="right" w:leader="dot" w:pos="9350"/>
        </w:tabs>
        <w:rPr>
          <w:rFonts w:asciiTheme="minorHAnsi" w:eastAsiaTheme="minorEastAsia" w:hAnsiTheme="minorHAnsi"/>
          <w:noProof/>
        </w:rPr>
      </w:pPr>
      <w:hyperlink w:anchor="_Toc409106979" w:history="1">
        <w:r w:rsidRPr="004B62BE">
          <w:rPr>
            <w:rStyle w:val="Hyperlink"/>
            <w:noProof/>
          </w:rPr>
          <w:t>B.</w:t>
        </w:r>
        <w:r w:rsidRPr="004B62BE">
          <w:rPr>
            <w:rFonts w:asciiTheme="minorHAnsi" w:eastAsiaTheme="minorEastAsia" w:hAnsiTheme="minorHAnsi"/>
            <w:noProof/>
          </w:rPr>
          <w:tab/>
        </w:r>
        <w:r w:rsidRPr="004B62BE">
          <w:rPr>
            <w:rStyle w:val="Hyperlink"/>
            <w:noProof/>
          </w:rPr>
          <w:t>The Judge’s Response</w:t>
        </w:r>
        <w:r w:rsidRPr="004B62BE">
          <w:rPr>
            <w:noProof/>
            <w:webHidden/>
          </w:rPr>
          <w:tab/>
        </w:r>
        <w:r w:rsidRPr="004B62BE">
          <w:rPr>
            <w:noProof/>
            <w:webHidden/>
          </w:rPr>
          <w:fldChar w:fldCharType="begin"/>
        </w:r>
        <w:r w:rsidRPr="004B62BE">
          <w:rPr>
            <w:noProof/>
            <w:webHidden/>
          </w:rPr>
          <w:instrText xml:space="preserve"> PAGEREF _Toc409106979 \h </w:instrText>
        </w:r>
        <w:r w:rsidRPr="004B62BE">
          <w:rPr>
            <w:noProof/>
            <w:webHidden/>
          </w:rPr>
        </w:r>
        <w:r w:rsidRPr="004B62BE">
          <w:rPr>
            <w:noProof/>
            <w:webHidden/>
          </w:rPr>
          <w:fldChar w:fldCharType="separate"/>
        </w:r>
        <w:r w:rsidR="00A20122">
          <w:rPr>
            <w:noProof/>
            <w:webHidden/>
          </w:rPr>
          <w:t>2</w:t>
        </w:r>
        <w:r w:rsidRPr="004B62BE">
          <w:rPr>
            <w:noProof/>
            <w:webHidden/>
          </w:rPr>
          <w:fldChar w:fldCharType="end"/>
        </w:r>
      </w:hyperlink>
    </w:p>
    <w:p w14:paraId="40A1D08D" w14:textId="5484DB03" w:rsidR="007F2A57" w:rsidRPr="004B62BE" w:rsidRDefault="007F2A57">
      <w:pPr>
        <w:pStyle w:val="TOC3"/>
        <w:tabs>
          <w:tab w:val="left" w:pos="1843"/>
          <w:tab w:val="right" w:leader="dot" w:pos="9350"/>
        </w:tabs>
        <w:rPr>
          <w:rFonts w:asciiTheme="minorHAnsi" w:eastAsiaTheme="minorEastAsia" w:hAnsiTheme="minorHAnsi"/>
          <w:noProof/>
        </w:rPr>
      </w:pPr>
      <w:hyperlink w:anchor="_Toc409106980" w:history="1">
        <w:r w:rsidRPr="004B62BE">
          <w:rPr>
            <w:rStyle w:val="Hyperlink"/>
            <w:noProof/>
          </w:rPr>
          <w:t>1.</w:t>
        </w:r>
        <w:r w:rsidRPr="004B62BE">
          <w:rPr>
            <w:rFonts w:asciiTheme="minorHAnsi" w:eastAsiaTheme="minorEastAsia" w:hAnsiTheme="minorHAnsi"/>
            <w:noProof/>
          </w:rPr>
          <w:tab/>
        </w:r>
        <w:r w:rsidRPr="004B62BE">
          <w:rPr>
            <w:rStyle w:val="Hyperlink"/>
            <w:noProof/>
          </w:rPr>
          <w:t>May Require Continued Deliberations</w:t>
        </w:r>
        <w:r w:rsidRPr="004B62BE">
          <w:rPr>
            <w:noProof/>
            <w:webHidden/>
          </w:rPr>
          <w:tab/>
        </w:r>
        <w:r w:rsidRPr="004B62BE">
          <w:rPr>
            <w:noProof/>
            <w:webHidden/>
          </w:rPr>
          <w:fldChar w:fldCharType="begin"/>
        </w:r>
        <w:r w:rsidRPr="004B62BE">
          <w:rPr>
            <w:noProof/>
            <w:webHidden/>
          </w:rPr>
          <w:instrText xml:space="preserve"> PAGEREF _Toc409106980 \h </w:instrText>
        </w:r>
        <w:r w:rsidRPr="004B62BE">
          <w:rPr>
            <w:noProof/>
            <w:webHidden/>
          </w:rPr>
        </w:r>
        <w:r w:rsidRPr="004B62BE">
          <w:rPr>
            <w:noProof/>
            <w:webHidden/>
          </w:rPr>
          <w:fldChar w:fldCharType="separate"/>
        </w:r>
        <w:r w:rsidR="00A20122">
          <w:rPr>
            <w:noProof/>
            <w:webHidden/>
          </w:rPr>
          <w:t>2</w:t>
        </w:r>
        <w:r w:rsidRPr="004B62BE">
          <w:rPr>
            <w:noProof/>
            <w:webHidden/>
          </w:rPr>
          <w:fldChar w:fldCharType="end"/>
        </w:r>
      </w:hyperlink>
    </w:p>
    <w:p w14:paraId="1ACA97CD" w14:textId="1B6BDD69" w:rsidR="007F2A57" w:rsidRPr="004B62BE" w:rsidRDefault="007F2A57">
      <w:pPr>
        <w:pStyle w:val="TOC3"/>
        <w:tabs>
          <w:tab w:val="left" w:pos="1843"/>
          <w:tab w:val="right" w:leader="dot" w:pos="9350"/>
        </w:tabs>
        <w:rPr>
          <w:rFonts w:asciiTheme="minorHAnsi" w:eastAsiaTheme="minorEastAsia" w:hAnsiTheme="minorHAnsi"/>
          <w:noProof/>
        </w:rPr>
      </w:pPr>
      <w:hyperlink w:anchor="_Toc409106981" w:history="1">
        <w:r w:rsidRPr="004B62BE">
          <w:rPr>
            <w:rStyle w:val="Hyperlink"/>
            <w:noProof/>
          </w:rPr>
          <w:t>2.</w:t>
        </w:r>
        <w:r w:rsidRPr="004B62BE">
          <w:rPr>
            <w:rFonts w:asciiTheme="minorHAnsi" w:eastAsiaTheme="minorEastAsia" w:hAnsiTheme="minorHAnsi"/>
            <w:noProof/>
          </w:rPr>
          <w:tab/>
        </w:r>
        <w:r w:rsidRPr="004B62BE">
          <w:rPr>
            <w:rStyle w:val="Hyperlink"/>
            <w:noProof/>
          </w:rPr>
          <w:t>May Give Allen Instruction</w:t>
        </w:r>
        <w:r w:rsidRPr="004B62BE">
          <w:rPr>
            <w:noProof/>
            <w:webHidden/>
          </w:rPr>
          <w:tab/>
        </w:r>
        <w:r w:rsidRPr="004B62BE">
          <w:rPr>
            <w:noProof/>
            <w:webHidden/>
          </w:rPr>
          <w:fldChar w:fldCharType="begin"/>
        </w:r>
        <w:r w:rsidRPr="004B62BE">
          <w:rPr>
            <w:noProof/>
            <w:webHidden/>
          </w:rPr>
          <w:instrText xml:space="preserve"> PAGEREF _Toc409106981 \h </w:instrText>
        </w:r>
        <w:r w:rsidRPr="004B62BE">
          <w:rPr>
            <w:noProof/>
            <w:webHidden/>
          </w:rPr>
        </w:r>
        <w:r w:rsidRPr="004B62BE">
          <w:rPr>
            <w:noProof/>
            <w:webHidden/>
          </w:rPr>
          <w:fldChar w:fldCharType="separate"/>
        </w:r>
        <w:r w:rsidR="00A20122">
          <w:rPr>
            <w:noProof/>
            <w:webHidden/>
          </w:rPr>
          <w:t>2</w:t>
        </w:r>
        <w:r w:rsidRPr="004B62BE">
          <w:rPr>
            <w:noProof/>
            <w:webHidden/>
          </w:rPr>
          <w:fldChar w:fldCharType="end"/>
        </w:r>
      </w:hyperlink>
    </w:p>
    <w:p w14:paraId="692E607F" w14:textId="184A6153" w:rsidR="007F2A57" w:rsidRPr="004B62BE" w:rsidRDefault="007F2A57">
      <w:pPr>
        <w:pStyle w:val="TOC3"/>
        <w:tabs>
          <w:tab w:val="left" w:pos="1843"/>
          <w:tab w:val="right" w:leader="dot" w:pos="9350"/>
        </w:tabs>
        <w:rPr>
          <w:rFonts w:asciiTheme="minorHAnsi" w:eastAsiaTheme="minorEastAsia" w:hAnsiTheme="minorHAnsi"/>
          <w:noProof/>
        </w:rPr>
      </w:pPr>
      <w:hyperlink w:anchor="_Toc409106982" w:history="1">
        <w:r w:rsidRPr="004B62BE">
          <w:rPr>
            <w:rStyle w:val="Hyperlink"/>
            <w:noProof/>
          </w:rPr>
          <w:t>3.</w:t>
        </w:r>
        <w:r w:rsidRPr="004B62BE">
          <w:rPr>
            <w:rFonts w:asciiTheme="minorHAnsi" w:eastAsiaTheme="minorEastAsia" w:hAnsiTheme="minorHAnsi"/>
            <w:noProof/>
          </w:rPr>
          <w:tab/>
        </w:r>
        <w:r w:rsidRPr="004B62BE">
          <w:rPr>
            <w:rStyle w:val="Hyperlink"/>
            <w:noProof/>
          </w:rPr>
          <w:t>May Require Continued Deliberations Even after Report of Deadlock</w:t>
        </w:r>
        <w:r w:rsidRPr="004B62BE">
          <w:rPr>
            <w:noProof/>
            <w:webHidden/>
          </w:rPr>
          <w:tab/>
        </w:r>
        <w:r w:rsidRPr="004B62BE">
          <w:rPr>
            <w:noProof/>
            <w:webHidden/>
          </w:rPr>
          <w:fldChar w:fldCharType="begin"/>
        </w:r>
        <w:r w:rsidRPr="004B62BE">
          <w:rPr>
            <w:noProof/>
            <w:webHidden/>
          </w:rPr>
          <w:instrText xml:space="preserve"> PAGEREF _Toc409106982 \h </w:instrText>
        </w:r>
        <w:r w:rsidRPr="004B62BE">
          <w:rPr>
            <w:noProof/>
            <w:webHidden/>
          </w:rPr>
        </w:r>
        <w:r w:rsidRPr="004B62BE">
          <w:rPr>
            <w:noProof/>
            <w:webHidden/>
          </w:rPr>
          <w:fldChar w:fldCharType="separate"/>
        </w:r>
        <w:r w:rsidR="00A20122">
          <w:rPr>
            <w:noProof/>
            <w:webHidden/>
          </w:rPr>
          <w:t>3</w:t>
        </w:r>
        <w:r w:rsidRPr="004B62BE">
          <w:rPr>
            <w:noProof/>
            <w:webHidden/>
          </w:rPr>
          <w:fldChar w:fldCharType="end"/>
        </w:r>
      </w:hyperlink>
    </w:p>
    <w:p w14:paraId="3338DDDA" w14:textId="5C7ACE86" w:rsidR="007F2A57" w:rsidRPr="004B62BE" w:rsidRDefault="007F2A57">
      <w:pPr>
        <w:pStyle w:val="TOC3"/>
        <w:tabs>
          <w:tab w:val="left" w:pos="1843"/>
          <w:tab w:val="right" w:leader="dot" w:pos="9350"/>
        </w:tabs>
        <w:rPr>
          <w:rFonts w:asciiTheme="minorHAnsi" w:eastAsiaTheme="minorEastAsia" w:hAnsiTheme="minorHAnsi"/>
          <w:noProof/>
        </w:rPr>
      </w:pPr>
      <w:hyperlink w:anchor="_Toc409106983" w:history="1">
        <w:r w:rsidRPr="004B62BE">
          <w:rPr>
            <w:rStyle w:val="Hyperlink"/>
            <w:noProof/>
          </w:rPr>
          <w:t>4.</w:t>
        </w:r>
        <w:r w:rsidRPr="004B62BE">
          <w:rPr>
            <w:rFonts w:asciiTheme="minorHAnsi" w:eastAsiaTheme="minorEastAsia" w:hAnsiTheme="minorHAnsi"/>
            <w:noProof/>
          </w:rPr>
          <w:tab/>
        </w:r>
        <w:r w:rsidRPr="004B62BE">
          <w:rPr>
            <w:rStyle w:val="Hyperlink"/>
            <w:noProof/>
          </w:rPr>
          <w:t>May Not Coerce a Verdict</w:t>
        </w:r>
        <w:r w:rsidRPr="004B62BE">
          <w:rPr>
            <w:noProof/>
            <w:webHidden/>
          </w:rPr>
          <w:tab/>
        </w:r>
        <w:r w:rsidRPr="004B62BE">
          <w:rPr>
            <w:noProof/>
            <w:webHidden/>
          </w:rPr>
          <w:fldChar w:fldCharType="begin"/>
        </w:r>
        <w:r w:rsidRPr="004B62BE">
          <w:rPr>
            <w:noProof/>
            <w:webHidden/>
          </w:rPr>
          <w:instrText xml:space="preserve"> PAGEREF _Toc409106983 \h </w:instrText>
        </w:r>
        <w:r w:rsidRPr="004B62BE">
          <w:rPr>
            <w:noProof/>
            <w:webHidden/>
          </w:rPr>
        </w:r>
        <w:r w:rsidRPr="004B62BE">
          <w:rPr>
            <w:noProof/>
            <w:webHidden/>
          </w:rPr>
          <w:fldChar w:fldCharType="separate"/>
        </w:r>
        <w:r w:rsidR="00A20122">
          <w:rPr>
            <w:noProof/>
            <w:webHidden/>
          </w:rPr>
          <w:t>3</w:t>
        </w:r>
        <w:r w:rsidRPr="004B62BE">
          <w:rPr>
            <w:noProof/>
            <w:webHidden/>
          </w:rPr>
          <w:fldChar w:fldCharType="end"/>
        </w:r>
      </w:hyperlink>
    </w:p>
    <w:p w14:paraId="27A3B562" w14:textId="7BCAE863" w:rsidR="007F2A57" w:rsidRPr="004B62BE" w:rsidRDefault="007F2A57">
      <w:pPr>
        <w:pStyle w:val="TOC3"/>
        <w:tabs>
          <w:tab w:val="left" w:pos="1843"/>
          <w:tab w:val="right" w:leader="dot" w:pos="9350"/>
        </w:tabs>
        <w:rPr>
          <w:rFonts w:asciiTheme="minorHAnsi" w:eastAsiaTheme="minorEastAsia" w:hAnsiTheme="minorHAnsi"/>
          <w:noProof/>
        </w:rPr>
      </w:pPr>
      <w:hyperlink w:anchor="_Toc409106984" w:history="1">
        <w:r w:rsidRPr="004B62BE">
          <w:rPr>
            <w:rStyle w:val="Hyperlink"/>
            <w:noProof/>
          </w:rPr>
          <w:t>5.</w:t>
        </w:r>
        <w:r w:rsidRPr="004B62BE">
          <w:rPr>
            <w:rFonts w:asciiTheme="minorHAnsi" w:eastAsiaTheme="minorEastAsia" w:hAnsiTheme="minorHAnsi"/>
            <w:noProof/>
          </w:rPr>
          <w:tab/>
        </w:r>
        <w:r w:rsidRPr="004B62BE">
          <w:rPr>
            <w:rStyle w:val="Hyperlink"/>
            <w:noProof/>
          </w:rPr>
          <w:t>May Declare Mistrial</w:t>
        </w:r>
        <w:r w:rsidRPr="004B62BE">
          <w:rPr>
            <w:noProof/>
            <w:webHidden/>
          </w:rPr>
          <w:tab/>
        </w:r>
        <w:r w:rsidRPr="004B62BE">
          <w:rPr>
            <w:noProof/>
            <w:webHidden/>
          </w:rPr>
          <w:fldChar w:fldCharType="begin"/>
        </w:r>
        <w:r w:rsidRPr="004B62BE">
          <w:rPr>
            <w:noProof/>
            <w:webHidden/>
          </w:rPr>
          <w:instrText xml:space="preserve"> PAGEREF _Toc409106984 \h </w:instrText>
        </w:r>
        <w:r w:rsidRPr="004B62BE">
          <w:rPr>
            <w:noProof/>
            <w:webHidden/>
          </w:rPr>
        </w:r>
        <w:r w:rsidRPr="004B62BE">
          <w:rPr>
            <w:noProof/>
            <w:webHidden/>
          </w:rPr>
          <w:fldChar w:fldCharType="separate"/>
        </w:r>
        <w:r w:rsidR="00A20122">
          <w:rPr>
            <w:noProof/>
            <w:webHidden/>
          </w:rPr>
          <w:t>6</w:t>
        </w:r>
        <w:r w:rsidRPr="004B62BE">
          <w:rPr>
            <w:noProof/>
            <w:webHidden/>
          </w:rPr>
          <w:fldChar w:fldCharType="end"/>
        </w:r>
      </w:hyperlink>
    </w:p>
    <w:p w14:paraId="4E724B7D" w14:textId="265A09D3" w:rsidR="007F2A57" w:rsidRPr="004B62BE" w:rsidRDefault="007F2A57">
      <w:pPr>
        <w:pStyle w:val="TOC1"/>
        <w:tabs>
          <w:tab w:val="left" w:pos="720"/>
          <w:tab w:val="right" w:leader="dot" w:pos="9350"/>
        </w:tabs>
        <w:rPr>
          <w:rFonts w:asciiTheme="minorHAnsi" w:eastAsiaTheme="minorEastAsia" w:hAnsiTheme="minorHAnsi"/>
          <w:noProof/>
        </w:rPr>
      </w:pPr>
      <w:hyperlink w:anchor="_Toc409106985" w:history="1">
        <w:r w:rsidRPr="004B62BE">
          <w:rPr>
            <w:rStyle w:val="Hyperlink"/>
            <w:noProof/>
          </w:rPr>
          <w:t>IV.</w:t>
        </w:r>
        <w:r w:rsidRPr="004B62BE">
          <w:rPr>
            <w:rFonts w:asciiTheme="minorHAnsi" w:eastAsiaTheme="minorEastAsia" w:hAnsiTheme="minorHAnsi"/>
            <w:noProof/>
          </w:rPr>
          <w:tab/>
        </w:r>
        <w:r w:rsidRPr="004B62BE">
          <w:rPr>
            <w:rStyle w:val="Hyperlink"/>
            <w:noProof/>
          </w:rPr>
          <w:t>Further Proceedings after Mistrial Because of Deadlock</w:t>
        </w:r>
        <w:r w:rsidRPr="004B62BE">
          <w:rPr>
            <w:noProof/>
            <w:webHidden/>
          </w:rPr>
          <w:tab/>
        </w:r>
        <w:r w:rsidRPr="004B62BE">
          <w:rPr>
            <w:noProof/>
            <w:webHidden/>
          </w:rPr>
          <w:fldChar w:fldCharType="begin"/>
        </w:r>
        <w:r w:rsidRPr="004B62BE">
          <w:rPr>
            <w:noProof/>
            <w:webHidden/>
          </w:rPr>
          <w:instrText xml:space="preserve"> PAGEREF _Toc409106985 \h </w:instrText>
        </w:r>
        <w:r w:rsidRPr="004B62BE">
          <w:rPr>
            <w:noProof/>
            <w:webHidden/>
          </w:rPr>
        </w:r>
        <w:r w:rsidRPr="004B62BE">
          <w:rPr>
            <w:noProof/>
            <w:webHidden/>
          </w:rPr>
          <w:fldChar w:fldCharType="separate"/>
        </w:r>
        <w:r w:rsidR="00A20122">
          <w:rPr>
            <w:noProof/>
            <w:webHidden/>
          </w:rPr>
          <w:t>7</w:t>
        </w:r>
        <w:r w:rsidRPr="004B62BE">
          <w:rPr>
            <w:noProof/>
            <w:webHidden/>
          </w:rPr>
          <w:fldChar w:fldCharType="end"/>
        </w:r>
      </w:hyperlink>
    </w:p>
    <w:p w14:paraId="11C6E0EA" w14:textId="77777777" w:rsidR="007F2A57" w:rsidRPr="004B62BE" w:rsidRDefault="007F2A57" w:rsidP="00ED14A8">
      <w:r w:rsidRPr="004B62BE">
        <w:fldChar w:fldCharType="end"/>
      </w:r>
    </w:p>
    <w:p w14:paraId="15AF3712" w14:textId="77777777" w:rsidR="007F2A57" w:rsidRPr="004B62BE" w:rsidRDefault="007F2A57" w:rsidP="00ED14A8"/>
    <w:p w14:paraId="7DE05AA4" w14:textId="5CD4CE41" w:rsidR="00ED14A8" w:rsidRPr="004B62BE" w:rsidRDefault="00ED14A8" w:rsidP="001F02BD">
      <w:pPr>
        <w:pStyle w:val="ListParagraph"/>
        <w:numPr>
          <w:ilvl w:val="0"/>
          <w:numId w:val="3"/>
        </w:numPr>
        <w:ind w:left="720"/>
      </w:pPr>
      <w:bookmarkStart w:id="0" w:name="_Toc409106973"/>
      <w:r w:rsidRPr="004B62BE">
        <w:rPr>
          <w:rStyle w:val="Heading1Char"/>
        </w:rPr>
        <w:t>Generally</w:t>
      </w:r>
      <w:bookmarkEnd w:id="0"/>
      <w:r w:rsidRPr="004B62BE">
        <w:rPr>
          <w:b/>
        </w:rPr>
        <w:t xml:space="preserve">. </w:t>
      </w:r>
      <w:r w:rsidR="00EA1EA2" w:rsidRPr="004B62BE">
        <w:t xml:space="preserve">A criminal defendant has </w:t>
      </w:r>
      <w:r w:rsidR="00744C57" w:rsidRPr="004B62BE">
        <w:t>a</w:t>
      </w:r>
      <w:r w:rsidR="00EA1EA2" w:rsidRPr="004B62BE">
        <w:t xml:space="preserve"> right to be tried by a jury of twelve, whose verdict must be unanimous</w:t>
      </w:r>
      <w:r w:rsidRPr="004B62BE">
        <w:t xml:space="preserve">. </w:t>
      </w:r>
      <w:r w:rsidR="00042C77" w:rsidRPr="004B62BE">
        <w:t>G.S. 15A-1201(a)</w:t>
      </w:r>
      <w:r w:rsidR="00EA1EA2" w:rsidRPr="004B62BE">
        <w:t xml:space="preserve">; </w:t>
      </w:r>
      <w:r w:rsidR="00EA1EA2" w:rsidRPr="004B62BE">
        <w:rPr>
          <w:i/>
        </w:rPr>
        <w:t xml:space="preserve">see also </w:t>
      </w:r>
      <w:r w:rsidR="00042C77" w:rsidRPr="004B62BE">
        <w:t>G.S. 15A-1237(b)</w:t>
      </w:r>
      <w:r w:rsidR="008157B9" w:rsidRPr="004B62BE">
        <w:t>;</w:t>
      </w:r>
      <w:r w:rsidR="00B94B23" w:rsidRPr="004B62BE">
        <w:t xml:space="preserve"> </w:t>
      </w:r>
      <w:r w:rsidR="00042C77" w:rsidRPr="004B62BE">
        <w:rPr>
          <w:smallCaps/>
        </w:rPr>
        <w:t>N.C. Const.</w:t>
      </w:r>
      <w:r w:rsidR="00042C77" w:rsidRPr="004B62BE">
        <w:t xml:space="preserve"> art. I, </w:t>
      </w:r>
      <w:r w:rsidR="00042C77" w:rsidRPr="004B62BE">
        <w:rPr>
          <w:rFonts w:cs="Arial"/>
        </w:rPr>
        <w:t>§</w:t>
      </w:r>
      <w:r w:rsidR="00042C77" w:rsidRPr="004B62BE">
        <w:t xml:space="preserve"> 24</w:t>
      </w:r>
      <w:r w:rsidR="00474606" w:rsidRPr="004B62BE">
        <w:t xml:space="preserve">. </w:t>
      </w:r>
      <w:r w:rsidRPr="004B62BE">
        <w:t xml:space="preserve">A jury deadlock occurs when all twelve jurors cannot agree on a verdict. </w:t>
      </w:r>
      <w:r w:rsidR="001F02BD" w:rsidRPr="004B62BE">
        <w:t xml:space="preserve">“In times long gone by, when a jury was unable to reach a verdict the trial court simply deprived the jurors of food, water, and fire until it reached a verdict. Today a more subtle approach is used to break a deadlocked jury.” </w:t>
      </w:r>
      <w:r w:rsidR="00042C77" w:rsidRPr="004B62BE">
        <w:t>State v. Lamb, 44 N.C. App. 251, 253 (1979) (citation omitted)</w:t>
      </w:r>
      <w:r w:rsidR="001F02BD" w:rsidRPr="004B62BE">
        <w:t xml:space="preserve">. </w:t>
      </w:r>
      <w:r w:rsidRPr="004B62BE">
        <w:t xml:space="preserve">This section discusses </w:t>
      </w:r>
      <w:r w:rsidR="001F02BD" w:rsidRPr="004B62BE">
        <w:t xml:space="preserve">the latter approach and </w:t>
      </w:r>
      <w:r w:rsidRPr="004B62BE">
        <w:t>procedures for dealing with a jury deadlock</w:t>
      </w:r>
      <w:r w:rsidR="001F02BD" w:rsidRPr="004B62BE">
        <w:t xml:space="preserve"> generally</w:t>
      </w:r>
      <w:r w:rsidRPr="004B62BE">
        <w:t>.</w:t>
      </w:r>
    </w:p>
    <w:p w14:paraId="2302531F" w14:textId="77777777" w:rsidR="00573C82" w:rsidRPr="004B62BE" w:rsidRDefault="00573C82" w:rsidP="00573C82">
      <w:pPr>
        <w:pStyle w:val="ListParagraph"/>
        <w:rPr>
          <w:b/>
        </w:rPr>
      </w:pPr>
    </w:p>
    <w:p w14:paraId="2B3B8462" w14:textId="77777777" w:rsidR="00ED14A8" w:rsidRPr="004B62BE" w:rsidRDefault="00ED14A8" w:rsidP="00ED14A8">
      <w:pPr>
        <w:pStyle w:val="ListParagraph"/>
        <w:numPr>
          <w:ilvl w:val="0"/>
          <w:numId w:val="3"/>
        </w:numPr>
        <w:ind w:left="720"/>
        <w:rPr>
          <w:b/>
        </w:rPr>
      </w:pPr>
      <w:bookmarkStart w:id="1" w:name="_Toc409106974"/>
      <w:r w:rsidRPr="004B62BE">
        <w:rPr>
          <w:rStyle w:val="Heading1Char"/>
        </w:rPr>
        <w:t>Instructions prior to Deliberations</w:t>
      </w:r>
      <w:bookmarkEnd w:id="1"/>
      <w:r w:rsidRPr="004B62BE">
        <w:rPr>
          <w:b/>
        </w:rPr>
        <w:t>.</w:t>
      </w:r>
      <w:r w:rsidRPr="004B62BE">
        <w:t xml:space="preserve"> </w:t>
      </w:r>
    </w:p>
    <w:p w14:paraId="25527F51" w14:textId="44AE1F86" w:rsidR="00ED14A8" w:rsidRPr="004B62BE" w:rsidRDefault="00ED14A8" w:rsidP="00ED14A8">
      <w:pPr>
        <w:pStyle w:val="ListParagraph"/>
        <w:numPr>
          <w:ilvl w:val="0"/>
          <w:numId w:val="4"/>
        </w:numPr>
        <w:ind w:left="1440" w:hanging="720"/>
        <w:rPr>
          <w:b/>
        </w:rPr>
      </w:pPr>
      <w:bookmarkStart w:id="2" w:name="_Toc409106975"/>
      <w:r w:rsidRPr="004B62BE">
        <w:rPr>
          <w:rStyle w:val="Heading2Char"/>
        </w:rPr>
        <w:t>Mandatory Instruction</w:t>
      </w:r>
      <w:bookmarkEnd w:id="2"/>
      <w:r w:rsidRPr="004B62BE">
        <w:rPr>
          <w:b/>
        </w:rPr>
        <w:t xml:space="preserve">. </w:t>
      </w:r>
      <w:r w:rsidRPr="004B62BE">
        <w:t>Before the jury retires for deliberation</w:t>
      </w:r>
      <w:r w:rsidR="00225ADC" w:rsidRPr="004B62BE">
        <w:t>s</w:t>
      </w:r>
      <w:r w:rsidRPr="004B62BE">
        <w:t xml:space="preserve">, the judge </w:t>
      </w:r>
      <w:r w:rsidRPr="004B62BE">
        <w:rPr>
          <w:i/>
        </w:rPr>
        <w:t>must</w:t>
      </w:r>
      <w:r w:rsidRPr="004B62BE">
        <w:t xml:space="preserve"> give an instruction which informs the jury that in order to return a verdict, all </w:t>
      </w:r>
      <w:r w:rsidR="000D75FD" w:rsidRPr="004B62BE">
        <w:t xml:space="preserve">twelve </w:t>
      </w:r>
      <w:r w:rsidRPr="004B62BE">
        <w:t xml:space="preserve">jurors must agree to a verdict of guilty or not guilty. </w:t>
      </w:r>
      <w:r w:rsidR="00042C77" w:rsidRPr="004B62BE">
        <w:t>G.S. 15A-1235(a)</w:t>
      </w:r>
      <w:r w:rsidRPr="004B62BE">
        <w:t xml:space="preserve">. </w:t>
      </w:r>
      <w:r w:rsidR="00EA1EA2" w:rsidRPr="004B62BE">
        <w:t xml:space="preserve">This required instruction has been </w:t>
      </w:r>
      <w:r w:rsidR="00225ADC" w:rsidRPr="004B62BE">
        <w:t>incorporated into</w:t>
      </w:r>
      <w:r w:rsidR="00EA1EA2" w:rsidRPr="004B62BE">
        <w:t xml:space="preserve"> </w:t>
      </w:r>
      <w:r w:rsidR="00042C77" w:rsidRPr="004B62BE">
        <w:t>N.C.P.I.—Crim. 101.35</w:t>
      </w:r>
      <w:r w:rsidR="00EA1EA2" w:rsidRPr="004B62BE">
        <w:t>.</w:t>
      </w:r>
    </w:p>
    <w:p w14:paraId="68EB067D" w14:textId="77777777" w:rsidR="00573C82" w:rsidRPr="004B62BE" w:rsidRDefault="00573C82" w:rsidP="00573C82">
      <w:pPr>
        <w:pStyle w:val="ListParagraph"/>
        <w:ind w:left="1440"/>
        <w:rPr>
          <w:b/>
        </w:rPr>
      </w:pPr>
    </w:p>
    <w:p w14:paraId="1B64CEDE" w14:textId="77777777" w:rsidR="00ED14A8" w:rsidRPr="004B62BE" w:rsidRDefault="00ED14A8" w:rsidP="00ED14A8">
      <w:pPr>
        <w:pStyle w:val="ListParagraph"/>
        <w:numPr>
          <w:ilvl w:val="0"/>
          <w:numId w:val="4"/>
        </w:numPr>
        <w:ind w:left="1440" w:hanging="720"/>
      </w:pPr>
      <w:bookmarkStart w:id="3" w:name="_Toc409106976"/>
      <w:r w:rsidRPr="004B62BE">
        <w:rPr>
          <w:rStyle w:val="Heading2Char"/>
        </w:rPr>
        <w:t>Optional Instruction</w:t>
      </w:r>
      <w:bookmarkEnd w:id="3"/>
      <w:r w:rsidRPr="004B62BE">
        <w:rPr>
          <w:b/>
        </w:rPr>
        <w:t>.</w:t>
      </w:r>
      <w:r w:rsidRPr="004B62BE">
        <w:t xml:space="preserve"> Before the jury retires for deliberation</w:t>
      </w:r>
      <w:r w:rsidR="00225ADC" w:rsidRPr="004B62BE">
        <w:t>s</w:t>
      </w:r>
      <w:r w:rsidRPr="004B62BE">
        <w:t xml:space="preserve">, the judge </w:t>
      </w:r>
      <w:r w:rsidRPr="004B62BE">
        <w:rPr>
          <w:i/>
        </w:rPr>
        <w:t>may</w:t>
      </w:r>
      <w:r w:rsidRPr="004B62BE">
        <w:t xml:space="preserve"> give an instruction informing the jury that:</w:t>
      </w:r>
    </w:p>
    <w:p w14:paraId="0560CBE1" w14:textId="77777777" w:rsidR="00225ADC" w:rsidRPr="004B62BE" w:rsidRDefault="00225ADC" w:rsidP="00225ADC"/>
    <w:p w14:paraId="6D7A372D" w14:textId="77777777" w:rsidR="00ED14A8" w:rsidRPr="004B62BE" w:rsidRDefault="00ED14A8" w:rsidP="00ED14A8">
      <w:pPr>
        <w:pStyle w:val="ListParagraph"/>
        <w:numPr>
          <w:ilvl w:val="1"/>
          <w:numId w:val="5"/>
        </w:numPr>
        <w:ind w:left="2160"/>
      </w:pPr>
      <w:r w:rsidRPr="004B62BE">
        <w:t>Jurors have a duty to consult with one another and to deliberate with a view to reaching an agreement, if it can be done without violence to individual judgment;</w:t>
      </w:r>
    </w:p>
    <w:p w14:paraId="04A39B48" w14:textId="77777777" w:rsidR="00ED14A8" w:rsidRPr="004B62BE" w:rsidRDefault="00ED14A8" w:rsidP="00ED14A8">
      <w:pPr>
        <w:pStyle w:val="ListParagraph"/>
        <w:numPr>
          <w:ilvl w:val="1"/>
          <w:numId w:val="5"/>
        </w:numPr>
        <w:ind w:left="2160"/>
      </w:pPr>
      <w:r w:rsidRPr="004B62BE">
        <w:t>Each juror must decide the case for himself, but only after an impartial consideration of the evidence with his fellow jurors;</w:t>
      </w:r>
    </w:p>
    <w:p w14:paraId="1388DC38" w14:textId="77777777" w:rsidR="00ED14A8" w:rsidRPr="004B62BE" w:rsidRDefault="00ED14A8" w:rsidP="00ED14A8">
      <w:pPr>
        <w:pStyle w:val="ListParagraph"/>
        <w:numPr>
          <w:ilvl w:val="1"/>
          <w:numId w:val="5"/>
        </w:numPr>
        <w:ind w:left="2160"/>
      </w:pPr>
      <w:r w:rsidRPr="004B62BE">
        <w:t>In the course of deliberations, a juror should not hesitate to reexamine his own views and change his opinion if convinced it is erroneous; and</w:t>
      </w:r>
    </w:p>
    <w:p w14:paraId="047519A1" w14:textId="77777777" w:rsidR="00ED14A8" w:rsidRPr="004B62BE" w:rsidRDefault="00ED14A8" w:rsidP="00ED14A8">
      <w:pPr>
        <w:pStyle w:val="ListParagraph"/>
        <w:numPr>
          <w:ilvl w:val="1"/>
          <w:numId w:val="5"/>
        </w:numPr>
        <w:ind w:left="2160"/>
      </w:pPr>
      <w:r w:rsidRPr="004B62BE">
        <w:t>No juror should surrender his honest conviction as to the weight or effect of the evidence solely because of the opinion of his fellow jurors, or for the mere purpose of returning a verdict.</w:t>
      </w:r>
    </w:p>
    <w:p w14:paraId="1B64DB54" w14:textId="77777777" w:rsidR="00225ADC" w:rsidRPr="004B62BE" w:rsidRDefault="00225ADC" w:rsidP="00225ADC">
      <w:pPr>
        <w:pStyle w:val="ListParagraph"/>
        <w:ind w:left="2160"/>
      </w:pPr>
    </w:p>
    <w:p w14:paraId="073EF4F2" w14:textId="77777777" w:rsidR="00ED14A8" w:rsidRPr="004B62BE" w:rsidRDefault="00042C77" w:rsidP="00ED14A8">
      <w:pPr>
        <w:ind w:left="1440"/>
      </w:pPr>
      <w:r w:rsidRPr="004B62BE">
        <w:lastRenderedPageBreak/>
        <w:t>G.S. 15A-1235(b)</w:t>
      </w:r>
      <w:r w:rsidR="00ED14A8" w:rsidRPr="004B62BE">
        <w:t>.</w:t>
      </w:r>
    </w:p>
    <w:p w14:paraId="154789B6" w14:textId="77777777" w:rsidR="00573C82" w:rsidRPr="004B62BE" w:rsidRDefault="00573C82" w:rsidP="00573C82"/>
    <w:p w14:paraId="747ABB85" w14:textId="77777777" w:rsidR="00573C82" w:rsidRPr="004B62BE" w:rsidRDefault="00744C57" w:rsidP="00573C82">
      <w:pPr>
        <w:pStyle w:val="ListParagraph"/>
        <w:numPr>
          <w:ilvl w:val="0"/>
          <w:numId w:val="3"/>
        </w:numPr>
        <w:ind w:left="720"/>
        <w:rPr>
          <w:b/>
        </w:rPr>
      </w:pPr>
      <w:bookmarkStart w:id="4" w:name="_Toc409106977"/>
      <w:r w:rsidRPr="004B62BE">
        <w:rPr>
          <w:rStyle w:val="Heading1Char"/>
        </w:rPr>
        <w:t xml:space="preserve">When </w:t>
      </w:r>
      <w:r w:rsidR="00573C82" w:rsidRPr="004B62BE">
        <w:rPr>
          <w:rStyle w:val="Heading1Char"/>
        </w:rPr>
        <w:t xml:space="preserve">Jury Indicates </w:t>
      </w:r>
      <w:r w:rsidRPr="004B62BE">
        <w:rPr>
          <w:rStyle w:val="Heading1Char"/>
        </w:rPr>
        <w:t>It</w:t>
      </w:r>
      <w:r w:rsidR="00573C82" w:rsidRPr="004B62BE">
        <w:rPr>
          <w:rStyle w:val="Heading1Char"/>
        </w:rPr>
        <w:t xml:space="preserve"> Cannot Agree</w:t>
      </w:r>
      <w:bookmarkEnd w:id="4"/>
      <w:r w:rsidR="00E31E63" w:rsidRPr="004B62BE">
        <w:rPr>
          <w:b/>
        </w:rPr>
        <w:t>.</w:t>
      </w:r>
    </w:p>
    <w:p w14:paraId="2378C432" w14:textId="01EEC375" w:rsidR="001B2DFB" w:rsidRPr="004B62BE" w:rsidRDefault="00573C82" w:rsidP="001B2DFB">
      <w:pPr>
        <w:pStyle w:val="ListParagraph"/>
        <w:numPr>
          <w:ilvl w:val="0"/>
          <w:numId w:val="6"/>
        </w:numPr>
        <w:ind w:left="1440" w:hanging="720"/>
        <w:rPr>
          <w:b/>
        </w:rPr>
      </w:pPr>
      <w:bookmarkStart w:id="5" w:name="_Toc409106978"/>
      <w:r w:rsidRPr="004B62BE">
        <w:rPr>
          <w:rStyle w:val="Heading2Char"/>
        </w:rPr>
        <w:t>How the Issue Arises</w:t>
      </w:r>
      <w:bookmarkEnd w:id="5"/>
      <w:r w:rsidRPr="004B62BE">
        <w:rPr>
          <w:b/>
        </w:rPr>
        <w:t>.</w:t>
      </w:r>
      <w:r w:rsidR="00476BB0" w:rsidRPr="004B62BE">
        <w:rPr>
          <w:b/>
        </w:rPr>
        <w:t xml:space="preserve"> </w:t>
      </w:r>
      <w:r w:rsidR="00476BB0" w:rsidRPr="004B62BE">
        <w:t>The trial judge typically learns about a potential jury deadlock when the jury sends a message to the judge</w:t>
      </w:r>
      <w:r w:rsidR="00624407" w:rsidRPr="004B62BE">
        <w:t xml:space="preserve">, </w:t>
      </w:r>
      <w:r w:rsidR="00624407" w:rsidRPr="004B62BE">
        <w:rPr>
          <w:i/>
        </w:rPr>
        <w:t xml:space="preserve">see, e.g., </w:t>
      </w:r>
      <w:r w:rsidR="00042C77" w:rsidRPr="004B62BE">
        <w:rPr>
          <w:i/>
        </w:rPr>
        <w:t>State v. Blackwell</w:t>
      </w:r>
      <w:r w:rsidR="00042C77" w:rsidRPr="004B62BE">
        <w:t xml:space="preserve">, </w:t>
      </w:r>
      <w:r w:rsidR="001C2D28">
        <w:t>228</w:t>
      </w:r>
      <w:r w:rsidR="00042C77" w:rsidRPr="004B62BE">
        <w:t xml:space="preserve"> N.C. App. </w:t>
      </w:r>
      <w:r w:rsidR="001C2D28">
        <w:t xml:space="preserve">439, </w:t>
      </w:r>
      <w:r w:rsidR="004F1498">
        <w:t>441</w:t>
      </w:r>
      <w:r w:rsidR="00042C77" w:rsidRPr="004B62BE">
        <w:t xml:space="preserve"> (2013) (jury sent a note)</w:t>
      </w:r>
      <w:r w:rsidR="00624407" w:rsidRPr="004B62BE">
        <w:t>,</w:t>
      </w:r>
      <w:r w:rsidR="00476BB0" w:rsidRPr="004B62BE">
        <w:t xml:space="preserve"> or when the judge </w:t>
      </w:r>
      <w:r w:rsidR="00624407" w:rsidRPr="004B62BE">
        <w:t>checks in with the jury at the end of the day</w:t>
      </w:r>
      <w:r w:rsidR="00882859" w:rsidRPr="004B62BE">
        <w:t xml:space="preserve"> or at a natur</w:t>
      </w:r>
      <w:r w:rsidR="00225ADC" w:rsidRPr="004B62BE">
        <w:t>al</w:t>
      </w:r>
      <w:r w:rsidR="00882859" w:rsidRPr="004B62BE">
        <w:t xml:space="preserve"> break in the proceedings</w:t>
      </w:r>
      <w:r w:rsidR="00624407" w:rsidRPr="004B62BE">
        <w:t xml:space="preserve">. </w:t>
      </w:r>
      <w:r w:rsidR="00042C77" w:rsidRPr="004B62BE">
        <w:t>State v. Phillpott, 213 N.C. App. 468, 475 (2011) (trial court inquired of jury at 5:15 pm)</w:t>
      </w:r>
      <w:r w:rsidR="001B2DFB" w:rsidRPr="004B62BE">
        <w:t>.</w:t>
      </w:r>
    </w:p>
    <w:p w14:paraId="6B0B74C6" w14:textId="77777777" w:rsidR="001B2DFB" w:rsidRPr="004B62BE" w:rsidRDefault="001B2DFB" w:rsidP="001B2DFB">
      <w:pPr>
        <w:pStyle w:val="ListParagraph"/>
        <w:ind w:left="1440"/>
        <w:rPr>
          <w:b/>
        </w:rPr>
      </w:pPr>
    </w:p>
    <w:p w14:paraId="318BBC21" w14:textId="77777777" w:rsidR="00885272" w:rsidRPr="004B62BE" w:rsidRDefault="00931224" w:rsidP="00624407">
      <w:pPr>
        <w:pStyle w:val="ListParagraph"/>
        <w:numPr>
          <w:ilvl w:val="0"/>
          <w:numId w:val="6"/>
        </w:numPr>
        <w:ind w:left="1440" w:hanging="720"/>
      </w:pPr>
      <w:bookmarkStart w:id="6" w:name="_Toc409106979"/>
      <w:r w:rsidRPr="004B62BE">
        <w:rPr>
          <w:rStyle w:val="Heading2Char"/>
        </w:rPr>
        <w:t>The</w:t>
      </w:r>
      <w:r w:rsidR="00885272" w:rsidRPr="004B62BE">
        <w:rPr>
          <w:rStyle w:val="Heading2Char"/>
        </w:rPr>
        <w:t xml:space="preserve"> Judge’s Response</w:t>
      </w:r>
      <w:bookmarkEnd w:id="6"/>
      <w:r w:rsidR="00573C82" w:rsidRPr="004B62BE">
        <w:rPr>
          <w:b/>
        </w:rPr>
        <w:t xml:space="preserve">. </w:t>
      </w:r>
    </w:p>
    <w:p w14:paraId="58BCFC8D" w14:textId="27D44ADA" w:rsidR="00885272" w:rsidRPr="004B62BE" w:rsidRDefault="00E31E63" w:rsidP="00D814FD">
      <w:pPr>
        <w:pStyle w:val="ListParagraph"/>
        <w:numPr>
          <w:ilvl w:val="0"/>
          <w:numId w:val="10"/>
        </w:numPr>
        <w:ind w:left="2160" w:hanging="720"/>
      </w:pPr>
      <w:bookmarkStart w:id="7" w:name="_Toc409106980"/>
      <w:r w:rsidRPr="004B62BE">
        <w:rPr>
          <w:rStyle w:val="Heading3Char"/>
        </w:rPr>
        <w:t xml:space="preserve">May </w:t>
      </w:r>
      <w:r w:rsidR="00EA05DF" w:rsidRPr="004B62BE">
        <w:rPr>
          <w:rStyle w:val="Heading3Char"/>
        </w:rPr>
        <w:t xml:space="preserve">Require </w:t>
      </w:r>
      <w:r w:rsidR="00885272" w:rsidRPr="004B62BE">
        <w:rPr>
          <w:rStyle w:val="Heading3Char"/>
        </w:rPr>
        <w:t>Continue</w:t>
      </w:r>
      <w:r w:rsidR="00EA05DF" w:rsidRPr="004B62BE">
        <w:rPr>
          <w:rStyle w:val="Heading3Char"/>
        </w:rPr>
        <w:t>d</w:t>
      </w:r>
      <w:r w:rsidR="00885272" w:rsidRPr="004B62BE">
        <w:rPr>
          <w:rStyle w:val="Heading3Char"/>
        </w:rPr>
        <w:t xml:space="preserve"> Deliberations</w:t>
      </w:r>
      <w:bookmarkEnd w:id="7"/>
      <w:r w:rsidR="00885272" w:rsidRPr="004B62BE">
        <w:rPr>
          <w:b/>
        </w:rPr>
        <w:t xml:space="preserve">. </w:t>
      </w:r>
      <w:r w:rsidR="00885272" w:rsidRPr="004B62BE">
        <w:t xml:space="preserve">If the jury has been unable to agree, the judge </w:t>
      </w:r>
      <w:r w:rsidRPr="004B62BE">
        <w:t xml:space="preserve">simply </w:t>
      </w:r>
      <w:r w:rsidR="00885272" w:rsidRPr="004B62BE">
        <w:t xml:space="preserve">may require the jury to continue its deliberations. </w:t>
      </w:r>
      <w:r w:rsidR="00042C77" w:rsidRPr="004B62BE">
        <w:t>G.S. 15A-1235(c)</w:t>
      </w:r>
      <w:r w:rsidR="00885272" w:rsidRPr="004B62BE">
        <w:t xml:space="preserve">. It is not error for the trial court to require continued deliberations without giving an </w:t>
      </w:r>
      <w:r w:rsidR="00885272" w:rsidRPr="004B62BE">
        <w:rPr>
          <w:i/>
        </w:rPr>
        <w:t xml:space="preserve">Allen </w:t>
      </w:r>
      <w:r w:rsidR="00885272" w:rsidRPr="004B62BE">
        <w:t xml:space="preserve">instruction (discussed immediately below). </w:t>
      </w:r>
      <w:r w:rsidR="00042C77" w:rsidRPr="004B62BE">
        <w:t>State v. Porter, 340 N.C. 320, 336 (1995) (no abuse of discretion to require the jury to continue deliberations without giving the instruction)</w:t>
      </w:r>
      <w:r w:rsidR="00D814FD" w:rsidRPr="004B62BE">
        <w:t xml:space="preserve">; </w:t>
      </w:r>
      <w:r w:rsidR="00042C77" w:rsidRPr="004B62BE">
        <w:t xml:space="preserve">State v. Summey, </w:t>
      </w:r>
      <w:r w:rsidR="004F1498">
        <w:t>228</w:t>
      </w:r>
      <w:r w:rsidR="00042C77" w:rsidRPr="004B62BE">
        <w:t xml:space="preserve"> N.C. App. </w:t>
      </w:r>
      <w:r w:rsidR="004F1498">
        <w:t>730, 739-42</w:t>
      </w:r>
      <w:r w:rsidR="00042C77" w:rsidRPr="004B62BE">
        <w:t xml:space="preserve"> (2013) (same as to judge’s response to jury’s first indication that it was having trouble reaching a verdict)</w:t>
      </w:r>
      <w:r w:rsidR="00885272" w:rsidRPr="004B62BE">
        <w:t xml:space="preserve">; </w:t>
      </w:r>
      <w:r w:rsidR="00042C77" w:rsidRPr="004B62BE">
        <w:t xml:space="preserve">State v. Ross, 207 N.C. App. 379, 389 (2010) (no abuse of discretion where the trial court did not give an </w:t>
      </w:r>
      <w:r w:rsidR="00042C77" w:rsidRPr="004B62BE">
        <w:rPr>
          <w:i/>
        </w:rPr>
        <w:t xml:space="preserve">Allen </w:t>
      </w:r>
      <w:r w:rsidR="00042C77" w:rsidRPr="004B62BE">
        <w:t>instruction the first and third time that the jury indicated it was deadlocked)</w:t>
      </w:r>
      <w:r w:rsidR="00885272" w:rsidRPr="004B62BE">
        <w:t>.</w:t>
      </w:r>
    </w:p>
    <w:p w14:paraId="6531A0C3" w14:textId="0CEF3DFC" w:rsidR="00CB3180" w:rsidRPr="004B62BE" w:rsidRDefault="00E31E63" w:rsidP="001F02BD">
      <w:pPr>
        <w:pStyle w:val="ListParagraph"/>
        <w:numPr>
          <w:ilvl w:val="0"/>
          <w:numId w:val="10"/>
        </w:numPr>
        <w:ind w:left="2160" w:hanging="720"/>
      </w:pPr>
      <w:bookmarkStart w:id="8" w:name="_Toc409106981"/>
      <w:r w:rsidRPr="004B62BE">
        <w:rPr>
          <w:rStyle w:val="Heading3Char"/>
        </w:rPr>
        <w:t xml:space="preserve">May </w:t>
      </w:r>
      <w:r w:rsidR="00885272" w:rsidRPr="004B62BE">
        <w:rPr>
          <w:rStyle w:val="Heading3Char"/>
        </w:rPr>
        <w:t>Give Allen Instruction</w:t>
      </w:r>
      <w:bookmarkEnd w:id="8"/>
      <w:r w:rsidR="00885272" w:rsidRPr="004B62BE">
        <w:rPr>
          <w:b/>
        </w:rPr>
        <w:t xml:space="preserve">. </w:t>
      </w:r>
      <w:r w:rsidR="00573C82" w:rsidRPr="004B62BE">
        <w:t xml:space="preserve">If the jury has been unable to agree, the judge </w:t>
      </w:r>
      <w:r w:rsidR="00885272" w:rsidRPr="004B62BE">
        <w:t>m</w:t>
      </w:r>
      <w:r w:rsidR="00761558" w:rsidRPr="004B62BE">
        <w:t xml:space="preserve">ay </w:t>
      </w:r>
      <w:r w:rsidR="00573C82" w:rsidRPr="004B62BE">
        <w:t xml:space="preserve">give or repeat the mandatory and optional instructions </w:t>
      </w:r>
      <w:r w:rsidR="00931224" w:rsidRPr="004B62BE">
        <w:t xml:space="preserve">specified in </w:t>
      </w:r>
      <w:r w:rsidR="00042C77" w:rsidRPr="004B62BE">
        <w:t>G.S. 15A-1235(a) and (b) (reproduced in Section II above)</w:t>
      </w:r>
      <w:r w:rsidR="00931224" w:rsidRPr="004B62BE">
        <w:t xml:space="preserve">. </w:t>
      </w:r>
      <w:r w:rsidR="00042C77" w:rsidRPr="004B62BE">
        <w:t>G.S. 15A-1235(c)</w:t>
      </w:r>
      <w:r w:rsidR="00931224" w:rsidRPr="004B62BE">
        <w:t>. The instruction in G.S. 15A-</w:t>
      </w:r>
      <w:r w:rsidR="009957D5" w:rsidRPr="004B62BE">
        <w:t>1</w:t>
      </w:r>
      <w:r w:rsidR="00931224" w:rsidRPr="004B62BE">
        <w:t xml:space="preserve">235(b) commonly </w:t>
      </w:r>
      <w:r w:rsidR="009957D5" w:rsidRPr="004B62BE">
        <w:t xml:space="preserve">is </w:t>
      </w:r>
      <w:r w:rsidR="00931224" w:rsidRPr="004B62BE">
        <w:t xml:space="preserve">referred to as an </w:t>
      </w:r>
      <w:r w:rsidR="00931224" w:rsidRPr="004B62BE">
        <w:rPr>
          <w:i/>
        </w:rPr>
        <w:t xml:space="preserve">Allen </w:t>
      </w:r>
      <w:r w:rsidR="00931224" w:rsidRPr="004B62BE">
        <w:t>instruction</w:t>
      </w:r>
      <w:r w:rsidR="001F02BD" w:rsidRPr="004B62BE">
        <w:t>.</w:t>
      </w:r>
      <w:r w:rsidR="00931224" w:rsidRPr="004B62BE">
        <w:t xml:space="preserve"> </w:t>
      </w:r>
      <w:r w:rsidR="001F02BD" w:rsidRPr="004B62BE">
        <w:rPr>
          <w:i/>
        </w:rPr>
        <w:t>S</w:t>
      </w:r>
      <w:r w:rsidR="008B1FCD" w:rsidRPr="004B62BE">
        <w:rPr>
          <w:i/>
        </w:rPr>
        <w:t>ee</w:t>
      </w:r>
      <w:r w:rsidR="00882859" w:rsidRPr="004B62BE">
        <w:rPr>
          <w:i/>
        </w:rPr>
        <w:t>, e.g.,</w:t>
      </w:r>
      <w:r w:rsidR="008B1FCD" w:rsidRPr="004B62BE">
        <w:rPr>
          <w:i/>
        </w:rPr>
        <w:t xml:space="preserve"> </w:t>
      </w:r>
      <w:r w:rsidR="00042C77" w:rsidRPr="004B62BE">
        <w:rPr>
          <w:i/>
        </w:rPr>
        <w:t>Ross</w:t>
      </w:r>
      <w:r w:rsidR="00882859" w:rsidRPr="004B62BE">
        <w:t xml:space="preserve">, 207 N.C. App. </w:t>
      </w:r>
      <w:r w:rsidR="00E65D19" w:rsidRPr="004B62BE">
        <w:t>at</w:t>
      </w:r>
      <w:r w:rsidR="00882859" w:rsidRPr="004B62BE">
        <w:t xml:space="preserve"> 388</w:t>
      </w:r>
      <w:r w:rsidR="008B1FCD" w:rsidRPr="004B62BE">
        <w:t>;</w:t>
      </w:r>
      <w:r w:rsidR="008B1FCD" w:rsidRPr="004B62BE">
        <w:rPr>
          <w:i/>
        </w:rPr>
        <w:t xml:space="preserve"> s</w:t>
      </w:r>
      <w:r w:rsidR="00931224" w:rsidRPr="004B62BE">
        <w:rPr>
          <w:i/>
        </w:rPr>
        <w:t>ee</w:t>
      </w:r>
      <w:r w:rsidR="008B1FCD" w:rsidRPr="004B62BE">
        <w:rPr>
          <w:i/>
        </w:rPr>
        <w:t xml:space="preserve"> generally</w:t>
      </w:r>
      <w:r w:rsidR="00931224" w:rsidRPr="004B62BE">
        <w:rPr>
          <w:i/>
        </w:rPr>
        <w:t xml:space="preserve"> </w:t>
      </w:r>
      <w:r w:rsidR="00042C77" w:rsidRPr="004B62BE">
        <w:t>Allen v. United States, 164 U.S. 492, 501–02 (1896) (approving of the use of jury instructions that encourage the jury to reach a verdict, if possible)</w:t>
      </w:r>
      <w:r w:rsidR="001F02BD" w:rsidRPr="004B62BE">
        <w:t xml:space="preserve">. </w:t>
      </w:r>
      <w:r w:rsidR="00CB3180" w:rsidRPr="004B62BE">
        <w:t xml:space="preserve">North Carolina </w:t>
      </w:r>
      <w:r w:rsidR="00302C29" w:rsidRPr="004B62BE">
        <w:t xml:space="preserve">Criminal Pattern Jury Instruction </w:t>
      </w:r>
      <w:r w:rsidR="00042C77" w:rsidRPr="004B62BE">
        <w:t>101.40</w:t>
      </w:r>
      <w:r w:rsidR="00302C29" w:rsidRPr="004B62BE">
        <w:t xml:space="preserve"> provides an alternative </w:t>
      </w:r>
      <w:r w:rsidR="00302C29" w:rsidRPr="004B62BE">
        <w:rPr>
          <w:i/>
        </w:rPr>
        <w:t xml:space="preserve">Allen </w:t>
      </w:r>
      <w:r w:rsidR="00302C29" w:rsidRPr="004B62BE">
        <w:t xml:space="preserve">instruction. </w:t>
      </w:r>
      <w:r w:rsidR="00CB3180" w:rsidRPr="004B62BE">
        <w:t xml:space="preserve">North Carolina </w:t>
      </w:r>
      <w:r w:rsidR="00C52F72" w:rsidRPr="004B62BE">
        <w:t>case</w:t>
      </w:r>
      <w:r w:rsidR="00225ADC" w:rsidRPr="004B62BE">
        <w:t>s</w:t>
      </w:r>
      <w:r w:rsidR="00CB3180" w:rsidRPr="004B62BE">
        <w:t xml:space="preserve"> repeatedly </w:t>
      </w:r>
      <w:r w:rsidR="00C52F72" w:rsidRPr="004B62BE">
        <w:t xml:space="preserve">have </w:t>
      </w:r>
      <w:r w:rsidR="00CB3180" w:rsidRPr="004B62BE">
        <w:t xml:space="preserve">approved of this pattern instruction. </w:t>
      </w:r>
      <w:r w:rsidR="00042C77" w:rsidRPr="004B62BE">
        <w:t>State v. Gettys, 219 N.C. App. 93, 104-05 (2012) (“[T]he pattern jury instructions provide the substance of each of the guidelines contained in the statute.”)</w:t>
      </w:r>
      <w:r w:rsidR="00F4796B" w:rsidRPr="004B62BE">
        <w:t xml:space="preserve">; </w:t>
      </w:r>
      <w:r w:rsidR="00042C77" w:rsidRPr="004B62BE">
        <w:t>State v. Walters, 209 N.C. App. 158, 165 (2011) (noting that the instructions in G.S. 15A-1235 and N.C.P.I.—Crim. 101.40 are “virtually identical”)</w:t>
      </w:r>
      <w:r w:rsidR="00CB3180" w:rsidRPr="004B62BE">
        <w:t xml:space="preserve">; </w:t>
      </w:r>
      <w:r w:rsidR="00042C77" w:rsidRPr="004B62BE">
        <w:t>State v. Price, 201 N.C. App. 153, 157 (2009) (approving of the pattern jury instruction even though, unlike G.S. 15A-1235, it instructs that the jury has a “duty to do whatever [it] can to reach a verdict”)</w:t>
      </w:r>
      <w:r w:rsidR="00CB3180" w:rsidRPr="004B62BE">
        <w:t>.</w:t>
      </w:r>
    </w:p>
    <w:p w14:paraId="3BF13620" w14:textId="50079CFF" w:rsidR="00F4796B" w:rsidRPr="00A26A17" w:rsidRDefault="00931224" w:rsidP="007166D2">
      <w:pPr>
        <w:pStyle w:val="ListParagraph"/>
        <w:ind w:left="2160" w:firstLine="720"/>
      </w:pPr>
      <w:r w:rsidRPr="004B62BE">
        <w:t xml:space="preserve">When the trial judge opts to instruct the jury pursuant to G.S. 15A-1235(b), the trial judge </w:t>
      </w:r>
      <w:r w:rsidR="00C61669">
        <w:t>must</w:t>
      </w:r>
      <w:r w:rsidRPr="004B62BE">
        <w:t xml:space="preserve"> give the entire instruction. </w:t>
      </w:r>
      <w:r w:rsidR="00042C77" w:rsidRPr="004B62BE">
        <w:t>State v. Aikens, 342 N.C. 567, 579 (1996)</w:t>
      </w:r>
      <w:r w:rsidR="00302C29" w:rsidRPr="004B62BE">
        <w:t>;</w:t>
      </w:r>
      <w:r w:rsidR="00F80938" w:rsidRPr="004B62BE">
        <w:t xml:space="preserve"> </w:t>
      </w:r>
      <w:r w:rsidR="00042C77" w:rsidRPr="004B62BE">
        <w:t>State v. Williams, 315 N.C. 310, 327 (1986)</w:t>
      </w:r>
      <w:r w:rsidR="00DF6E38" w:rsidRPr="004B62BE">
        <w:t>.</w:t>
      </w:r>
      <w:r w:rsidRPr="004B62BE">
        <w:t xml:space="preserve"> </w:t>
      </w:r>
      <w:r w:rsidR="00302C29" w:rsidRPr="004B62BE">
        <w:t xml:space="preserve">However, a variance from the statutory advisements </w:t>
      </w:r>
      <w:r w:rsidRPr="004B62BE">
        <w:t xml:space="preserve">will not </w:t>
      </w:r>
      <w:r w:rsidR="007166D2" w:rsidRPr="004B62BE">
        <w:t>require a new trial</w:t>
      </w:r>
      <w:r w:rsidRPr="004B62BE">
        <w:t xml:space="preserve"> if the judge’s instruction contained the substance of the statute. </w:t>
      </w:r>
      <w:r w:rsidR="00042C77" w:rsidRPr="004B62BE">
        <w:rPr>
          <w:i/>
        </w:rPr>
        <w:t>Aikens</w:t>
      </w:r>
      <w:r w:rsidR="00042C77" w:rsidRPr="004B62BE">
        <w:t>, 342 N.C. at 579-80</w:t>
      </w:r>
      <w:r w:rsidR="00C52F72" w:rsidRPr="004B62BE">
        <w:t xml:space="preserve">; </w:t>
      </w:r>
      <w:r w:rsidR="00C52F72" w:rsidRPr="004B62BE">
        <w:rPr>
          <w:i/>
        </w:rPr>
        <w:t>see also</w:t>
      </w:r>
      <w:r w:rsidR="00C61669">
        <w:rPr>
          <w:i/>
        </w:rPr>
        <w:t xml:space="preserve"> </w:t>
      </w:r>
      <w:r w:rsidR="00C61669">
        <w:rPr>
          <w:iCs/>
        </w:rPr>
        <w:t>State v. May, 368 N.C. 112 (2015) (</w:t>
      </w:r>
      <w:r w:rsidR="005B538A">
        <w:rPr>
          <w:iCs/>
        </w:rPr>
        <w:t xml:space="preserve">citing </w:t>
      </w:r>
      <w:r w:rsidR="005B538A">
        <w:rPr>
          <w:i/>
        </w:rPr>
        <w:t xml:space="preserve">Aikens </w:t>
      </w:r>
      <w:r w:rsidR="005B538A">
        <w:rPr>
          <w:iCs/>
        </w:rPr>
        <w:t xml:space="preserve">and finding </w:t>
      </w:r>
      <w:r w:rsidR="00C61669">
        <w:rPr>
          <w:iCs/>
        </w:rPr>
        <w:t>no error in trial judge’s instructions that “substantially tracked the language of [G.S. 15A-1235(b)]”);</w:t>
      </w:r>
      <w:r w:rsidR="00C52F72" w:rsidRPr="004B62BE">
        <w:rPr>
          <w:i/>
        </w:rPr>
        <w:t xml:space="preserve"> </w:t>
      </w:r>
      <w:r w:rsidR="00042C77" w:rsidRPr="004B62BE">
        <w:rPr>
          <w:i/>
        </w:rPr>
        <w:t>Williams</w:t>
      </w:r>
      <w:r w:rsidR="00042C77" w:rsidRPr="004B62BE">
        <w:t>, 315 N.C. at 327-28 (“We have recognized that every variance from the procedures set forth in the statute does not require the granting of a new trial.” (quotation omitted))</w:t>
      </w:r>
      <w:r w:rsidR="007166D2" w:rsidRPr="004B62BE">
        <w:t xml:space="preserve">. </w:t>
      </w:r>
      <w:r w:rsidR="00F4796B" w:rsidRPr="004B62BE">
        <w:t xml:space="preserve">As the court of appeals has put it: “[T]he instructions contained in the statute are ‘guidelines’ and need not be </w:t>
      </w:r>
      <w:r w:rsidR="00F4796B" w:rsidRPr="004B62BE">
        <w:lastRenderedPageBreak/>
        <w:t xml:space="preserve">given verbatim.” </w:t>
      </w:r>
      <w:r w:rsidR="00042C77" w:rsidRPr="004B62BE">
        <w:t>State v. Gettys, 219 N.C. App. 93, 103 (2012)</w:t>
      </w:r>
      <w:r w:rsidR="00471C9B">
        <w:t xml:space="preserve">; </w:t>
      </w:r>
      <w:r w:rsidR="00853203">
        <w:rPr>
          <w:i/>
          <w:iCs/>
        </w:rPr>
        <w:t xml:space="preserve">see also </w:t>
      </w:r>
      <w:r w:rsidR="005B538A">
        <w:t>State v. Garrett, 277 N.C. App. 493, 502 (2021) (trial judge’s instructions properly communicated “all of the core ideas” of G.S. 15A-1235(b));</w:t>
      </w:r>
      <w:r w:rsidR="00471C9B">
        <w:t xml:space="preserve">State v. Harris, 235 N.C. App. 322, 336 (2017) (noting that statutory instructions are “guidelines” but that trial </w:t>
      </w:r>
      <w:r w:rsidR="00F26E88">
        <w:t>judge</w:t>
      </w:r>
      <w:r w:rsidR="00471C9B">
        <w:t xml:space="preserve"> erred by not giving entire G.S. 15A-1235(b) instruction)</w:t>
      </w:r>
      <w:r w:rsidR="00F4796B" w:rsidRPr="004B62BE">
        <w:t>.</w:t>
      </w:r>
      <w:r w:rsidR="00041ED8">
        <w:t xml:space="preserve"> While the statutory instructions need not be given verbatim, appellate </w:t>
      </w:r>
      <w:r w:rsidR="009172C8">
        <w:t xml:space="preserve">court </w:t>
      </w:r>
      <w:r w:rsidR="00041ED8">
        <w:t>opinions</w:t>
      </w:r>
      <w:r w:rsidR="0099073A">
        <w:t xml:space="preserve"> </w:t>
      </w:r>
      <w:r w:rsidR="00041ED8">
        <w:t xml:space="preserve">emphasize the importance of avoiding any instruction that might </w:t>
      </w:r>
      <w:r w:rsidR="00A26A17">
        <w:t>“</w:t>
      </w:r>
      <w:r w:rsidR="00A26A17" w:rsidRPr="00A26A17">
        <w:t>reasonably be construed by a juror as requiring him to surrender his well-founded convictions or judgments to the views of the majority</w:t>
      </w:r>
      <w:r w:rsidR="00A26A17">
        <w:t xml:space="preserve">.” </w:t>
      </w:r>
      <w:r w:rsidR="00A26A17">
        <w:rPr>
          <w:i/>
          <w:iCs/>
        </w:rPr>
        <w:t>See, e.g.</w:t>
      </w:r>
      <w:r w:rsidR="00A26A17">
        <w:t xml:space="preserve">, </w:t>
      </w:r>
      <w:r w:rsidR="00A26A17" w:rsidRPr="00C223DE">
        <w:rPr>
          <w:i/>
          <w:iCs/>
        </w:rPr>
        <w:t>Garrett</w:t>
      </w:r>
      <w:r w:rsidR="00A26A17">
        <w:t xml:space="preserve">, 277 N.C. App. </w:t>
      </w:r>
      <w:r w:rsidR="0099073A">
        <w:t>at</w:t>
      </w:r>
      <w:r w:rsidR="00A26A17">
        <w:t xml:space="preserve"> 502 (quoting State v. Alston, 294 N.C. 577, 593 (1978)); </w:t>
      </w:r>
      <w:r w:rsidR="007C5238">
        <w:t xml:space="preserve">State v. Blackwell, </w:t>
      </w:r>
      <w:r w:rsidR="0099073A">
        <w:t xml:space="preserve">228 N.C. App. 439, 444 (2013) (same); </w:t>
      </w:r>
      <w:r w:rsidR="00A26A17">
        <w:t>State v. Lamb, 44 N.C. App. 251, 254 (1979) (stating that “such an instruction violates the basic tenants of American justice”)</w:t>
      </w:r>
      <w:r w:rsidR="00F26E88">
        <w:t xml:space="preserve">; </w:t>
      </w:r>
      <w:r w:rsidR="00F26E88">
        <w:rPr>
          <w:i/>
          <w:iCs/>
        </w:rPr>
        <w:t xml:space="preserve">see also </w:t>
      </w:r>
      <w:r w:rsidR="00F26E88">
        <w:t>State v. Jackson, 277 N.C. App. 106, 112 (2021) (trial judge’s instruction to resume deliberations “with a goal of reaching a unanimous decision” did not improperly compel any juror to surrender his or her well-founded convictions or judgment)</w:t>
      </w:r>
      <w:r w:rsidR="00A26A17">
        <w:t>.</w:t>
      </w:r>
    </w:p>
    <w:p w14:paraId="2FB648EF" w14:textId="21B58BCB" w:rsidR="0085427F" w:rsidRPr="004B62BE" w:rsidRDefault="0060157E" w:rsidP="00302C29">
      <w:pPr>
        <w:pStyle w:val="ListParagraph"/>
        <w:ind w:left="2160" w:firstLine="720"/>
      </w:pPr>
      <w:r w:rsidRPr="004B62BE">
        <w:t>The decision w</w:t>
      </w:r>
      <w:r w:rsidR="00771BE3" w:rsidRPr="004B62BE">
        <w:t xml:space="preserve">hether to give the instruction </w:t>
      </w:r>
      <w:r w:rsidR="00E31E63" w:rsidRPr="004B62BE">
        <w:t>in G.S. 15A-1235</w:t>
      </w:r>
      <w:r w:rsidRPr="004B62BE">
        <w:t>(b)</w:t>
      </w:r>
      <w:r w:rsidR="00E31E63" w:rsidRPr="004B62BE">
        <w:t xml:space="preserve"> </w:t>
      </w:r>
      <w:r w:rsidR="00771BE3" w:rsidRPr="004B62BE">
        <w:t>is within the judge’s discretion</w:t>
      </w:r>
      <w:r w:rsidR="00EA05DF" w:rsidRPr="004B62BE">
        <w:t>.</w:t>
      </w:r>
      <w:r w:rsidR="00D814FD" w:rsidRPr="004B62BE">
        <w:t xml:space="preserve"> </w:t>
      </w:r>
      <w:r w:rsidR="00225ADC" w:rsidRPr="004B62BE">
        <w:rPr>
          <w:i/>
        </w:rPr>
        <w:t xml:space="preserve">See, e.g., </w:t>
      </w:r>
      <w:r w:rsidR="00042C77" w:rsidRPr="004B62BE">
        <w:rPr>
          <w:i/>
        </w:rPr>
        <w:t>Porter</w:t>
      </w:r>
      <w:r w:rsidR="00042C77" w:rsidRPr="004B62BE">
        <w:t>, 340 N.C. at 336 (no abuse of discretion to require the jury to continue deliberations without giving the instruction)</w:t>
      </w:r>
      <w:r w:rsidR="00EA05DF" w:rsidRPr="004B62BE">
        <w:t>.</w:t>
      </w:r>
      <w:r w:rsidR="00771BE3" w:rsidRPr="004B62BE">
        <w:t xml:space="preserve"> </w:t>
      </w:r>
      <w:r w:rsidR="0085427F" w:rsidRPr="004B62BE">
        <w:t>However, at least one case found that a verdict was coerced where</w:t>
      </w:r>
      <w:r w:rsidR="009E3ACC" w:rsidRPr="004B62BE">
        <w:t>, among other things,</w:t>
      </w:r>
      <w:r w:rsidR="0085427F" w:rsidRPr="004B62BE">
        <w:t xml:space="preserve"> the instruction was not given after the jury indicated it was having difficulty reaching a verdict and added: “the best practice would have been simply to repeat in toto the instructions of G.S. 15A-1235(b).” </w:t>
      </w:r>
      <w:r w:rsidR="00042C77" w:rsidRPr="004B62BE">
        <w:t>State v. McEntire, 71 N.C. App. 720, 724-25 (1984)</w:t>
      </w:r>
      <w:r w:rsidR="0085427F" w:rsidRPr="004B62BE">
        <w:t xml:space="preserve">. </w:t>
      </w:r>
    </w:p>
    <w:p w14:paraId="7F18D475" w14:textId="77777777" w:rsidR="003E019B" w:rsidRPr="004B62BE" w:rsidRDefault="00EA05DF" w:rsidP="00302C29">
      <w:pPr>
        <w:pStyle w:val="ListParagraph"/>
        <w:ind w:left="2160" w:firstLine="720"/>
      </w:pPr>
      <w:r w:rsidRPr="004B62BE">
        <w:t>It</w:t>
      </w:r>
      <w:r w:rsidR="00771BE3" w:rsidRPr="004B62BE">
        <w:t xml:space="preserve"> is not error to give the </w:t>
      </w:r>
      <w:r w:rsidR="0085427F" w:rsidRPr="004B62BE">
        <w:t xml:space="preserve">G.S. 15A-1235(b) </w:t>
      </w:r>
      <w:r w:rsidR="00771BE3" w:rsidRPr="004B62BE">
        <w:t xml:space="preserve">instruction over objections by the parties. </w:t>
      </w:r>
      <w:r w:rsidR="00042C77" w:rsidRPr="004B62BE">
        <w:t>State v. Smith, 194 N.C. App. 120, 129-31 (2008)</w:t>
      </w:r>
      <w:r w:rsidR="00771BE3" w:rsidRPr="004B62BE">
        <w:t xml:space="preserve">. </w:t>
      </w:r>
      <w:r w:rsidR="0085427F" w:rsidRPr="004B62BE">
        <w:t>Additionally, t</w:t>
      </w:r>
      <w:r w:rsidRPr="004B62BE">
        <w:t xml:space="preserve">he </w:t>
      </w:r>
      <w:r w:rsidR="00771BE3" w:rsidRPr="004B62BE">
        <w:t xml:space="preserve">instruction </w:t>
      </w:r>
      <w:r w:rsidR="00225ADC" w:rsidRPr="004B62BE">
        <w:t>may</w:t>
      </w:r>
      <w:r w:rsidR="00771BE3" w:rsidRPr="004B62BE">
        <w:t xml:space="preserve"> be given in the absence of any indication that the jury is having difficulty reaching a verdict</w:t>
      </w:r>
      <w:r w:rsidRPr="004B62BE">
        <w:t xml:space="preserve"> and </w:t>
      </w:r>
      <w:r w:rsidR="00771BE3" w:rsidRPr="004B62BE">
        <w:t xml:space="preserve">before deliberations have become lengthy. </w:t>
      </w:r>
      <w:r w:rsidR="00042C77" w:rsidRPr="004B62BE">
        <w:rPr>
          <w:i/>
        </w:rPr>
        <w:t>Id.</w:t>
      </w:r>
    </w:p>
    <w:p w14:paraId="769B9253" w14:textId="702B0E48" w:rsidR="00EA05DF" w:rsidRPr="004B62BE" w:rsidRDefault="00797E08" w:rsidP="00EA05DF">
      <w:pPr>
        <w:pStyle w:val="ListParagraph"/>
        <w:numPr>
          <w:ilvl w:val="0"/>
          <w:numId w:val="10"/>
        </w:numPr>
        <w:ind w:left="2160" w:hanging="720"/>
      </w:pPr>
      <w:bookmarkStart w:id="9" w:name="_Toc409106982"/>
      <w:r w:rsidRPr="004B62BE">
        <w:rPr>
          <w:rStyle w:val="Heading3Char"/>
        </w:rPr>
        <w:t xml:space="preserve">May Require Continued Deliberations </w:t>
      </w:r>
      <w:r w:rsidR="00882859" w:rsidRPr="004B62BE">
        <w:rPr>
          <w:rStyle w:val="Heading3Char"/>
        </w:rPr>
        <w:t>Even a</w:t>
      </w:r>
      <w:r w:rsidRPr="004B62BE">
        <w:rPr>
          <w:rStyle w:val="Heading3Char"/>
        </w:rPr>
        <w:t>fter Report of Deadlock</w:t>
      </w:r>
      <w:bookmarkEnd w:id="9"/>
      <w:r w:rsidRPr="004B62BE">
        <w:rPr>
          <w:b/>
        </w:rPr>
        <w:t>.</w:t>
      </w:r>
      <w:r w:rsidRPr="004B62BE">
        <w:t xml:space="preserve"> Appellate courts have </w:t>
      </w:r>
      <w:r w:rsidR="00882859" w:rsidRPr="004B62BE">
        <w:t xml:space="preserve">repeatedly </w:t>
      </w:r>
      <w:r w:rsidRPr="004B62BE">
        <w:t xml:space="preserve">upheld </w:t>
      </w:r>
      <w:r w:rsidR="00EA05DF" w:rsidRPr="004B62BE">
        <w:t xml:space="preserve">action by the trial court requiring continued deliberations </w:t>
      </w:r>
      <w:r w:rsidRPr="004B62BE">
        <w:t>despite indications</w:t>
      </w:r>
      <w:r w:rsidR="009957D5" w:rsidRPr="004B62BE">
        <w:t>, even repeated ones,</w:t>
      </w:r>
      <w:r w:rsidRPr="004B62BE">
        <w:t xml:space="preserve"> from the jury that it </w:t>
      </w:r>
      <w:r w:rsidR="00225ADC" w:rsidRPr="004B62BE">
        <w:t>i</w:t>
      </w:r>
      <w:r w:rsidRPr="004B62BE">
        <w:t xml:space="preserve">s at a standstill or hopelessly deadlocked. </w:t>
      </w:r>
      <w:r w:rsidR="0036415F" w:rsidRPr="004B62BE">
        <w:rPr>
          <w:i/>
        </w:rPr>
        <w:t xml:space="preserve">See, e.g., </w:t>
      </w:r>
      <w:r w:rsidR="00042C77" w:rsidRPr="00A20122">
        <w:rPr>
          <w:i/>
          <w:iCs/>
        </w:rPr>
        <w:t>Blackwell</w:t>
      </w:r>
      <w:r w:rsidR="00042C77" w:rsidRPr="004B62BE">
        <w:t xml:space="preserve">, </w:t>
      </w:r>
      <w:r w:rsidR="00BA1ABE">
        <w:t>228</w:t>
      </w:r>
      <w:r w:rsidR="00042C77" w:rsidRPr="004B62BE">
        <w:t xml:space="preserve"> N.C. App. </w:t>
      </w:r>
      <w:r w:rsidR="007C5238">
        <w:t>at</w:t>
      </w:r>
      <w:r w:rsidR="00BA1ABE">
        <w:t xml:space="preserve"> 441-45</w:t>
      </w:r>
      <w:r w:rsidR="00042C77" w:rsidRPr="004B62BE">
        <w:t xml:space="preserve"> (no abuse of discretion to require jury to resume deliberations after it indicated that it was deadlocked 11-1)</w:t>
      </w:r>
      <w:r w:rsidRPr="004B62BE">
        <w:t xml:space="preserve">; </w:t>
      </w:r>
      <w:r w:rsidR="00042C77" w:rsidRPr="004B62BE">
        <w:t xml:space="preserve">State v. Summey, </w:t>
      </w:r>
      <w:r w:rsidR="00BA1ABE">
        <w:t>228</w:t>
      </w:r>
      <w:r w:rsidR="00042C77" w:rsidRPr="004B62BE">
        <w:t xml:space="preserve"> N.C. App. </w:t>
      </w:r>
      <w:r w:rsidR="00BA1ABE">
        <w:t>730, 739</w:t>
      </w:r>
      <w:r w:rsidR="00042C77" w:rsidRPr="004B62BE">
        <w:t xml:space="preserve"> (2013) (no abuse of discretion to require jury to continue deliberations after it indicated three times that it was deadlocked)</w:t>
      </w:r>
      <w:r w:rsidRPr="004B62BE">
        <w:t xml:space="preserve">; </w:t>
      </w:r>
      <w:r w:rsidR="00042C77" w:rsidRPr="004B62BE">
        <w:t>State v. Ross, 207 N.C. App. 379, 385 (2010) (no abuse of discretion to require continued deliberations after three notes from the jury indicating it was deadlocked, including a third note that read: “HUNG JURY. 11–1. (Deadlock)”)</w:t>
      </w:r>
      <w:r w:rsidR="009957D5" w:rsidRPr="004B62BE">
        <w:t xml:space="preserve">; </w:t>
      </w:r>
      <w:r w:rsidR="00042C77" w:rsidRPr="004B62BE">
        <w:t>State v. Baldwin, 141 N.C. App. 596, 608-09 (2000) (noting that the North Carolina Supreme Court has upheld trial court decisions to continue deliberations despite jury indications that it was at a standstill or hopelessly deadlocked; holding that the trial court did not err by refusing to declare a mistrial after the jury gave such an indication)</w:t>
      </w:r>
      <w:r w:rsidRPr="004B62BE">
        <w:t xml:space="preserve">. </w:t>
      </w:r>
    </w:p>
    <w:p w14:paraId="494963E0" w14:textId="067234A5" w:rsidR="001B3090" w:rsidRPr="004B62BE" w:rsidRDefault="00624407" w:rsidP="00E32A19">
      <w:pPr>
        <w:pStyle w:val="ListParagraph"/>
        <w:numPr>
          <w:ilvl w:val="0"/>
          <w:numId w:val="10"/>
        </w:numPr>
        <w:ind w:left="2160" w:hanging="720"/>
      </w:pPr>
      <w:bookmarkStart w:id="10" w:name="_Toc409106983"/>
      <w:r w:rsidRPr="004B62BE">
        <w:rPr>
          <w:rStyle w:val="Heading3Char"/>
        </w:rPr>
        <w:t>May Not Coerce a Verdict</w:t>
      </w:r>
      <w:bookmarkEnd w:id="10"/>
      <w:r w:rsidRPr="004B62BE">
        <w:rPr>
          <w:b/>
        </w:rPr>
        <w:t>.</w:t>
      </w:r>
      <w:r w:rsidRPr="004B62BE">
        <w:t xml:space="preserve"> </w:t>
      </w:r>
      <w:r w:rsidR="0049336D" w:rsidRPr="004B62BE">
        <w:t xml:space="preserve">Article I, </w:t>
      </w:r>
      <w:r w:rsidR="006C4632" w:rsidRPr="004B62BE">
        <w:t>s</w:t>
      </w:r>
      <w:r w:rsidR="0049336D" w:rsidRPr="004B62BE">
        <w:t xml:space="preserve">ection 24 of the </w:t>
      </w:r>
      <w:r w:rsidR="00B94B23" w:rsidRPr="004B62BE">
        <w:t xml:space="preserve">North Carolina </w:t>
      </w:r>
      <w:r w:rsidR="0049336D" w:rsidRPr="004B62BE">
        <w:t>Constitution</w:t>
      </w:r>
      <w:r w:rsidR="00B94B23" w:rsidRPr="004B62BE">
        <w:t xml:space="preserve"> has been interpreted to</w:t>
      </w:r>
      <w:r w:rsidR="0049336D" w:rsidRPr="004B62BE">
        <w:t xml:space="preserve"> prohibit a trial</w:t>
      </w:r>
      <w:r w:rsidR="00C22286" w:rsidRPr="004B62BE">
        <w:t xml:space="preserve"> court from coercing a jury to r</w:t>
      </w:r>
      <w:r w:rsidR="0049336D" w:rsidRPr="004B62BE">
        <w:t xml:space="preserve">eturn a verdict. </w:t>
      </w:r>
      <w:r w:rsidR="00042C77" w:rsidRPr="004B62BE">
        <w:t>State v. Patterson, 332 N.C. 409, 415 (1992)</w:t>
      </w:r>
      <w:r w:rsidR="00581877" w:rsidRPr="004B62BE">
        <w:t xml:space="preserve">; </w:t>
      </w:r>
      <w:r w:rsidR="00042C77" w:rsidRPr="004B62BE">
        <w:rPr>
          <w:i/>
        </w:rPr>
        <w:t>Summey</w:t>
      </w:r>
      <w:r w:rsidR="00042C77" w:rsidRPr="004B62BE">
        <w:t xml:space="preserve">, </w:t>
      </w:r>
      <w:r w:rsidR="009E253E">
        <w:t>228</w:t>
      </w:r>
      <w:r w:rsidR="00042C77" w:rsidRPr="004B62BE">
        <w:t xml:space="preserve"> N.C. App.</w:t>
      </w:r>
      <w:r w:rsidR="00654C7B" w:rsidRPr="004B62BE">
        <w:t xml:space="preserve"> </w:t>
      </w:r>
      <w:r w:rsidR="00042C77" w:rsidRPr="004B62BE">
        <w:t xml:space="preserve">at </w:t>
      </w:r>
      <w:r w:rsidR="009E253E">
        <w:t>740</w:t>
      </w:r>
      <w:r w:rsidR="00042C77" w:rsidRPr="004B62BE">
        <w:t xml:space="preserve"> (same)</w:t>
      </w:r>
      <w:r w:rsidR="0049336D" w:rsidRPr="004B62BE">
        <w:t xml:space="preserve">. </w:t>
      </w:r>
      <w:r w:rsidR="009957D5" w:rsidRPr="004B62BE">
        <w:t>Additionally, G.S. 15A-1235</w:t>
      </w:r>
      <w:r w:rsidR="006C4632" w:rsidRPr="004B62BE">
        <w:t>(c)</w:t>
      </w:r>
      <w:r w:rsidR="009957D5" w:rsidRPr="004B62BE">
        <w:t xml:space="preserve"> </w:t>
      </w:r>
      <w:r w:rsidR="009957D5" w:rsidRPr="004B62BE">
        <w:lastRenderedPageBreak/>
        <w:t>provides that the trial court “may not require or threaten to require the jury to deliberate for an unreasonable length of time or for unreasonable intervals.”</w:t>
      </w:r>
    </w:p>
    <w:p w14:paraId="1F896D9B" w14:textId="286FF191" w:rsidR="001B3090" w:rsidRPr="004B62BE" w:rsidRDefault="001B3090" w:rsidP="001B3090">
      <w:pPr>
        <w:pStyle w:val="ListParagraph"/>
        <w:numPr>
          <w:ilvl w:val="1"/>
          <w:numId w:val="10"/>
        </w:numPr>
        <w:ind w:left="2880" w:hanging="720"/>
      </w:pPr>
      <w:r w:rsidRPr="004B62BE">
        <w:rPr>
          <w:b/>
        </w:rPr>
        <w:t>Totality of Circumstances Analysis.</w:t>
      </w:r>
      <w:r w:rsidRPr="004B62BE">
        <w:t xml:space="preserve"> </w:t>
      </w:r>
      <w:r w:rsidR="00624407" w:rsidRPr="004B62BE">
        <w:t xml:space="preserve">In determining whether </w:t>
      </w:r>
      <w:r w:rsidR="00B90185" w:rsidRPr="004B62BE">
        <w:t xml:space="preserve">the trial court's instructions </w:t>
      </w:r>
      <w:r w:rsidR="00624407" w:rsidRPr="004B62BE">
        <w:t>forced a verdict or merely served as a catalyst for further deliberation, the courts consider the totality of the circumstances.</w:t>
      </w:r>
      <w:r w:rsidR="00B90185" w:rsidRPr="004B62BE">
        <w:t xml:space="preserve"> </w:t>
      </w:r>
      <w:r w:rsidR="009E253E" w:rsidRPr="00A20122">
        <w:rPr>
          <w:i/>
          <w:iCs/>
        </w:rPr>
        <w:t>May</w:t>
      </w:r>
      <w:r w:rsidR="009E253E">
        <w:t xml:space="preserve">, 368 N.C. 112; </w:t>
      </w:r>
      <w:r w:rsidR="00042C77" w:rsidRPr="004B62BE">
        <w:rPr>
          <w:i/>
        </w:rPr>
        <w:t>Porter</w:t>
      </w:r>
      <w:r w:rsidR="00042C77" w:rsidRPr="004B62BE">
        <w:t>, 340 N.C. at 335</w:t>
      </w:r>
      <w:r w:rsidR="00D814FD" w:rsidRPr="004B62BE">
        <w:t xml:space="preserve">; </w:t>
      </w:r>
      <w:r w:rsidR="00042C77" w:rsidRPr="004B62BE">
        <w:rPr>
          <w:i/>
        </w:rPr>
        <w:t>Patterson</w:t>
      </w:r>
      <w:r w:rsidR="00042C77" w:rsidRPr="004B62BE">
        <w:t>, 332 N.C. at 416</w:t>
      </w:r>
      <w:r w:rsidR="0049336D" w:rsidRPr="004B62BE">
        <w:t xml:space="preserve">; </w:t>
      </w:r>
      <w:r w:rsidR="00042C77" w:rsidRPr="004B62BE">
        <w:t>State v. Beaver, 322 N.C. 462, 464 (1988)</w:t>
      </w:r>
      <w:r w:rsidR="00624407" w:rsidRPr="004B62BE">
        <w:t xml:space="preserve">. </w:t>
      </w:r>
    </w:p>
    <w:p w14:paraId="763E95FE" w14:textId="77777777" w:rsidR="00DF6E38" w:rsidRPr="004B62BE" w:rsidRDefault="001B3090" w:rsidP="001B3090">
      <w:pPr>
        <w:pStyle w:val="ListParagraph"/>
        <w:numPr>
          <w:ilvl w:val="1"/>
          <w:numId w:val="10"/>
        </w:numPr>
        <w:ind w:left="2880" w:hanging="720"/>
      </w:pPr>
      <w:r w:rsidRPr="004B62BE">
        <w:rPr>
          <w:b/>
        </w:rPr>
        <w:t>Relevant Factors.</w:t>
      </w:r>
      <w:r w:rsidRPr="004B62BE">
        <w:t xml:space="preserve"> </w:t>
      </w:r>
      <w:r w:rsidR="00614F91" w:rsidRPr="004B62BE">
        <w:t>Factors suggesting coercion include:</w:t>
      </w:r>
    </w:p>
    <w:p w14:paraId="5A0D2470" w14:textId="77777777" w:rsidR="00CE46BC" w:rsidRPr="004B62BE" w:rsidRDefault="00CE46BC" w:rsidP="00CE46BC"/>
    <w:p w14:paraId="453BBD92" w14:textId="4ED29D4C" w:rsidR="00DF6E38" w:rsidRPr="004B62BE" w:rsidRDefault="00614F91" w:rsidP="001B3090">
      <w:pPr>
        <w:pStyle w:val="ListParagraph"/>
        <w:numPr>
          <w:ilvl w:val="0"/>
          <w:numId w:val="11"/>
        </w:numPr>
        <w:ind w:left="3240"/>
      </w:pPr>
      <w:r w:rsidRPr="004B62BE">
        <w:t xml:space="preserve">that the </w:t>
      </w:r>
      <w:r w:rsidR="00DF6E38" w:rsidRPr="004B62BE">
        <w:t>trial court conveyed an impression to the jurors that it was irritated with them for not reaching a verdict</w:t>
      </w:r>
      <w:r w:rsidR="00654C7B" w:rsidRPr="004B62BE">
        <w:t>;</w:t>
      </w:r>
      <w:r w:rsidR="00DF6E38" w:rsidRPr="004B62BE">
        <w:t xml:space="preserve"> </w:t>
      </w:r>
      <w:r w:rsidR="00042C77" w:rsidRPr="004B62BE">
        <w:t>State v. Nobles, 350 N.C. 483, 510 (1999)</w:t>
      </w:r>
      <w:r w:rsidR="00E31E63" w:rsidRPr="004B62BE">
        <w:t xml:space="preserve">; </w:t>
      </w:r>
      <w:r w:rsidR="00042C77" w:rsidRPr="004B62BE">
        <w:rPr>
          <w:i/>
        </w:rPr>
        <w:t>Porte</w:t>
      </w:r>
      <w:r w:rsidR="00042C77" w:rsidRPr="004B62BE">
        <w:t>r, 340 N.C. at 335 (rejecting the defendant’s argument that the trial court’s comments intimated that it was unhappy with the report of a deadlocked verdict)</w:t>
      </w:r>
      <w:r w:rsidR="00DF6E38" w:rsidRPr="004B62BE">
        <w:t xml:space="preserve">; </w:t>
      </w:r>
      <w:r w:rsidR="00042C77" w:rsidRPr="004B62BE">
        <w:rPr>
          <w:i/>
        </w:rPr>
        <w:t>Beaver</w:t>
      </w:r>
      <w:r w:rsidR="00042C77" w:rsidRPr="004B62BE">
        <w:t>, 322 N.C. at 464</w:t>
      </w:r>
      <w:r w:rsidR="00CE46BC" w:rsidRPr="004B62BE">
        <w:t>;</w:t>
      </w:r>
      <w:r w:rsidR="0033752E">
        <w:t xml:space="preserve"> State v. Cox, 256 N.C. App. 511, 526-27 (2017) (considering totality of the circumstances the trial court’s statement</w:t>
      </w:r>
      <w:r w:rsidR="00CE3F04">
        <w:t xml:space="preserve"> that</w:t>
      </w:r>
      <w:r w:rsidR="0033752E">
        <w:t xml:space="preserve"> “</w:t>
      </w:r>
      <w:r w:rsidR="0033752E" w:rsidRPr="0033752E">
        <w:t>after five days of testimony and less than 5 hours of deliberations, these folks deserve better</w:t>
      </w:r>
      <w:r w:rsidR="0033752E">
        <w:t>” did not convey the impression to jurors that trial court was irritated);</w:t>
      </w:r>
    </w:p>
    <w:p w14:paraId="1FE45E8F" w14:textId="52D4DFD5" w:rsidR="00DF6E38" w:rsidRPr="004B62BE" w:rsidRDefault="00614F91" w:rsidP="001B3090">
      <w:pPr>
        <w:pStyle w:val="ListParagraph"/>
        <w:numPr>
          <w:ilvl w:val="0"/>
          <w:numId w:val="11"/>
        </w:numPr>
        <w:ind w:left="3240"/>
      </w:pPr>
      <w:r w:rsidRPr="004B62BE">
        <w:t xml:space="preserve">that the </w:t>
      </w:r>
      <w:r w:rsidR="00DF6E38" w:rsidRPr="004B62BE">
        <w:t xml:space="preserve">trial court </w:t>
      </w:r>
      <w:r w:rsidRPr="004B62BE">
        <w:t xml:space="preserve">suggested to </w:t>
      </w:r>
      <w:r w:rsidR="006B756D" w:rsidRPr="004B62BE">
        <w:t xml:space="preserve">the </w:t>
      </w:r>
      <w:r w:rsidR="00DF6E38" w:rsidRPr="004B62BE">
        <w:t>jurors that it would hold them until they reached a verdict</w:t>
      </w:r>
      <w:r w:rsidRPr="004B62BE">
        <w:t>;</w:t>
      </w:r>
      <w:r w:rsidR="00DF6E38" w:rsidRPr="004B62BE">
        <w:t xml:space="preserve"> </w:t>
      </w:r>
      <w:r w:rsidR="00042C77" w:rsidRPr="004B62BE">
        <w:rPr>
          <w:i/>
        </w:rPr>
        <w:t>Nobles</w:t>
      </w:r>
      <w:r w:rsidR="00042C77" w:rsidRPr="004B62BE">
        <w:t>, 350 N.C. at 510</w:t>
      </w:r>
      <w:r w:rsidR="00E31E63" w:rsidRPr="004B62BE">
        <w:t xml:space="preserve">; </w:t>
      </w:r>
      <w:r w:rsidR="00042C77" w:rsidRPr="004B62BE">
        <w:rPr>
          <w:i/>
        </w:rPr>
        <w:t>Porter</w:t>
      </w:r>
      <w:r w:rsidR="00042C77" w:rsidRPr="004B62BE">
        <w:t>, 340 N.C. at 335 (rejecting the defendant’s argument that the trial court’s comments intimated that it would hold the jury until it reached a verdict)</w:t>
      </w:r>
      <w:r w:rsidR="00DF6E38" w:rsidRPr="004B62BE">
        <w:t>;</w:t>
      </w:r>
      <w:r w:rsidR="00CE46BC" w:rsidRPr="004B62BE">
        <w:t xml:space="preserve"> </w:t>
      </w:r>
      <w:r w:rsidR="00042C77" w:rsidRPr="004B62BE">
        <w:rPr>
          <w:i/>
        </w:rPr>
        <w:t>Beaver,</w:t>
      </w:r>
      <w:r w:rsidR="00042C77" w:rsidRPr="004B62BE">
        <w:t xml:space="preserve"> 322 N.C. at 464</w:t>
      </w:r>
      <w:r w:rsidR="00CE46BC" w:rsidRPr="004B62BE">
        <w:t xml:space="preserve">; </w:t>
      </w:r>
      <w:r w:rsidR="00C92CB5" w:rsidRPr="004B62BE">
        <w:rPr>
          <w:i/>
        </w:rPr>
        <w:t xml:space="preserve">see also </w:t>
      </w:r>
      <w:r w:rsidR="001C5978">
        <w:rPr>
          <w:iCs/>
        </w:rPr>
        <w:t xml:space="preserve">State v. Gillikin, 217 N.C. App. 256, 265 (2011) (reversible error to instruct jurors to “go back into that jury room [and] deliberate until you reach a unanimous verdict on all charges”); </w:t>
      </w:r>
      <w:r w:rsidR="00042C77" w:rsidRPr="004B62BE">
        <w:t xml:space="preserve">State v. Dexter, 151 N.C. App. 430, 433-34 (2002) (“Having notified the trial court on three separate occasions that it was unable to reach a unanimous verdict and not having been given an </w:t>
      </w:r>
      <w:r w:rsidR="00042C77" w:rsidRPr="004B62BE">
        <w:rPr>
          <w:i/>
        </w:rPr>
        <w:t>Allen</w:t>
      </w:r>
      <w:r w:rsidR="00042C77" w:rsidRPr="004B62BE">
        <w:t xml:space="preserve"> instruction after its final note to the trial court, the jury could reasonably have concluded that it was required to deliberate until it did in fact reach a verdict.”), </w:t>
      </w:r>
      <w:r w:rsidR="00042C77" w:rsidRPr="004B62BE">
        <w:rPr>
          <w:i/>
        </w:rPr>
        <w:t>aff’d</w:t>
      </w:r>
      <w:r w:rsidR="004F3D3C" w:rsidRPr="004B62BE">
        <w:t>,</w:t>
      </w:r>
      <w:r w:rsidR="00042C77" w:rsidRPr="004B62BE">
        <w:rPr>
          <w:i/>
        </w:rPr>
        <w:t xml:space="preserve"> </w:t>
      </w:r>
      <w:r w:rsidR="00042C77" w:rsidRPr="004B62BE">
        <w:t xml:space="preserve">356 N.C. 604 (2002) (per </w:t>
      </w:r>
      <w:proofErr w:type="spellStart"/>
      <w:r w:rsidR="00042C77" w:rsidRPr="004B62BE">
        <w:t>curiam</w:t>
      </w:r>
      <w:proofErr w:type="spellEnd"/>
      <w:r w:rsidR="00042C77" w:rsidRPr="004B62BE">
        <w:t>)</w:t>
      </w:r>
      <w:r w:rsidR="0085427F" w:rsidRPr="004B62BE">
        <w:t>;</w:t>
      </w:r>
      <w:r w:rsidR="00C92CB5" w:rsidRPr="004B62BE">
        <w:t xml:space="preserve"> </w:t>
      </w:r>
      <w:r w:rsidR="0085427F" w:rsidRPr="004B62BE">
        <w:t>and</w:t>
      </w:r>
    </w:p>
    <w:p w14:paraId="170C6998" w14:textId="72F545C9" w:rsidR="00ED6BAC" w:rsidRPr="004B62BE" w:rsidRDefault="00614F91" w:rsidP="001B3090">
      <w:pPr>
        <w:pStyle w:val="ListParagraph"/>
        <w:numPr>
          <w:ilvl w:val="0"/>
          <w:numId w:val="11"/>
        </w:numPr>
        <w:ind w:left="3240"/>
      </w:pPr>
      <w:r w:rsidRPr="004B62BE">
        <w:t xml:space="preserve">that the </w:t>
      </w:r>
      <w:r w:rsidR="00CE46BC" w:rsidRPr="004B62BE">
        <w:t xml:space="preserve">trial court told the jury a retrial would burden the court system. </w:t>
      </w:r>
      <w:r w:rsidR="00042C77" w:rsidRPr="004B62BE">
        <w:rPr>
          <w:i/>
        </w:rPr>
        <w:t>Nobles</w:t>
      </w:r>
      <w:r w:rsidR="00042C77" w:rsidRPr="004B62BE">
        <w:t>, 350 N.C. at 510</w:t>
      </w:r>
      <w:r w:rsidR="000D75FD" w:rsidRPr="004B62BE">
        <w:t xml:space="preserve">; </w:t>
      </w:r>
      <w:r w:rsidR="00042C77" w:rsidRPr="004B62BE">
        <w:rPr>
          <w:i/>
        </w:rPr>
        <w:t>Beaver,</w:t>
      </w:r>
      <w:r w:rsidR="00042C77" w:rsidRPr="004B62BE">
        <w:t xml:space="preserve"> 322 N.C. at 464.</w:t>
      </w:r>
      <w:r w:rsidR="00ED6BAC" w:rsidRPr="004B62BE">
        <w:t xml:space="preserve"> </w:t>
      </w:r>
    </w:p>
    <w:p w14:paraId="523BB74C" w14:textId="77777777" w:rsidR="00DF6E38" w:rsidRPr="004B62BE" w:rsidRDefault="00DF6E38" w:rsidP="00F80938">
      <w:pPr>
        <w:pStyle w:val="ListParagraph"/>
        <w:ind w:left="2160"/>
      </w:pPr>
    </w:p>
    <w:p w14:paraId="57F3B899" w14:textId="77777777" w:rsidR="00C92CB5" w:rsidRPr="004B62BE" w:rsidRDefault="00C92CB5" w:rsidP="00E32A19">
      <w:pPr>
        <w:pStyle w:val="ListParagraph"/>
        <w:ind w:left="2880" w:firstLine="360"/>
      </w:pPr>
      <w:r w:rsidRPr="004B62BE">
        <w:t xml:space="preserve">This is not an exclusive list, and other factors may be relevant, depending on the circumstances. </w:t>
      </w:r>
      <w:r w:rsidRPr="004B62BE">
        <w:rPr>
          <w:i/>
        </w:rPr>
        <w:t xml:space="preserve">See, e.g., </w:t>
      </w:r>
      <w:r w:rsidR="00042C77" w:rsidRPr="004B62BE">
        <w:rPr>
          <w:i/>
        </w:rPr>
        <w:t>Dexter</w:t>
      </w:r>
      <w:r w:rsidR="00042C77" w:rsidRPr="004B62BE">
        <w:t>, 151 N.C. App. at 434 (verdict was coerced, in part, where the trial judge failed to address one juror’s concerns about receiving permission to attend his wife's surgery the next day and as a result juror may have felt pressured to reach a verdict by the end of the day)</w:t>
      </w:r>
      <w:r w:rsidRPr="004B62BE">
        <w:t xml:space="preserve">; </w:t>
      </w:r>
      <w:r w:rsidR="00042C77" w:rsidRPr="004B62BE">
        <w:t>State v. McEntire, 71 N.C. App. 720, 724-25 (1984) (verdict was coerced where, among other things, the trial court failed to clearly stress to jurors that each of them must decide for him- or herself and not surrender his or her convictions for the mere purpose of returning a verdict)</w:t>
      </w:r>
      <w:r w:rsidR="0085427F" w:rsidRPr="004B62BE">
        <w:t xml:space="preserve">; </w:t>
      </w:r>
      <w:r w:rsidR="00042C77" w:rsidRPr="004B62BE">
        <w:t xml:space="preserve">State v. Sutton, 31 N.C. App. 697, 702 (1976) (verdict </w:t>
      </w:r>
      <w:r w:rsidR="00042C77" w:rsidRPr="004B62BE">
        <w:lastRenderedPageBreak/>
        <w:t>was coerced where the trial court told the jury “take no more than five minutes” to report to the court on its verdict)</w:t>
      </w:r>
      <w:r w:rsidRPr="004B62BE">
        <w:t xml:space="preserve">. </w:t>
      </w:r>
    </w:p>
    <w:p w14:paraId="3BFDA531" w14:textId="77777777" w:rsidR="008B1FCD" w:rsidRPr="004B62BE" w:rsidRDefault="00614F91" w:rsidP="00E32A19">
      <w:pPr>
        <w:pStyle w:val="ListParagraph"/>
        <w:ind w:left="2880" w:firstLine="360"/>
      </w:pPr>
      <w:r w:rsidRPr="004B62BE">
        <w:t>Regarding the second factor</w:t>
      </w:r>
      <w:r w:rsidR="00ED6BAC" w:rsidRPr="004B62BE">
        <w:t xml:space="preserve">, </w:t>
      </w:r>
      <w:r w:rsidRPr="004B62BE">
        <w:t xml:space="preserve">cases have held that </w:t>
      </w:r>
      <w:r w:rsidR="00225ADC" w:rsidRPr="004B62BE">
        <w:t xml:space="preserve">the </w:t>
      </w:r>
      <w:r w:rsidR="008B1FCD" w:rsidRPr="004B62BE">
        <w:t xml:space="preserve">following instructions </w:t>
      </w:r>
      <w:r w:rsidRPr="004B62BE">
        <w:t>do not constitute a suggestion</w:t>
      </w:r>
      <w:r w:rsidR="00ED6BAC" w:rsidRPr="004B62BE">
        <w:t xml:space="preserve"> that the trial court would hold the jurors until they reached a verdict</w:t>
      </w:r>
      <w:r w:rsidR="008B1FCD" w:rsidRPr="004B62BE">
        <w:t>:</w:t>
      </w:r>
    </w:p>
    <w:p w14:paraId="0CB719F4" w14:textId="77777777" w:rsidR="008B1FCD" w:rsidRPr="004B62BE" w:rsidRDefault="008B1FCD" w:rsidP="001B3090">
      <w:pPr>
        <w:pStyle w:val="ListParagraph"/>
        <w:ind w:left="2520"/>
      </w:pPr>
    </w:p>
    <w:p w14:paraId="676B4E40" w14:textId="5F9C3742" w:rsidR="008B1FCD" w:rsidRPr="004B62BE" w:rsidRDefault="008B1FCD" w:rsidP="00E32A19">
      <w:pPr>
        <w:pStyle w:val="ListParagraph"/>
        <w:numPr>
          <w:ilvl w:val="0"/>
          <w:numId w:val="13"/>
        </w:numPr>
        <w:ind w:left="3600"/>
      </w:pPr>
      <w:r w:rsidRPr="004B62BE">
        <w:t>a</w:t>
      </w:r>
      <w:r w:rsidR="00CE46BC" w:rsidRPr="004B62BE">
        <w:t xml:space="preserve"> statement that the</w:t>
      </w:r>
      <w:r w:rsidRPr="004B62BE">
        <w:t xml:space="preserve"> jurors w</w:t>
      </w:r>
      <w:r w:rsidR="00CE46BC" w:rsidRPr="004B62BE">
        <w:t>ould stay l</w:t>
      </w:r>
      <w:r w:rsidR="00D814FD" w:rsidRPr="004B62BE">
        <w:t>onger for further deliberation</w:t>
      </w:r>
      <w:r w:rsidR="00ED6BAC" w:rsidRPr="004B62BE">
        <w:t>s that evening “with a view towards reaching a unanimous verdict</w:t>
      </w:r>
      <w:r w:rsidR="00225ADC" w:rsidRPr="004B62BE">
        <w:t>,</w:t>
      </w:r>
      <w:r w:rsidR="00ED6BAC" w:rsidRPr="004B62BE">
        <w:t xml:space="preserve">” </w:t>
      </w:r>
      <w:r w:rsidR="00042C77" w:rsidRPr="004B62BE">
        <w:t>State v. Lee, 218 N.C. App. 42, 56 (2012)</w:t>
      </w:r>
      <w:r w:rsidRPr="004B62BE">
        <w:t>;</w:t>
      </w:r>
    </w:p>
    <w:p w14:paraId="1AA5D853" w14:textId="64364F86" w:rsidR="008B1FCD" w:rsidRPr="004B62BE" w:rsidRDefault="008B1FCD" w:rsidP="00E32A19">
      <w:pPr>
        <w:pStyle w:val="ListParagraph"/>
        <w:numPr>
          <w:ilvl w:val="0"/>
          <w:numId w:val="13"/>
        </w:numPr>
        <w:ind w:left="3600"/>
      </w:pPr>
      <w:r w:rsidRPr="004B62BE">
        <w:t xml:space="preserve">a statement that </w:t>
      </w:r>
      <w:r w:rsidR="00D814FD" w:rsidRPr="004B62BE">
        <w:t xml:space="preserve">“we've got all the time in the world” </w:t>
      </w:r>
      <w:r w:rsidRPr="004B62BE">
        <w:t>or</w:t>
      </w:r>
      <w:r w:rsidR="00D814FD" w:rsidRPr="004B62BE">
        <w:t xml:space="preserve"> “we've got all week</w:t>
      </w:r>
      <w:r w:rsidRPr="004B62BE">
        <w:t xml:space="preserve">, </w:t>
      </w:r>
      <w:r w:rsidR="00042C77" w:rsidRPr="004B62BE">
        <w:rPr>
          <w:i/>
        </w:rPr>
        <w:t>Porter</w:t>
      </w:r>
      <w:r w:rsidR="00D814FD" w:rsidRPr="004B62BE">
        <w:t xml:space="preserve">, 340 N.C. </w:t>
      </w:r>
      <w:r w:rsidR="006C716C" w:rsidRPr="004B62BE">
        <w:t>at</w:t>
      </w:r>
      <w:r w:rsidR="00D814FD" w:rsidRPr="004B62BE">
        <w:t xml:space="preserve"> 335</w:t>
      </w:r>
      <w:r w:rsidRPr="004B62BE">
        <w:t>;</w:t>
      </w:r>
    </w:p>
    <w:p w14:paraId="6768B148" w14:textId="68404402" w:rsidR="008B1FCD" w:rsidRPr="004B62BE" w:rsidRDefault="008B1FCD" w:rsidP="00E32A19">
      <w:pPr>
        <w:pStyle w:val="ListParagraph"/>
        <w:numPr>
          <w:ilvl w:val="0"/>
          <w:numId w:val="13"/>
        </w:numPr>
        <w:ind w:left="3600"/>
      </w:pPr>
      <w:r w:rsidRPr="004B62BE">
        <w:t>a statement at 4 pm on a Tuesday after the jury had been deliberating for seventy</w:t>
      </w:r>
      <w:r w:rsidR="001B2DFB" w:rsidRPr="004B62BE">
        <w:t>-five</w:t>
      </w:r>
      <w:r w:rsidRPr="004B62BE">
        <w:t xml:space="preserve"> minutes that</w:t>
      </w:r>
      <w:r w:rsidR="00A04DAB" w:rsidRPr="004B62BE">
        <w:t xml:space="preserve"> the jury would continue to deliberate for the remainder of the afternoon and</w:t>
      </w:r>
      <w:r w:rsidRPr="004B62BE">
        <w:t xml:space="preserve"> if </w:t>
      </w:r>
      <w:r w:rsidR="00A04DAB" w:rsidRPr="004B62BE">
        <w:t>they</w:t>
      </w:r>
      <w:r w:rsidRPr="004B62BE">
        <w:t xml:space="preserve"> needed more </w:t>
      </w:r>
      <w:proofErr w:type="gramStart"/>
      <w:r w:rsidRPr="004B62BE">
        <w:t>time</w:t>
      </w:r>
      <w:proofErr w:type="gramEnd"/>
      <w:r w:rsidRPr="004B62BE">
        <w:t xml:space="preserve"> they would come back the following day, </w:t>
      </w:r>
      <w:r w:rsidR="00042C77" w:rsidRPr="004B62BE">
        <w:rPr>
          <w:i/>
        </w:rPr>
        <w:t>Blackwell</w:t>
      </w:r>
      <w:r w:rsidR="00624407" w:rsidRPr="004B62BE">
        <w:t xml:space="preserve">, </w:t>
      </w:r>
      <w:r w:rsidR="00527CA7">
        <w:t>228</w:t>
      </w:r>
      <w:r w:rsidR="00A04DAB" w:rsidRPr="004B62BE">
        <w:t xml:space="preserve"> N.C. App. at </w:t>
      </w:r>
      <w:r w:rsidR="00527CA7">
        <w:t>445</w:t>
      </w:r>
      <w:r w:rsidR="00A04DAB" w:rsidRPr="004B62BE">
        <w:t>.</w:t>
      </w:r>
      <w:r w:rsidR="00624407" w:rsidRPr="004B62BE">
        <w:t xml:space="preserve"> </w:t>
      </w:r>
    </w:p>
    <w:p w14:paraId="3665FBC9" w14:textId="77777777" w:rsidR="008B1FCD" w:rsidRPr="004B62BE" w:rsidRDefault="008B1FCD" w:rsidP="001B3090">
      <w:pPr>
        <w:pStyle w:val="ListParagraph"/>
        <w:ind w:left="2520"/>
      </w:pPr>
    </w:p>
    <w:p w14:paraId="017925B1" w14:textId="32CCDBDF" w:rsidR="00904BDD" w:rsidRPr="00184A4D" w:rsidRDefault="00904BDD" w:rsidP="00E32A19">
      <w:pPr>
        <w:ind w:left="2880" w:firstLine="360"/>
      </w:pPr>
      <w:r w:rsidRPr="004B62BE">
        <w:t xml:space="preserve">Although older case law had authorized the trial court to inform the jurors that if they do not reach a verdict, another jury may be called upon to try the case, that approach was rejected when G.S. 15A-1235 was adopted. </w:t>
      </w:r>
      <w:r w:rsidR="00042C77" w:rsidRPr="004B62BE">
        <w:t>Official Commentary to G.S. 15A-1235</w:t>
      </w:r>
      <w:r w:rsidR="001F02BD" w:rsidRPr="004B62BE">
        <w:t xml:space="preserve">; </w:t>
      </w:r>
      <w:r w:rsidR="00443353">
        <w:t xml:space="preserve">State v. Easterling, 300 N.C. 594, 608 (1980) (error to so instruct a jury after adoption of G.S. 15A-1235); </w:t>
      </w:r>
      <w:r w:rsidR="00042C77" w:rsidRPr="004B62BE">
        <w:t>State v. Lamb, 44 N.C. App. 251, 260 (1979)</w:t>
      </w:r>
      <w:r w:rsidR="00443353">
        <w:t xml:space="preserve"> (same)</w:t>
      </w:r>
      <w:r w:rsidRPr="004B62BE">
        <w:t xml:space="preserve">. </w:t>
      </w:r>
      <w:r w:rsidR="00ED6BAC" w:rsidRPr="004B62BE">
        <w:t>And as noted above, a statement by the trial court that a retrial would burden the court system is a factor suggesting a coerced verdict.</w:t>
      </w:r>
    </w:p>
    <w:p w14:paraId="1FA79859" w14:textId="5BFB262B" w:rsidR="001B3090" w:rsidRPr="004B62BE" w:rsidRDefault="001B3090" w:rsidP="00E32A19">
      <w:pPr>
        <w:pStyle w:val="ListParagraph"/>
        <w:numPr>
          <w:ilvl w:val="1"/>
          <w:numId w:val="10"/>
        </w:numPr>
        <w:ind w:left="2880" w:hanging="720"/>
      </w:pPr>
      <w:r w:rsidRPr="004B62BE">
        <w:rPr>
          <w:b/>
        </w:rPr>
        <w:t>“Acquit First” Instruction Can Coerce Verdict.</w:t>
      </w:r>
      <w:r w:rsidRPr="004B62BE">
        <w:t xml:space="preserve"> The fact that the jury cannot reach a verdict on the principal charge does not preclude it from considering and returning a verdict on a lesser charge</w:t>
      </w:r>
      <w:r w:rsidR="00E32A19" w:rsidRPr="004B62BE">
        <w:t xml:space="preserve"> and an instruction suggesting otherwise may coerce the verdict</w:t>
      </w:r>
      <w:r w:rsidRPr="004B62BE">
        <w:t xml:space="preserve">. </w:t>
      </w:r>
      <w:r w:rsidR="00042C77" w:rsidRPr="004B62BE">
        <w:t>State v. Mays, 158 N.C. App. 563, 573-78 (2003) (in response to jury’s indication that it was deadlocked on first-degree murder, it was error for the trial court to give the jurors an “acquit first” instruction, telling them that they could not consider second-degree murder unless they had first unanimously decided to acquit the defendant of first-degree murder; noting that acquit first instructions can coerce a verdict and concluding that the legislature rejected such an approach when it enacted G.S. 15A-1237(e) (“If there are two or more offenses for which the jury could return a verdict, it may return a verdict with respect to any offense, including a lesser included offense on which the judge charged, as to which it agrees.”))</w:t>
      </w:r>
      <w:r w:rsidRPr="004B62BE">
        <w:t>. If the jury expresses confusion about whether it must acquit first on the primary charge, the court of appeals has recommended that the trial court inform the jury</w:t>
      </w:r>
    </w:p>
    <w:p w14:paraId="7B8C45C7" w14:textId="77777777" w:rsidR="001B3090" w:rsidRPr="004B62BE" w:rsidRDefault="001B3090" w:rsidP="00E32A19">
      <w:pPr>
        <w:pStyle w:val="ListParagraph"/>
        <w:ind w:left="3240" w:right="720"/>
      </w:pPr>
      <w:r w:rsidRPr="004B62BE">
        <w:t xml:space="preserve">(1) that the jury should first consider the primary offense, but it is not required to determine unanimously that the defendant is not guilty of that offense before it may consider a lesser included offense; and (2) that if the jury's verdict as to the primary offense is not guilty, or if, after all reasonable efforts, the jury is unable to </w:t>
      </w:r>
      <w:r w:rsidRPr="004B62BE">
        <w:lastRenderedPageBreak/>
        <w:t>reach a verdict as to that offense, then it may consider whether the defendant is guilty of the lesser included offense.</w:t>
      </w:r>
    </w:p>
    <w:p w14:paraId="4F5DD885" w14:textId="77777777" w:rsidR="001B3090" w:rsidRPr="004B62BE" w:rsidRDefault="00042C77" w:rsidP="00E32A19">
      <w:pPr>
        <w:pStyle w:val="ListParagraph"/>
        <w:ind w:left="2880"/>
      </w:pPr>
      <w:r w:rsidRPr="004B62BE">
        <w:rPr>
          <w:i/>
        </w:rPr>
        <w:t xml:space="preserve">Id. </w:t>
      </w:r>
      <w:r w:rsidRPr="004B62BE">
        <w:t>at 575</w:t>
      </w:r>
      <w:r w:rsidR="00E32A19" w:rsidRPr="004B62BE">
        <w:t>.</w:t>
      </w:r>
    </w:p>
    <w:p w14:paraId="5E4833DE" w14:textId="2152674E" w:rsidR="006B756D" w:rsidRPr="004B62BE" w:rsidRDefault="0035353C" w:rsidP="00BF797E">
      <w:pPr>
        <w:pStyle w:val="ListParagraph"/>
        <w:numPr>
          <w:ilvl w:val="1"/>
          <w:numId w:val="10"/>
        </w:numPr>
        <w:ind w:left="2880" w:hanging="720"/>
      </w:pPr>
      <w:r w:rsidRPr="004B62BE">
        <w:rPr>
          <w:b/>
        </w:rPr>
        <w:t xml:space="preserve">Inquiry About Numerical Division Not Inherently Coercive. </w:t>
      </w:r>
      <w:r w:rsidRPr="004B62BE">
        <w:t>A trial court’s</w:t>
      </w:r>
      <w:r w:rsidRPr="004B62BE">
        <w:rPr>
          <w:b/>
        </w:rPr>
        <w:t xml:space="preserve"> </w:t>
      </w:r>
      <w:r w:rsidRPr="004B62BE">
        <w:t xml:space="preserve">“inquiry as to a division, without asking which votes were for conviction or acquittal, is not inherently coercive.” </w:t>
      </w:r>
      <w:r w:rsidR="00042C77" w:rsidRPr="004B62BE">
        <w:t>State v. Beaver, 322 N.C. 462, 464 (1988)</w:t>
      </w:r>
      <w:r w:rsidRPr="004B62BE">
        <w:t xml:space="preserve">; </w:t>
      </w:r>
      <w:r w:rsidR="006B756D" w:rsidRPr="004B62BE">
        <w:rPr>
          <w:i/>
        </w:rPr>
        <w:t xml:space="preserve">see also </w:t>
      </w:r>
      <w:r w:rsidR="00042C77" w:rsidRPr="004B62BE">
        <w:t>State v. Fowler, 312 N.C. 304, 308 (1984)</w:t>
      </w:r>
      <w:r w:rsidR="00693E49">
        <w:t xml:space="preserve"> (</w:t>
      </w:r>
      <w:r w:rsidR="00BF797E">
        <w:t>finding that court’s question concerning the division of the jury was not coercive; trial judge was polite and did not hint that the court was displeased with the jury; after ascertaining the jury’s division late Friday afternoon, the court dismissed the jurors until Monday morning with thanks for their patience</w:t>
      </w:r>
      <w:r w:rsidR="00693E49">
        <w:t>)</w:t>
      </w:r>
      <w:r w:rsidR="006B756D" w:rsidRPr="004B62BE">
        <w:t xml:space="preserve">; </w:t>
      </w:r>
      <w:r w:rsidR="00042C77" w:rsidRPr="004B62BE">
        <w:t xml:space="preserve">State v. Nobles, 350 N.C. 483, 510 (1999) (citing </w:t>
      </w:r>
      <w:r w:rsidR="00042C77" w:rsidRPr="00BF797E">
        <w:rPr>
          <w:i/>
        </w:rPr>
        <w:t>Beaver</w:t>
      </w:r>
      <w:r w:rsidR="00042C77" w:rsidRPr="004B62BE">
        <w:t>)</w:t>
      </w:r>
      <w:r w:rsidRPr="004B62BE">
        <w:t>.</w:t>
      </w:r>
      <w:r w:rsidR="006B756D" w:rsidRPr="004B62BE">
        <w:t xml:space="preserve"> The courts have noted that inquiries into the division of the jury are “useful in timing recesses, in determining whether there has been progress toward a verdict, and in deciding whether to declare a mistrial because of a deadlocked jury.” </w:t>
      </w:r>
      <w:r w:rsidR="00042C77" w:rsidRPr="00BF797E">
        <w:rPr>
          <w:i/>
        </w:rPr>
        <w:t>Fowler</w:t>
      </w:r>
      <w:r w:rsidR="00042C77" w:rsidRPr="004B62BE">
        <w:t>, 312 N.C. at 309 (quotation omitted) (inquiry was necessary because term of court was ending that day)</w:t>
      </w:r>
      <w:r w:rsidR="006B756D" w:rsidRPr="004B62BE">
        <w:t>.</w:t>
      </w:r>
    </w:p>
    <w:p w14:paraId="12FAA56A" w14:textId="00A2E56D" w:rsidR="003E019B" w:rsidRPr="004B62BE" w:rsidRDefault="003E019B" w:rsidP="00D163D8">
      <w:pPr>
        <w:pStyle w:val="ListParagraph"/>
        <w:numPr>
          <w:ilvl w:val="1"/>
          <w:numId w:val="10"/>
        </w:numPr>
        <w:ind w:left="2880" w:hanging="720"/>
      </w:pPr>
      <w:r w:rsidRPr="004B62BE">
        <w:rPr>
          <w:b/>
        </w:rPr>
        <w:t>No Bright Line Rule as to Time.</w:t>
      </w:r>
      <w:r w:rsidRPr="004B62BE">
        <w:t xml:space="preserve"> </w:t>
      </w:r>
      <w:r w:rsidR="00DC2F19" w:rsidRPr="004B62BE">
        <w:t xml:space="preserve">As noted above, </w:t>
      </w:r>
      <w:r w:rsidR="00042C77" w:rsidRPr="004B62BE">
        <w:t>G.S. 15A-1235(c)</w:t>
      </w:r>
      <w:r w:rsidR="000D75FD" w:rsidRPr="004B62BE">
        <w:t xml:space="preserve"> provides that the judge may not require or threaten to require the jury to deliberate for an unreasonable length of time or for unreasonable intervals. </w:t>
      </w:r>
      <w:r w:rsidR="001B2DFB" w:rsidRPr="004B62BE">
        <w:t xml:space="preserve">The courts have declined to </w:t>
      </w:r>
      <w:r w:rsidRPr="004B62BE">
        <w:t xml:space="preserve">adopt a bright-line rule setting an outside time-limit on jury deliberations, or a rule that deliberations for a certain length of time, in relation to the length of time spent by the State presenting its evidence, is too long. </w:t>
      </w:r>
      <w:r w:rsidR="00042C77" w:rsidRPr="004B62BE">
        <w:rPr>
          <w:i/>
        </w:rPr>
        <w:t>Porter</w:t>
      </w:r>
      <w:r w:rsidR="00042C77" w:rsidRPr="004B62BE">
        <w:t>, 340 N.C. at 337 (“we decline to adopt any rule as to how long the jury should be allowed to deliberate which is based on the time required for the State to present evidence”; no abuse of discretion by the trial judge where the jury deliberated for four days before reaching a verdict in a case where only two days were used to present evidence)</w:t>
      </w:r>
      <w:r w:rsidR="00D814FD" w:rsidRPr="004B62BE">
        <w:t xml:space="preserve">; </w:t>
      </w:r>
      <w:r w:rsidR="00042C77" w:rsidRPr="004B62BE">
        <w:rPr>
          <w:i/>
        </w:rPr>
        <w:t>Beaver,</w:t>
      </w:r>
      <w:r w:rsidR="00042C77" w:rsidRPr="004B62BE">
        <w:t xml:space="preserve"> 322 N.C. at 465 (“The fact that the jury deliberated for a considerable length of time and into the weekend does not show the court coerced a verdict.”)</w:t>
      </w:r>
      <w:r w:rsidR="00D163D8" w:rsidRPr="004B62BE">
        <w:t xml:space="preserve">; </w:t>
      </w:r>
      <w:r w:rsidR="00042C77" w:rsidRPr="004B62BE">
        <w:t>State v. Phillpott, 213 N.C. App. 468, 476-78 (2011) (so noting the law and holding that it was no</w:t>
      </w:r>
      <w:r w:rsidR="00E3454D">
        <w:t>t</w:t>
      </w:r>
      <w:r w:rsidR="00042C77" w:rsidRPr="004B62BE">
        <w:t xml:space="preserve"> error to require jury to continue deliberations after having already deliberated nearly seven hours over two days)</w:t>
      </w:r>
      <w:r w:rsidRPr="004B62BE">
        <w:t xml:space="preserve">; </w:t>
      </w:r>
      <w:r w:rsidR="00042C77" w:rsidRPr="004B62BE">
        <w:t>State v. Baldwin, 141 N.C. App. 596, 608 (2000) (noting that no bright line rules apply and holding that no coercion occurred where the jury began deliberations at 2:10 pm on a Friday and returned a verdict at 11:04 pm, after having indicated earlier in the evening that it was at an impasse)</w:t>
      </w:r>
      <w:r w:rsidRPr="004B62BE">
        <w:t xml:space="preserve">; </w:t>
      </w:r>
      <w:r w:rsidR="00042C77" w:rsidRPr="004B62BE">
        <w:t>State v. Jones, 47 N.C. App. 554, 562 (1980) (stating a two-day period is not an “unreasonable” length of time for deliberations)</w:t>
      </w:r>
      <w:r w:rsidRPr="004B62BE">
        <w:t>.</w:t>
      </w:r>
    </w:p>
    <w:p w14:paraId="34A89E36" w14:textId="60CE3FEF" w:rsidR="00AE7392" w:rsidRPr="004B62BE" w:rsidRDefault="00DD401B" w:rsidP="00F80938">
      <w:pPr>
        <w:pStyle w:val="ListParagraph"/>
        <w:numPr>
          <w:ilvl w:val="0"/>
          <w:numId w:val="10"/>
        </w:numPr>
        <w:ind w:left="2160" w:hanging="720"/>
      </w:pPr>
      <w:bookmarkStart w:id="11" w:name="_Toc409106984"/>
      <w:r w:rsidRPr="004B62BE">
        <w:rPr>
          <w:rStyle w:val="Heading3Char"/>
        </w:rPr>
        <w:t>May Declare Mistrial</w:t>
      </w:r>
      <w:bookmarkEnd w:id="11"/>
      <w:r w:rsidRPr="004B62BE">
        <w:rPr>
          <w:b/>
        </w:rPr>
        <w:t xml:space="preserve">. </w:t>
      </w:r>
      <w:r w:rsidR="009957D5" w:rsidRPr="004B62BE">
        <w:t xml:space="preserve">. </w:t>
      </w:r>
      <w:r w:rsidR="00042C77" w:rsidRPr="004B62BE">
        <w:t>G.S. 15A-1235(d) and -1063(2)</w:t>
      </w:r>
      <w:r w:rsidR="009957D5" w:rsidRPr="004B62BE">
        <w:t xml:space="preserve"> provide that i</w:t>
      </w:r>
      <w:r w:rsidR="00573C82" w:rsidRPr="004B62BE">
        <w:t xml:space="preserve">f </w:t>
      </w:r>
      <w:r w:rsidR="00D163D8" w:rsidRPr="004B62BE">
        <w:t>t</w:t>
      </w:r>
      <w:r w:rsidR="00573C82" w:rsidRPr="004B62BE">
        <w:t>here is no reasonable possibility of agreement, the judge may declare a mistrial and discharge the jury</w:t>
      </w:r>
      <w:r w:rsidR="00474606" w:rsidRPr="004B62BE">
        <w:t>.</w:t>
      </w:r>
      <w:r w:rsidR="001E2B90" w:rsidRPr="004B62BE">
        <w:t xml:space="preserve"> </w:t>
      </w:r>
      <w:r w:rsidR="00474606" w:rsidRPr="004B62BE">
        <w:t>Both statutes are written</w:t>
      </w:r>
      <w:r w:rsidR="001E2B90" w:rsidRPr="004B62BE">
        <w:t xml:space="preserve"> in the permissive (“may”), </w:t>
      </w:r>
      <w:r w:rsidR="00042C77" w:rsidRPr="004B62BE">
        <w:rPr>
          <w:i/>
        </w:rPr>
        <w:t>Phillpott</w:t>
      </w:r>
      <w:r w:rsidR="00042C77" w:rsidRPr="004B62BE">
        <w:t xml:space="preserve">, 213 N.C. App. at 476 (G.S. 15A-1235(d) “does not mandate the declaration of a mistrial; it merely permits it” (quotation </w:t>
      </w:r>
      <w:r w:rsidR="00042C77" w:rsidRPr="004B62BE">
        <w:lastRenderedPageBreak/>
        <w:t>omitted))</w:t>
      </w:r>
      <w:r w:rsidR="003E019B" w:rsidRPr="004B62BE">
        <w:t xml:space="preserve">, and as noted above, the judge may require the jury to continue deliberations even in the face of deadlock. </w:t>
      </w:r>
      <w:r w:rsidR="003E019B" w:rsidRPr="004B62BE">
        <w:rPr>
          <w:i/>
        </w:rPr>
        <w:t xml:space="preserve">See </w:t>
      </w:r>
      <w:r w:rsidR="00042C77" w:rsidRPr="004B62BE">
        <w:t>Section III.B.3</w:t>
      </w:r>
      <w:r w:rsidR="003E019B" w:rsidRPr="004B62BE">
        <w:t xml:space="preserve"> above. </w:t>
      </w:r>
    </w:p>
    <w:p w14:paraId="43CA5B21" w14:textId="77777777" w:rsidR="00DC2F19" w:rsidRPr="004B62BE" w:rsidRDefault="00DC2F19" w:rsidP="00DC2F19">
      <w:pPr>
        <w:pStyle w:val="ListParagraph"/>
        <w:numPr>
          <w:ilvl w:val="1"/>
          <w:numId w:val="10"/>
        </w:numPr>
        <w:ind w:left="2880" w:hanging="720"/>
      </w:pPr>
      <w:r w:rsidRPr="004B62BE">
        <w:rPr>
          <w:b/>
        </w:rPr>
        <w:t xml:space="preserve">Decision Is Discretionary. </w:t>
      </w:r>
      <w:r w:rsidRPr="004B62BE">
        <w:t xml:space="preserve">“It is well-settled that the decision to grant or deny a motion for mistrial lies within the sound discretion of the trial judge.” </w:t>
      </w:r>
      <w:r w:rsidR="00042C77" w:rsidRPr="004B62BE">
        <w:t>State v. Baldwin, 141 N.C. App. 596, 607 (2000)</w:t>
      </w:r>
      <w:r w:rsidR="00D163D8" w:rsidRPr="004B62BE">
        <w:t>.</w:t>
      </w:r>
    </w:p>
    <w:p w14:paraId="4516CED7" w14:textId="40BBA038" w:rsidR="00DC2F19" w:rsidRPr="004B62BE" w:rsidRDefault="00DC2F19" w:rsidP="00DC2F19">
      <w:pPr>
        <w:pStyle w:val="ListParagraph"/>
        <w:numPr>
          <w:ilvl w:val="1"/>
          <w:numId w:val="10"/>
        </w:numPr>
        <w:ind w:left="2880" w:hanging="720"/>
      </w:pPr>
      <w:r w:rsidRPr="004B62BE">
        <w:rPr>
          <w:b/>
        </w:rPr>
        <w:t xml:space="preserve">Mistrial Order. </w:t>
      </w:r>
      <w:r w:rsidR="00BF797E">
        <w:t>If the trial court does declare a</w:t>
      </w:r>
      <w:r w:rsidRPr="004B62BE">
        <w:t xml:space="preserve"> mistrial</w:t>
      </w:r>
      <w:r w:rsidR="00BF797E">
        <w:t xml:space="preserve"> based on juror deadlock, the</w:t>
      </w:r>
      <w:r w:rsidRPr="004B62BE">
        <w:t xml:space="preserve"> order should:</w:t>
      </w:r>
    </w:p>
    <w:p w14:paraId="1709DD62" w14:textId="77777777" w:rsidR="00E32128" w:rsidRPr="004B62BE" w:rsidRDefault="00474606" w:rsidP="00D163D8">
      <w:pPr>
        <w:pStyle w:val="ListParagraph"/>
        <w:numPr>
          <w:ilvl w:val="0"/>
          <w:numId w:val="14"/>
        </w:numPr>
      </w:pPr>
      <w:r w:rsidRPr="004B62BE">
        <w:t xml:space="preserve">Include findings of fact with respect to the grounds for the mistrial. </w:t>
      </w:r>
      <w:r w:rsidR="00042C77" w:rsidRPr="004B62BE">
        <w:t>G.S. 15A-1064 (“Before granting a mistrial, the judge must make finding of facts with respect to the grounds for the mistrial and insert the findings in the record of the case.”)</w:t>
      </w:r>
      <w:r w:rsidRPr="004B62BE">
        <w:t xml:space="preserve">. </w:t>
      </w:r>
      <w:r w:rsidR="00D163D8" w:rsidRPr="004B62BE">
        <w:t>T</w:t>
      </w:r>
      <w:r w:rsidRPr="004B62BE">
        <w:t xml:space="preserve">he trial </w:t>
      </w:r>
      <w:r w:rsidR="0035353C" w:rsidRPr="004B62BE">
        <w:t>court may w</w:t>
      </w:r>
      <w:r w:rsidRPr="004B62BE">
        <w:t xml:space="preserve">ish to include </w:t>
      </w:r>
      <w:r w:rsidR="0035353C" w:rsidRPr="004B62BE">
        <w:t>in its order information about the</w:t>
      </w:r>
      <w:r w:rsidR="00E32128" w:rsidRPr="004B62BE">
        <w:t xml:space="preserve"> length of the jury’s deliberations, </w:t>
      </w:r>
      <w:r w:rsidR="00AE7392" w:rsidRPr="004B62BE">
        <w:t xml:space="preserve">the numerical division of the jury, how long that division has persisted, the jury’s </w:t>
      </w:r>
      <w:r w:rsidR="0035353C" w:rsidRPr="004B62BE">
        <w:t xml:space="preserve">responses to the court’s inquiry about whether further deliberations would enable it to make progress towards a unanimous verdict and whether there </w:t>
      </w:r>
      <w:r w:rsidR="00225ADC" w:rsidRPr="004B62BE">
        <w:t>was a</w:t>
      </w:r>
      <w:r w:rsidR="0035353C" w:rsidRPr="004B62BE">
        <w:t xml:space="preserve"> </w:t>
      </w:r>
      <w:r w:rsidR="00E32128" w:rsidRPr="004B62BE">
        <w:t>reasonable possibility of agreement</w:t>
      </w:r>
      <w:r w:rsidR="0035353C" w:rsidRPr="004B62BE">
        <w:t>, and any other relevant facts supporting the finding of deadlock</w:t>
      </w:r>
      <w:r w:rsidR="00E32128" w:rsidRPr="004B62BE">
        <w:t xml:space="preserve">. </w:t>
      </w:r>
    </w:p>
    <w:p w14:paraId="707EB2D1" w14:textId="77777777" w:rsidR="00E32128" w:rsidRPr="004B62BE" w:rsidRDefault="00E32128" w:rsidP="00DC2F19">
      <w:pPr>
        <w:pStyle w:val="ListParagraph"/>
        <w:numPr>
          <w:ilvl w:val="0"/>
          <w:numId w:val="9"/>
        </w:numPr>
        <w:ind w:left="3600"/>
      </w:pPr>
      <w:r w:rsidRPr="004B62BE">
        <w:t>Grant the mistrial motion. The following language may be used: “It appearing to the court that there is no reasonable probability of the jury's agreement upon a verdict, the Court [on its own motion] [on the motion of _________</w:t>
      </w:r>
      <w:proofErr w:type="gramStart"/>
      <w:r w:rsidRPr="004B62BE">
        <w:t>_ ]</w:t>
      </w:r>
      <w:proofErr w:type="gramEnd"/>
      <w:r w:rsidRPr="004B62BE">
        <w:t xml:space="preserve"> declares a mistrial."</w:t>
      </w:r>
    </w:p>
    <w:p w14:paraId="479F014C" w14:textId="77777777" w:rsidR="00E32128" w:rsidRPr="004B62BE" w:rsidRDefault="00E32128" w:rsidP="00DC2F19">
      <w:pPr>
        <w:pStyle w:val="ListParagraph"/>
        <w:numPr>
          <w:ilvl w:val="0"/>
          <w:numId w:val="9"/>
        </w:numPr>
        <w:ind w:left="3600"/>
      </w:pPr>
      <w:r w:rsidRPr="004B62BE">
        <w:t>Order that the case be retained for trial or for such further proceedings as may be proper.</w:t>
      </w:r>
      <w:r w:rsidR="00474606" w:rsidRPr="004B62BE">
        <w:t xml:space="preserve"> </w:t>
      </w:r>
      <w:r w:rsidR="00042C77" w:rsidRPr="004B62BE">
        <w:t>G.S. 15A-1065</w:t>
      </w:r>
      <w:r w:rsidR="00474606" w:rsidRPr="004B62BE">
        <w:t>.</w:t>
      </w:r>
    </w:p>
    <w:p w14:paraId="3A01A6BD" w14:textId="77777777" w:rsidR="00624407" w:rsidRPr="004B62BE" w:rsidRDefault="00DC2F19" w:rsidP="00DC2F19">
      <w:pPr>
        <w:ind w:left="2160" w:firstLine="720"/>
      </w:pPr>
      <w:r w:rsidRPr="004B62BE">
        <w:t>Additionally, the trial court should remember to di</w:t>
      </w:r>
      <w:r w:rsidR="00E32128" w:rsidRPr="004B62BE">
        <w:t>scharge the jury.</w:t>
      </w:r>
    </w:p>
    <w:p w14:paraId="6C666A3D" w14:textId="77777777" w:rsidR="00573C82" w:rsidRPr="004B62BE" w:rsidRDefault="00573C82" w:rsidP="00573C82"/>
    <w:p w14:paraId="30068E3D" w14:textId="262D7A33" w:rsidR="001E2B90" w:rsidRPr="004B62BE" w:rsidRDefault="001E2B90" w:rsidP="00DC2F19">
      <w:pPr>
        <w:pStyle w:val="ListParagraph"/>
        <w:numPr>
          <w:ilvl w:val="0"/>
          <w:numId w:val="3"/>
        </w:numPr>
        <w:ind w:left="720"/>
        <w:rPr>
          <w:b/>
        </w:rPr>
      </w:pPr>
      <w:bookmarkStart w:id="12" w:name="_Toc409106985"/>
      <w:r w:rsidRPr="004B62BE">
        <w:rPr>
          <w:rStyle w:val="Heading1Char"/>
        </w:rPr>
        <w:t>Further Proceedings after Mistrial Because of Deadlock</w:t>
      </w:r>
      <w:bookmarkEnd w:id="12"/>
      <w:r w:rsidRPr="004B62BE">
        <w:rPr>
          <w:b/>
        </w:rPr>
        <w:t xml:space="preserve">. </w:t>
      </w:r>
      <w:r w:rsidRPr="004B62BE">
        <w:t xml:space="preserve">A </w:t>
      </w:r>
      <w:r w:rsidR="00225ADC" w:rsidRPr="004B62BE">
        <w:t xml:space="preserve">genuine </w:t>
      </w:r>
      <w:r w:rsidRPr="004B62BE">
        <w:t xml:space="preserve">jury deadlock constitutes </w:t>
      </w:r>
      <w:r w:rsidR="00DC2F19" w:rsidRPr="004B62BE">
        <w:t>“</w:t>
      </w:r>
      <w:r w:rsidRPr="004B62BE">
        <w:t>manifest necessity</w:t>
      </w:r>
      <w:r w:rsidR="00DC2F19" w:rsidRPr="004B62BE">
        <w:t>”</w:t>
      </w:r>
      <w:r w:rsidRPr="004B62BE">
        <w:t xml:space="preserve"> justifying a declaration of a mistrial. </w:t>
      </w:r>
      <w:r w:rsidR="00DC2F19" w:rsidRPr="004B62BE">
        <w:rPr>
          <w:i/>
        </w:rPr>
        <w:t xml:space="preserve">See, e.g., </w:t>
      </w:r>
      <w:r w:rsidR="00042C77" w:rsidRPr="004B62BE">
        <w:rPr>
          <w:i/>
        </w:rPr>
        <w:t>Baldwin</w:t>
      </w:r>
      <w:r w:rsidR="00042C77" w:rsidRPr="004B62BE">
        <w:t>, 141 N.C. App. at 608 (quoting State v. Pakulski, 319 N.C. 562, 570 (1987))</w:t>
      </w:r>
      <w:r w:rsidR="00DC2F19" w:rsidRPr="004B62BE">
        <w:t>.</w:t>
      </w:r>
      <w:r w:rsidR="000A6DDB" w:rsidRPr="004B62BE">
        <w:t xml:space="preserve"> </w:t>
      </w:r>
      <w:r w:rsidRPr="004B62BE">
        <w:t>Given that, double jeopa</w:t>
      </w:r>
      <w:r w:rsidR="002447AB" w:rsidRPr="004B62BE">
        <w:t xml:space="preserve">rdy presents no bar to a </w:t>
      </w:r>
      <w:r w:rsidR="00225ADC" w:rsidRPr="004B62BE">
        <w:t>re</w:t>
      </w:r>
      <w:r w:rsidR="002447AB" w:rsidRPr="004B62BE">
        <w:t xml:space="preserve">trial. </w:t>
      </w:r>
      <w:r w:rsidR="003709A5" w:rsidRPr="004B62BE">
        <w:rPr>
          <w:i/>
        </w:rPr>
        <w:t>See</w:t>
      </w:r>
      <w:r w:rsidR="00445355" w:rsidRPr="004B62BE">
        <w:rPr>
          <w:i/>
        </w:rPr>
        <w:t xml:space="preserve"> </w:t>
      </w:r>
      <w:r w:rsidR="00445355" w:rsidRPr="004B62BE">
        <w:t>Robert Farb,</w:t>
      </w:r>
      <w:r w:rsidR="003709A5" w:rsidRPr="004B62BE">
        <w:t xml:space="preserve"> </w:t>
      </w:r>
      <w:hyperlink r:id="rId8" w:history="1">
        <w:r w:rsidR="00042C77" w:rsidRPr="004B62BE">
          <w:rPr>
            <w:rStyle w:val="Hyperlink"/>
            <w:rFonts w:cstheme="minorBidi"/>
            <w:i/>
          </w:rPr>
          <w:t>Double Jeopardy and Related Issues</w:t>
        </w:r>
      </w:hyperlink>
      <w:r w:rsidR="003709A5" w:rsidRPr="004B62BE">
        <w:t xml:space="preserve">, in this </w:t>
      </w:r>
      <w:proofErr w:type="spellStart"/>
      <w:r w:rsidR="003709A5" w:rsidRPr="004B62BE">
        <w:t>Benchbook</w:t>
      </w:r>
      <w:proofErr w:type="spellEnd"/>
      <w:r w:rsidR="003709A5" w:rsidRPr="004B62BE">
        <w:t>.</w:t>
      </w:r>
      <w:r w:rsidRPr="004B62BE">
        <w:t xml:space="preserve"> </w:t>
      </w:r>
    </w:p>
    <w:p w14:paraId="068B792E" w14:textId="77777777" w:rsidR="00573C82" w:rsidRPr="004B62BE" w:rsidRDefault="00573C82" w:rsidP="00573C82"/>
    <w:p w14:paraId="0DC444D5" w14:textId="77777777" w:rsidR="00F5780B" w:rsidRDefault="00F5780B" w:rsidP="008157B9"/>
    <w:p w14:paraId="16155468" w14:textId="77777777" w:rsidR="00A20122" w:rsidRDefault="00A20122" w:rsidP="008157B9"/>
    <w:p w14:paraId="6912ED5A" w14:textId="77777777" w:rsidR="00A20122" w:rsidRDefault="00A20122" w:rsidP="008157B9"/>
    <w:p w14:paraId="2D8CEFEB" w14:textId="77777777" w:rsidR="00A20122" w:rsidRDefault="00A20122" w:rsidP="008157B9"/>
    <w:p w14:paraId="3D88102C" w14:textId="77777777" w:rsidR="00A20122" w:rsidRDefault="00A20122" w:rsidP="008157B9"/>
    <w:p w14:paraId="05C4230E" w14:textId="77777777" w:rsidR="00A20122" w:rsidRDefault="00A20122" w:rsidP="008157B9"/>
    <w:p w14:paraId="13D4BAA9" w14:textId="77777777" w:rsidR="00A20122" w:rsidRDefault="00A20122" w:rsidP="008157B9"/>
    <w:p w14:paraId="028AF111" w14:textId="77777777" w:rsidR="00A20122" w:rsidRPr="004B62BE" w:rsidRDefault="00A20122" w:rsidP="008157B9"/>
    <w:p w14:paraId="3D915CE5" w14:textId="77777777" w:rsidR="00F5780B" w:rsidRPr="004B62BE" w:rsidRDefault="00F5780B" w:rsidP="008157B9"/>
    <w:p w14:paraId="1F523AA2" w14:textId="77777777" w:rsidR="002E0A7B" w:rsidRPr="002E0A7B" w:rsidRDefault="002E0A7B" w:rsidP="002E0A7B">
      <w:pPr>
        <w:jc w:val="center"/>
        <w:rPr>
          <w:rFonts w:cs="Arial"/>
          <w:color w:val="000000"/>
          <w:sz w:val="16"/>
          <w:szCs w:val="16"/>
        </w:rPr>
      </w:pPr>
      <w:r w:rsidRPr="002E0A7B">
        <w:rPr>
          <w:rFonts w:cs="Arial"/>
          <w:color w:val="000000"/>
          <w:sz w:val="16"/>
          <w:szCs w:val="16"/>
        </w:rPr>
        <w:t>© 2024 School of Government. The University of North Carolina at Chapel Hill Use of this publication for commercial</w:t>
      </w:r>
    </w:p>
    <w:p w14:paraId="30A022BB" w14:textId="77777777" w:rsidR="002E0A7B" w:rsidRPr="002E0A7B" w:rsidRDefault="002E0A7B" w:rsidP="002E0A7B">
      <w:pPr>
        <w:jc w:val="center"/>
        <w:rPr>
          <w:rFonts w:cs="Arial"/>
          <w:color w:val="000000"/>
          <w:sz w:val="16"/>
          <w:szCs w:val="16"/>
        </w:rPr>
      </w:pPr>
      <w:r w:rsidRPr="002E0A7B">
        <w:rPr>
          <w:rFonts w:cs="Arial"/>
          <w:color w:val="000000"/>
          <w:sz w:val="16"/>
          <w:szCs w:val="16"/>
        </w:rPr>
        <w:t>purposes or without acknowledgment of its source is prohibited. Reproducing, distributing, or otherwise making</w:t>
      </w:r>
    </w:p>
    <w:p w14:paraId="0A613D86" w14:textId="77777777" w:rsidR="002E0A7B" w:rsidRPr="002E0A7B" w:rsidRDefault="002E0A7B" w:rsidP="002E0A7B">
      <w:pPr>
        <w:jc w:val="center"/>
        <w:rPr>
          <w:rFonts w:cs="Arial"/>
          <w:color w:val="000000"/>
          <w:sz w:val="16"/>
          <w:szCs w:val="16"/>
        </w:rPr>
      </w:pPr>
      <w:r w:rsidRPr="002E0A7B">
        <w:rPr>
          <w:rFonts w:cs="Arial"/>
          <w:color w:val="000000"/>
          <w:sz w:val="16"/>
          <w:szCs w:val="16"/>
        </w:rPr>
        <w:t xml:space="preserve">available to a </w:t>
      </w:r>
      <w:proofErr w:type="spellStart"/>
      <w:r w:rsidRPr="002E0A7B">
        <w:rPr>
          <w:rFonts w:cs="Arial"/>
          <w:color w:val="000000"/>
          <w:sz w:val="16"/>
          <w:szCs w:val="16"/>
        </w:rPr>
        <w:t>nonpurchaser</w:t>
      </w:r>
      <w:proofErr w:type="spellEnd"/>
      <w:r w:rsidRPr="002E0A7B">
        <w:rPr>
          <w:rFonts w:cs="Arial"/>
          <w:color w:val="000000"/>
          <w:sz w:val="16"/>
          <w:szCs w:val="16"/>
        </w:rPr>
        <w:t xml:space="preserve"> the entire publication, or a substantial portion of it, without express permission, is</w:t>
      </w:r>
    </w:p>
    <w:p w14:paraId="4F81EC22" w14:textId="77777777" w:rsidR="002E0A7B" w:rsidRPr="002E0A7B" w:rsidRDefault="002E0A7B" w:rsidP="002E0A7B">
      <w:pPr>
        <w:jc w:val="center"/>
        <w:rPr>
          <w:rFonts w:cs="Arial"/>
          <w:color w:val="000000"/>
          <w:sz w:val="16"/>
          <w:szCs w:val="16"/>
        </w:rPr>
      </w:pPr>
      <w:r w:rsidRPr="002E0A7B">
        <w:rPr>
          <w:rFonts w:cs="Arial"/>
          <w:color w:val="000000"/>
          <w:sz w:val="16"/>
          <w:szCs w:val="16"/>
        </w:rPr>
        <w:t>prohibited. For permissions questions or requests, email the School of Government at</w:t>
      </w:r>
    </w:p>
    <w:p w14:paraId="485AB72C" w14:textId="464CC5DE" w:rsidR="008157B9" w:rsidRDefault="002E0A7B" w:rsidP="002E0A7B">
      <w:pPr>
        <w:jc w:val="center"/>
      </w:pPr>
      <w:r w:rsidRPr="002E0A7B">
        <w:rPr>
          <w:rFonts w:cs="Arial"/>
          <w:color w:val="000000"/>
          <w:sz w:val="16"/>
          <w:szCs w:val="16"/>
        </w:rPr>
        <w:t>copyright_permissions@sog.unc.edu.</w:t>
      </w:r>
    </w:p>
    <w:sectPr w:rsidR="008157B9" w:rsidSect="00042C77">
      <w:headerReference w:type="even" r:id="rI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B21EB" w14:textId="77777777" w:rsidR="002A08B8" w:rsidRDefault="002A08B8" w:rsidP="001B2DFB">
      <w:r>
        <w:separator/>
      </w:r>
    </w:p>
  </w:endnote>
  <w:endnote w:type="continuationSeparator" w:id="0">
    <w:p w14:paraId="78749367" w14:textId="77777777" w:rsidR="002A08B8" w:rsidRDefault="002A08B8" w:rsidP="001B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438946881"/>
      <w:docPartObj>
        <w:docPartGallery w:val="Page Numbers (Bottom of Page)"/>
        <w:docPartUnique/>
      </w:docPartObj>
    </w:sdtPr>
    <w:sdtEndPr>
      <w:rPr>
        <w:noProof/>
      </w:rPr>
    </w:sdtEndPr>
    <w:sdtContent>
      <w:p w14:paraId="37A1EF52" w14:textId="77777777" w:rsidR="00120FB5" w:rsidRPr="008157B9" w:rsidRDefault="00120FB5">
        <w:pPr>
          <w:pStyle w:val="Footer"/>
          <w:jc w:val="center"/>
          <w:rPr>
            <w:sz w:val="20"/>
            <w:szCs w:val="20"/>
          </w:rPr>
        </w:pPr>
        <w:r w:rsidRPr="008157B9">
          <w:rPr>
            <w:sz w:val="20"/>
            <w:szCs w:val="20"/>
          </w:rPr>
          <w:t xml:space="preserve">Jury Deadlock </w:t>
        </w:r>
        <w:r w:rsidRPr="008157B9">
          <w:rPr>
            <w:rFonts w:cs="Arial"/>
            <w:sz w:val="20"/>
            <w:szCs w:val="20"/>
          </w:rPr>
          <w:t>─</w:t>
        </w:r>
        <w:r w:rsidRPr="008157B9">
          <w:rPr>
            <w:sz w:val="20"/>
            <w:szCs w:val="20"/>
          </w:rPr>
          <w:t xml:space="preserve"> </w:t>
        </w:r>
        <w:r w:rsidR="00042C77" w:rsidRPr="008157B9">
          <w:rPr>
            <w:sz w:val="20"/>
            <w:szCs w:val="20"/>
          </w:rPr>
          <w:fldChar w:fldCharType="begin"/>
        </w:r>
        <w:r w:rsidRPr="008157B9">
          <w:rPr>
            <w:sz w:val="20"/>
            <w:szCs w:val="20"/>
          </w:rPr>
          <w:instrText xml:space="preserve"> PAGE   \* MERGEFORMAT </w:instrText>
        </w:r>
        <w:r w:rsidR="00042C77" w:rsidRPr="008157B9">
          <w:rPr>
            <w:sz w:val="20"/>
            <w:szCs w:val="20"/>
          </w:rPr>
          <w:fldChar w:fldCharType="separate"/>
        </w:r>
        <w:r w:rsidR="00862C05">
          <w:rPr>
            <w:noProof/>
            <w:sz w:val="20"/>
            <w:szCs w:val="20"/>
          </w:rPr>
          <w:t>1</w:t>
        </w:r>
        <w:r w:rsidR="00042C77" w:rsidRPr="008157B9">
          <w:rPr>
            <w:noProof/>
            <w:sz w:val="20"/>
            <w:szCs w:val="20"/>
          </w:rPr>
          <w:fldChar w:fldCharType="end"/>
        </w:r>
      </w:p>
    </w:sdtContent>
  </w:sdt>
  <w:p w14:paraId="5A66E744" w14:textId="77777777" w:rsidR="00120FB5" w:rsidRPr="008157B9" w:rsidRDefault="00120FB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BC26" w14:textId="77777777" w:rsidR="002A08B8" w:rsidRDefault="002A08B8" w:rsidP="001B2DFB">
      <w:r>
        <w:separator/>
      </w:r>
    </w:p>
  </w:footnote>
  <w:footnote w:type="continuationSeparator" w:id="0">
    <w:p w14:paraId="1BAF8BA9" w14:textId="77777777" w:rsidR="002A08B8" w:rsidRDefault="002A08B8" w:rsidP="001B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155B" w14:textId="77777777" w:rsidR="00120FB5" w:rsidRDefault="004969BB">
    <w:pPr>
      <w:pStyle w:val="Header"/>
    </w:pPr>
    <w:sdt>
      <w:sdtPr>
        <w:id w:val="171999623"/>
        <w:placeholder>
          <w:docPart w:val="FFBFC56B3BB3BA4AAF83E5A882D5CB3D"/>
        </w:placeholder>
        <w:temporary/>
        <w:showingPlcHdr/>
      </w:sdtPr>
      <w:sdtEndPr/>
      <w:sdtContent>
        <w:r w:rsidR="00120FB5">
          <w:t>[Type text]</w:t>
        </w:r>
      </w:sdtContent>
    </w:sdt>
    <w:r w:rsidR="00120FB5">
      <w:ptab w:relativeTo="margin" w:alignment="center" w:leader="none"/>
    </w:r>
    <w:sdt>
      <w:sdtPr>
        <w:id w:val="171999624"/>
        <w:placeholder>
          <w:docPart w:val="405A63640459C340933C44D6900BB15C"/>
        </w:placeholder>
        <w:temporary/>
        <w:showingPlcHdr/>
      </w:sdtPr>
      <w:sdtEndPr/>
      <w:sdtContent>
        <w:r w:rsidR="00120FB5">
          <w:t>[Type text]</w:t>
        </w:r>
      </w:sdtContent>
    </w:sdt>
    <w:r w:rsidR="00120FB5">
      <w:ptab w:relativeTo="margin" w:alignment="right" w:leader="none"/>
    </w:r>
    <w:sdt>
      <w:sdtPr>
        <w:id w:val="171999625"/>
        <w:placeholder>
          <w:docPart w:val="107C2F1793753C42B55C9F5636E88B8F"/>
        </w:placeholder>
        <w:temporary/>
        <w:showingPlcHdr/>
      </w:sdtPr>
      <w:sdtEndPr/>
      <w:sdtContent>
        <w:r w:rsidR="00120FB5">
          <w:t>[Type text]</w:t>
        </w:r>
      </w:sdtContent>
    </w:sdt>
  </w:p>
  <w:p w14:paraId="081E4670" w14:textId="77777777" w:rsidR="00120FB5" w:rsidRDefault="00120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49B4F" w14:textId="77777777" w:rsidR="00120FB5" w:rsidRDefault="00120FB5">
    <w:pPr>
      <w:pStyle w:val="Header"/>
    </w:pPr>
    <w:r>
      <w:rPr>
        <w:noProof/>
      </w:rPr>
      <w:drawing>
        <wp:anchor distT="0" distB="0" distL="114300" distR="114300" simplePos="0" relativeHeight="251659264" behindDoc="0" locked="0" layoutInCell="1" allowOverlap="0" wp14:anchorId="39749B2E" wp14:editId="4971F87F">
          <wp:simplePos x="0" y="0"/>
          <wp:positionH relativeFrom="page">
            <wp:posOffset>0</wp:posOffset>
          </wp:positionH>
          <wp:positionV relativeFrom="page">
            <wp:posOffset>0</wp:posOffset>
          </wp:positionV>
          <wp:extent cx="7772400" cy="3429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ptab w:relativeTo="margin" w:alignment="center" w:leader="none"/>
    </w:r>
    <w:r>
      <w:ptab w:relativeTo="margin" w:alignment="right" w:leader="none"/>
    </w:r>
  </w:p>
  <w:p w14:paraId="6AF6FEC9" w14:textId="77777777" w:rsidR="00120FB5" w:rsidRDefault="00120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09E3"/>
    <w:multiLevelType w:val="hybridMultilevel"/>
    <w:tmpl w:val="408EDB98"/>
    <w:lvl w:ilvl="0" w:tplc="2C72971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8C6078"/>
    <w:multiLevelType w:val="hybridMultilevel"/>
    <w:tmpl w:val="0D943BEC"/>
    <w:lvl w:ilvl="0" w:tplc="50B22502">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211C1"/>
    <w:multiLevelType w:val="hybridMultilevel"/>
    <w:tmpl w:val="908E2F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22970F5"/>
    <w:multiLevelType w:val="hybridMultilevel"/>
    <w:tmpl w:val="53A082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4193107"/>
    <w:multiLevelType w:val="hybridMultilevel"/>
    <w:tmpl w:val="080896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5E10251"/>
    <w:multiLevelType w:val="hybridMultilevel"/>
    <w:tmpl w:val="FF6C9C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EA15545"/>
    <w:multiLevelType w:val="hybridMultilevel"/>
    <w:tmpl w:val="FF2866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C1209AE"/>
    <w:multiLevelType w:val="hybridMultilevel"/>
    <w:tmpl w:val="FFC007DC"/>
    <w:lvl w:ilvl="0" w:tplc="BA6895DC">
      <w:start w:val="1"/>
      <w:numFmt w:val="upperRoman"/>
      <w:pStyle w:val="JSmithH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21141"/>
    <w:multiLevelType w:val="hybridMultilevel"/>
    <w:tmpl w:val="4596E3FE"/>
    <w:lvl w:ilvl="0" w:tplc="133C246A">
      <w:start w:val="1"/>
      <w:numFmt w:val="decimal"/>
      <w:pStyle w:val="Heading3"/>
      <w:lvlText w:val="%1."/>
      <w:lvlJc w:val="left"/>
      <w:pPr>
        <w:ind w:left="1800" w:hanging="360"/>
      </w:pPr>
      <w:rPr>
        <w:rFonts w:hint="default"/>
        <w:b/>
      </w:rPr>
    </w:lvl>
    <w:lvl w:ilvl="1" w:tplc="58A89852">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BD430BF"/>
    <w:multiLevelType w:val="hybridMultilevel"/>
    <w:tmpl w:val="AC34CDD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B06111"/>
    <w:multiLevelType w:val="hybridMultilevel"/>
    <w:tmpl w:val="061CD3A2"/>
    <w:lvl w:ilvl="0" w:tplc="8B441744">
      <w:start w:val="1"/>
      <w:numFmt w:val="upperLetter"/>
      <w:pStyle w:val="JSmithH2"/>
      <w:lvlText w:val="%1."/>
      <w:lvlJc w:val="left"/>
      <w:pPr>
        <w:ind w:left="25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87218EE"/>
    <w:multiLevelType w:val="hybridMultilevel"/>
    <w:tmpl w:val="D43A37F2"/>
    <w:lvl w:ilvl="0" w:tplc="BC6C0002">
      <w:start w:val="1"/>
      <w:numFmt w:val="upperLetter"/>
      <w:pStyle w:val="Heading2"/>
      <w:lvlText w:val="%1."/>
      <w:lvlJc w:val="left"/>
      <w:pPr>
        <w:ind w:left="1080" w:hanging="360"/>
      </w:pPr>
      <w:rPr>
        <w:rFonts w:hint="default"/>
        <w:b/>
      </w:rPr>
    </w:lvl>
    <w:lvl w:ilvl="1" w:tplc="715C39DA">
      <w:start w:val="1"/>
      <w:numFmt w:val="decimal"/>
      <w:lvlText w:val="(%2)"/>
      <w:lvlJc w:val="left"/>
      <w:pPr>
        <w:ind w:left="2205" w:hanging="76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DC5F16"/>
    <w:multiLevelType w:val="hybridMultilevel"/>
    <w:tmpl w:val="567E7E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E2C4E96"/>
    <w:multiLevelType w:val="hybridMultilevel"/>
    <w:tmpl w:val="475CF836"/>
    <w:lvl w:ilvl="0" w:tplc="B33A4DF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9639207">
    <w:abstractNumId w:val="10"/>
  </w:num>
  <w:num w:numId="2" w16cid:durableId="2085182179">
    <w:abstractNumId w:val="7"/>
  </w:num>
  <w:num w:numId="3" w16cid:durableId="1384788599">
    <w:abstractNumId w:val="1"/>
  </w:num>
  <w:num w:numId="4" w16cid:durableId="297421817">
    <w:abstractNumId w:val="11"/>
  </w:num>
  <w:num w:numId="5" w16cid:durableId="259686072">
    <w:abstractNumId w:val="9"/>
  </w:num>
  <w:num w:numId="6" w16cid:durableId="257566493">
    <w:abstractNumId w:val="13"/>
  </w:num>
  <w:num w:numId="7" w16cid:durableId="943076176">
    <w:abstractNumId w:val="0"/>
  </w:num>
  <w:num w:numId="8" w16cid:durableId="454904549">
    <w:abstractNumId w:val="2"/>
  </w:num>
  <w:num w:numId="9" w16cid:durableId="854804891">
    <w:abstractNumId w:val="5"/>
  </w:num>
  <w:num w:numId="10" w16cid:durableId="1492942523">
    <w:abstractNumId w:val="8"/>
  </w:num>
  <w:num w:numId="11" w16cid:durableId="952172954">
    <w:abstractNumId w:val="6"/>
  </w:num>
  <w:num w:numId="12" w16cid:durableId="108941739">
    <w:abstractNumId w:val="4"/>
  </w:num>
  <w:num w:numId="13" w16cid:durableId="1141581337">
    <w:abstractNumId w:val="12"/>
  </w:num>
  <w:num w:numId="14" w16cid:durableId="1761292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A8"/>
    <w:rsid w:val="00040EDE"/>
    <w:rsid w:val="00041ED8"/>
    <w:rsid w:val="00042C77"/>
    <w:rsid w:val="0004634F"/>
    <w:rsid w:val="000A6DDB"/>
    <w:rsid w:val="000B4798"/>
    <w:rsid w:val="000D75FD"/>
    <w:rsid w:val="00100B92"/>
    <w:rsid w:val="00120FB5"/>
    <w:rsid w:val="00157127"/>
    <w:rsid w:val="00184A4D"/>
    <w:rsid w:val="001B2DFB"/>
    <w:rsid w:val="001B3090"/>
    <w:rsid w:val="001C2D28"/>
    <w:rsid w:val="001C5978"/>
    <w:rsid w:val="001E2B90"/>
    <w:rsid w:val="001F02BD"/>
    <w:rsid w:val="001F0449"/>
    <w:rsid w:val="00223096"/>
    <w:rsid w:val="00225ADC"/>
    <w:rsid w:val="002447AB"/>
    <w:rsid w:val="002917E2"/>
    <w:rsid w:val="002A08B8"/>
    <w:rsid w:val="002B297A"/>
    <w:rsid w:val="002C50FD"/>
    <w:rsid w:val="002E0A7B"/>
    <w:rsid w:val="002E7068"/>
    <w:rsid w:val="00302C29"/>
    <w:rsid w:val="0033752E"/>
    <w:rsid w:val="0035353C"/>
    <w:rsid w:val="0036415F"/>
    <w:rsid w:val="003709A5"/>
    <w:rsid w:val="003E019B"/>
    <w:rsid w:val="00443353"/>
    <w:rsid w:val="00445355"/>
    <w:rsid w:val="00461BD8"/>
    <w:rsid w:val="00471C9B"/>
    <w:rsid w:val="004743E2"/>
    <w:rsid w:val="00474606"/>
    <w:rsid w:val="00476BB0"/>
    <w:rsid w:val="004827FF"/>
    <w:rsid w:val="0049336D"/>
    <w:rsid w:val="004969BB"/>
    <w:rsid w:val="004B62BE"/>
    <w:rsid w:val="004E2E84"/>
    <w:rsid w:val="004F1498"/>
    <w:rsid w:val="004F3D3C"/>
    <w:rsid w:val="0050233B"/>
    <w:rsid w:val="00527CA7"/>
    <w:rsid w:val="005419AA"/>
    <w:rsid w:val="00547A0E"/>
    <w:rsid w:val="00573C82"/>
    <w:rsid w:val="00581877"/>
    <w:rsid w:val="005B538A"/>
    <w:rsid w:val="005C3975"/>
    <w:rsid w:val="005F29FE"/>
    <w:rsid w:val="0060157E"/>
    <w:rsid w:val="00614F91"/>
    <w:rsid w:val="00624407"/>
    <w:rsid w:val="00643F65"/>
    <w:rsid w:val="00654C7B"/>
    <w:rsid w:val="006725E3"/>
    <w:rsid w:val="00693E49"/>
    <w:rsid w:val="006B756D"/>
    <w:rsid w:val="006C4632"/>
    <w:rsid w:val="006C716C"/>
    <w:rsid w:val="006E30FC"/>
    <w:rsid w:val="007166D2"/>
    <w:rsid w:val="007336EC"/>
    <w:rsid w:val="00744C57"/>
    <w:rsid w:val="00761558"/>
    <w:rsid w:val="00771BE3"/>
    <w:rsid w:val="007824FF"/>
    <w:rsid w:val="00797E08"/>
    <w:rsid w:val="007C5238"/>
    <w:rsid w:val="007E52FE"/>
    <w:rsid w:val="007F2A57"/>
    <w:rsid w:val="008157B9"/>
    <w:rsid w:val="008451B4"/>
    <w:rsid w:val="00851671"/>
    <w:rsid w:val="00853203"/>
    <w:rsid w:val="0085427F"/>
    <w:rsid w:val="0085601F"/>
    <w:rsid w:val="00862C05"/>
    <w:rsid w:val="00882859"/>
    <w:rsid w:val="00885272"/>
    <w:rsid w:val="008B1FCD"/>
    <w:rsid w:val="00904BDD"/>
    <w:rsid w:val="009172C8"/>
    <w:rsid w:val="00931224"/>
    <w:rsid w:val="0099073A"/>
    <w:rsid w:val="009957D5"/>
    <w:rsid w:val="009C298B"/>
    <w:rsid w:val="009C464E"/>
    <w:rsid w:val="009D6F66"/>
    <w:rsid w:val="009E253E"/>
    <w:rsid w:val="009E3ACC"/>
    <w:rsid w:val="00A00532"/>
    <w:rsid w:val="00A04DAB"/>
    <w:rsid w:val="00A20122"/>
    <w:rsid w:val="00A26A17"/>
    <w:rsid w:val="00A604D8"/>
    <w:rsid w:val="00AA573F"/>
    <w:rsid w:val="00AE7392"/>
    <w:rsid w:val="00AF1F12"/>
    <w:rsid w:val="00B90185"/>
    <w:rsid w:val="00B94B23"/>
    <w:rsid w:val="00BA1ABE"/>
    <w:rsid w:val="00BF06EA"/>
    <w:rsid w:val="00BF089E"/>
    <w:rsid w:val="00BF797E"/>
    <w:rsid w:val="00C22286"/>
    <w:rsid w:val="00C223DE"/>
    <w:rsid w:val="00C46540"/>
    <w:rsid w:val="00C51BF0"/>
    <w:rsid w:val="00C52F72"/>
    <w:rsid w:val="00C57FE4"/>
    <w:rsid w:val="00C61669"/>
    <w:rsid w:val="00C92CB5"/>
    <w:rsid w:val="00C952C2"/>
    <w:rsid w:val="00CB3180"/>
    <w:rsid w:val="00CE3F04"/>
    <w:rsid w:val="00CE46BC"/>
    <w:rsid w:val="00D0727E"/>
    <w:rsid w:val="00D163D8"/>
    <w:rsid w:val="00D227A3"/>
    <w:rsid w:val="00D814FD"/>
    <w:rsid w:val="00DC2F19"/>
    <w:rsid w:val="00DD401B"/>
    <w:rsid w:val="00DF6E38"/>
    <w:rsid w:val="00E31E63"/>
    <w:rsid w:val="00E32128"/>
    <w:rsid w:val="00E32A19"/>
    <w:rsid w:val="00E3454D"/>
    <w:rsid w:val="00E65D19"/>
    <w:rsid w:val="00E72893"/>
    <w:rsid w:val="00EA05DF"/>
    <w:rsid w:val="00EA1EA2"/>
    <w:rsid w:val="00EA58B9"/>
    <w:rsid w:val="00EB3C50"/>
    <w:rsid w:val="00EB6439"/>
    <w:rsid w:val="00ED14A8"/>
    <w:rsid w:val="00ED6BAC"/>
    <w:rsid w:val="00EE30AD"/>
    <w:rsid w:val="00F26E88"/>
    <w:rsid w:val="00F27728"/>
    <w:rsid w:val="00F4796B"/>
    <w:rsid w:val="00F556CD"/>
    <w:rsid w:val="00F5780B"/>
    <w:rsid w:val="00F8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B0E4F"/>
  <w15:docId w15:val="{DB8F6428-FFC2-A343-80DA-937FC4A9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7B"/>
    <w:pPr>
      <w:spacing w:after="0" w:line="240" w:lineRule="auto"/>
    </w:pPr>
    <w:rPr>
      <w:rFonts w:ascii="Arial" w:hAnsi="Arial"/>
    </w:rPr>
  </w:style>
  <w:style w:type="paragraph" w:styleId="Heading1">
    <w:name w:val="heading 1"/>
    <w:basedOn w:val="ListParagraph"/>
    <w:next w:val="Normal"/>
    <w:link w:val="Heading1Char"/>
    <w:autoRedefine/>
    <w:uiPriority w:val="9"/>
    <w:qFormat/>
    <w:rsid w:val="007F2A57"/>
    <w:pPr>
      <w:numPr>
        <w:numId w:val="3"/>
      </w:numPr>
      <w:ind w:left="720"/>
      <w:outlineLvl w:val="0"/>
    </w:pPr>
    <w:rPr>
      <w:b/>
    </w:rPr>
  </w:style>
  <w:style w:type="paragraph" w:styleId="Heading2">
    <w:name w:val="heading 2"/>
    <w:basedOn w:val="ListParagraph"/>
    <w:next w:val="Normal"/>
    <w:link w:val="Heading2Char"/>
    <w:uiPriority w:val="9"/>
    <w:unhideWhenUsed/>
    <w:qFormat/>
    <w:rsid w:val="007F2A57"/>
    <w:pPr>
      <w:numPr>
        <w:numId w:val="4"/>
      </w:numPr>
      <w:ind w:left="1440" w:hanging="720"/>
      <w:outlineLvl w:val="1"/>
    </w:pPr>
    <w:rPr>
      <w:b/>
    </w:rPr>
  </w:style>
  <w:style w:type="paragraph" w:styleId="Heading3">
    <w:name w:val="heading 3"/>
    <w:basedOn w:val="ListParagraph"/>
    <w:next w:val="Normal"/>
    <w:link w:val="Heading3Char"/>
    <w:uiPriority w:val="9"/>
    <w:unhideWhenUsed/>
    <w:qFormat/>
    <w:rsid w:val="007F2A57"/>
    <w:pPr>
      <w:numPr>
        <w:numId w:val="10"/>
      </w:numPr>
      <w:ind w:left="2160" w:hanging="720"/>
      <w:outlineLvl w:val="2"/>
    </w:pPr>
    <w:rPr>
      <w:b/>
    </w:rPr>
  </w:style>
  <w:style w:type="paragraph" w:styleId="Heading4">
    <w:name w:val="heading 4"/>
    <w:basedOn w:val="Normal"/>
    <w:next w:val="Normal"/>
    <w:link w:val="Heading4Char"/>
    <w:uiPriority w:val="9"/>
    <w:semiHidden/>
    <w:unhideWhenUsed/>
    <w:qFormat/>
    <w:rsid w:val="002917E2"/>
    <w:pPr>
      <w:keepNext/>
      <w:keepLines/>
      <w:ind w:left="720"/>
      <w:outlineLvl w:val="3"/>
    </w:pPr>
    <w:rPr>
      <w:rFonts w:eastAsiaTheme="majorEastAsia" w:cstheme="majorBidi"/>
      <w:b/>
      <w:bCs/>
      <w:iCs/>
      <w:color w:val="4F81BD"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A57"/>
    <w:rPr>
      <w:rFonts w:ascii="Arial" w:hAnsi="Arial"/>
      <w:b/>
    </w:rPr>
  </w:style>
  <w:style w:type="character" w:customStyle="1" w:styleId="Heading1Char">
    <w:name w:val="Heading 1 Char"/>
    <w:link w:val="Heading1"/>
    <w:uiPriority w:val="9"/>
    <w:rsid w:val="007F2A57"/>
    <w:rPr>
      <w:rFonts w:ascii="Arial" w:hAnsi="Arial"/>
      <w:b/>
    </w:rPr>
  </w:style>
  <w:style w:type="character" w:customStyle="1" w:styleId="Heading3Char">
    <w:name w:val="Heading 3 Char"/>
    <w:basedOn w:val="DefaultParagraphFont"/>
    <w:link w:val="Heading3"/>
    <w:uiPriority w:val="9"/>
    <w:rsid w:val="007F2A57"/>
    <w:rPr>
      <w:rFonts w:ascii="Arial" w:hAnsi="Arial"/>
      <w:b/>
    </w:rPr>
  </w:style>
  <w:style w:type="character" w:customStyle="1" w:styleId="Heading4Char">
    <w:name w:val="Heading 4 Char"/>
    <w:basedOn w:val="DefaultParagraphFont"/>
    <w:link w:val="Heading4"/>
    <w:uiPriority w:val="9"/>
    <w:semiHidden/>
    <w:rsid w:val="002917E2"/>
    <w:rPr>
      <w:rFonts w:ascii="Arial" w:eastAsiaTheme="majorEastAsia" w:hAnsi="Arial" w:cstheme="majorBidi"/>
      <w:b/>
      <w:bCs/>
      <w:iCs/>
      <w:color w:val="4F81BD" w:themeColor="accent1"/>
      <w:u w:val="single"/>
    </w:rPr>
  </w:style>
  <w:style w:type="paragraph" w:styleId="Title">
    <w:name w:val="Title"/>
    <w:basedOn w:val="Normal"/>
    <w:next w:val="Normal"/>
    <w:link w:val="TitleChar"/>
    <w:uiPriority w:val="10"/>
    <w:qFormat/>
    <w:rsid w:val="0004634F"/>
    <w:pPr>
      <w:spacing w:after="300"/>
      <w:contextualSpacing/>
      <w:jc w:val="center"/>
    </w:pPr>
    <w:rPr>
      <w:rFonts w:asciiTheme="minorHAnsi" w:eastAsiaTheme="majorEastAsia" w:hAnsiTheme="minorHAnsi" w:cstheme="majorBidi"/>
      <w:b/>
      <w:caps/>
      <w:color w:val="17365D" w:themeColor="text2" w:themeShade="BF"/>
      <w:spacing w:val="5"/>
      <w:kern w:val="28"/>
      <w:sz w:val="28"/>
      <w:szCs w:val="52"/>
    </w:rPr>
  </w:style>
  <w:style w:type="character" w:customStyle="1" w:styleId="TitleChar">
    <w:name w:val="Title Char"/>
    <w:basedOn w:val="DefaultParagraphFont"/>
    <w:link w:val="Title"/>
    <w:uiPriority w:val="10"/>
    <w:rsid w:val="0004634F"/>
    <w:rPr>
      <w:rFonts w:eastAsiaTheme="majorEastAsia" w:cstheme="majorBidi"/>
      <w:b/>
      <w:caps/>
      <w:color w:val="17365D" w:themeColor="text2" w:themeShade="BF"/>
      <w:spacing w:val="5"/>
      <w:kern w:val="28"/>
      <w:sz w:val="28"/>
      <w:szCs w:val="52"/>
    </w:rPr>
  </w:style>
  <w:style w:type="paragraph" w:styleId="NoSpacing">
    <w:name w:val="No Spacing"/>
    <w:aliases w:val="Head 1"/>
    <w:uiPriority w:val="1"/>
    <w:qFormat/>
    <w:rsid w:val="0004634F"/>
    <w:pPr>
      <w:spacing w:after="0" w:line="240" w:lineRule="auto"/>
    </w:pPr>
    <w:rPr>
      <w:rFonts w:asciiTheme="majorHAnsi" w:hAnsiTheme="majorHAnsi"/>
      <w:b/>
      <w:sz w:val="24"/>
    </w:rPr>
  </w:style>
  <w:style w:type="paragraph" w:customStyle="1" w:styleId="JSmithH2">
    <w:name w:val="JSmith H 2"/>
    <w:basedOn w:val="Heading2"/>
    <w:qFormat/>
    <w:rsid w:val="00461BD8"/>
    <w:pPr>
      <w:numPr>
        <w:numId w:val="1"/>
      </w:numPr>
    </w:pPr>
    <w:rPr>
      <w:rFonts w:eastAsia="Times New Roman" w:cs="Arial"/>
      <w:iCs/>
      <w:szCs w:val="24"/>
    </w:rPr>
  </w:style>
  <w:style w:type="paragraph" w:customStyle="1" w:styleId="JSmithH1">
    <w:name w:val="JSmith H 1"/>
    <w:basedOn w:val="Heading1"/>
    <w:qFormat/>
    <w:rsid w:val="00461BD8"/>
    <w:pPr>
      <w:numPr>
        <w:numId w:val="2"/>
      </w:numPr>
    </w:pPr>
  </w:style>
  <w:style w:type="paragraph" w:styleId="ListParagraph">
    <w:name w:val="List Paragraph"/>
    <w:basedOn w:val="Normal"/>
    <w:uiPriority w:val="34"/>
    <w:qFormat/>
    <w:rsid w:val="00ED14A8"/>
    <w:pPr>
      <w:ind w:left="720"/>
      <w:contextualSpacing/>
    </w:pPr>
  </w:style>
  <w:style w:type="character" w:styleId="Hyperlink">
    <w:name w:val="Hyperlink"/>
    <w:basedOn w:val="DefaultParagraphFont"/>
    <w:uiPriority w:val="99"/>
    <w:rsid w:val="00573C82"/>
    <w:rPr>
      <w:rFonts w:cs="Times New Roman"/>
      <w:color w:val="0000FF"/>
      <w:u w:val="single"/>
    </w:rPr>
  </w:style>
  <w:style w:type="paragraph" w:styleId="Header">
    <w:name w:val="header"/>
    <w:basedOn w:val="Normal"/>
    <w:link w:val="HeaderChar"/>
    <w:uiPriority w:val="99"/>
    <w:unhideWhenUsed/>
    <w:rsid w:val="001B2DFB"/>
    <w:pPr>
      <w:tabs>
        <w:tab w:val="center" w:pos="4680"/>
        <w:tab w:val="right" w:pos="9360"/>
      </w:tabs>
    </w:pPr>
  </w:style>
  <w:style w:type="character" w:customStyle="1" w:styleId="HeaderChar">
    <w:name w:val="Header Char"/>
    <w:basedOn w:val="DefaultParagraphFont"/>
    <w:link w:val="Header"/>
    <w:uiPriority w:val="99"/>
    <w:rsid w:val="001B2DFB"/>
    <w:rPr>
      <w:rFonts w:ascii="Arial" w:hAnsi="Arial"/>
    </w:rPr>
  </w:style>
  <w:style w:type="paragraph" w:styleId="Footer">
    <w:name w:val="footer"/>
    <w:basedOn w:val="Normal"/>
    <w:link w:val="FooterChar"/>
    <w:uiPriority w:val="99"/>
    <w:unhideWhenUsed/>
    <w:rsid w:val="001B2DFB"/>
    <w:pPr>
      <w:tabs>
        <w:tab w:val="center" w:pos="4680"/>
        <w:tab w:val="right" w:pos="9360"/>
      </w:tabs>
    </w:pPr>
  </w:style>
  <w:style w:type="character" w:customStyle="1" w:styleId="FooterChar">
    <w:name w:val="Footer Char"/>
    <w:basedOn w:val="DefaultParagraphFont"/>
    <w:link w:val="Footer"/>
    <w:uiPriority w:val="99"/>
    <w:rsid w:val="001B2DFB"/>
    <w:rPr>
      <w:rFonts w:ascii="Arial" w:hAnsi="Arial"/>
    </w:rPr>
  </w:style>
  <w:style w:type="paragraph" w:styleId="BalloonText">
    <w:name w:val="Balloon Text"/>
    <w:basedOn w:val="Normal"/>
    <w:link w:val="BalloonTextChar"/>
    <w:uiPriority w:val="99"/>
    <w:semiHidden/>
    <w:unhideWhenUsed/>
    <w:rsid w:val="006725E3"/>
    <w:rPr>
      <w:rFonts w:ascii="Tahoma" w:hAnsi="Tahoma" w:cs="Tahoma"/>
      <w:sz w:val="16"/>
      <w:szCs w:val="16"/>
    </w:rPr>
  </w:style>
  <w:style w:type="character" w:customStyle="1" w:styleId="BalloonTextChar">
    <w:name w:val="Balloon Text Char"/>
    <w:basedOn w:val="DefaultParagraphFont"/>
    <w:link w:val="BalloonText"/>
    <w:uiPriority w:val="99"/>
    <w:semiHidden/>
    <w:rsid w:val="006725E3"/>
    <w:rPr>
      <w:rFonts w:ascii="Tahoma" w:hAnsi="Tahoma" w:cs="Tahoma"/>
      <w:sz w:val="16"/>
      <w:szCs w:val="16"/>
    </w:rPr>
  </w:style>
  <w:style w:type="character" w:styleId="CommentReference">
    <w:name w:val="annotation reference"/>
    <w:basedOn w:val="DefaultParagraphFont"/>
    <w:uiPriority w:val="99"/>
    <w:semiHidden/>
    <w:unhideWhenUsed/>
    <w:rsid w:val="009E3ACC"/>
    <w:rPr>
      <w:sz w:val="18"/>
      <w:szCs w:val="18"/>
    </w:rPr>
  </w:style>
  <w:style w:type="paragraph" w:styleId="CommentText">
    <w:name w:val="annotation text"/>
    <w:basedOn w:val="Normal"/>
    <w:link w:val="CommentTextChar"/>
    <w:uiPriority w:val="99"/>
    <w:unhideWhenUsed/>
    <w:rsid w:val="009E3ACC"/>
    <w:rPr>
      <w:sz w:val="24"/>
      <w:szCs w:val="24"/>
    </w:rPr>
  </w:style>
  <w:style w:type="character" w:customStyle="1" w:styleId="CommentTextChar">
    <w:name w:val="Comment Text Char"/>
    <w:basedOn w:val="DefaultParagraphFont"/>
    <w:link w:val="CommentText"/>
    <w:uiPriority w:val="99"/>
    <w:rsid w:val="009E3ACC"/>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9E3ACC"/>
    <w:rPr>
      <w:b/>
      <w:bCs/>
      <w:sz w:val="20"/>
      <w:szCs w:val="20"/>
    </w:rPr>
  </w:style>
  <w:style w:type="character" w:customStyle="1" w:styleId="CommentSubjectChar">
    <w:name w:val="Comment Subject Char"/>
    <w:basedOn w:val="CommentTextChar"/>
    <w:link w:val="CommentSubject"/>
    <w:uiPriority w:val="99"/>
    <w:semiHidden/>
    <w:rsid w:val="009E3ACC"/>
    <w:rPr>
      <w:rFonts w:ascii="Arial" w:hAnsi="Arial"/>
      <w:b/>
      <w:bCs/>
      <w:sz w:val="20"/>
      <w:szCs w:val="20"/>
    </w:rPr>
  </w:style>
  <w:style w:type="paragraph" w:styleId="Revision">
    <w:name w:val="Revision"/>
    <w:hidden/>
    <w:uiPriority w:val="99"/>
    <w:semiHidden/>
    <w:rsid w:val="009E3ACC"/>
    <w:pPr>
      <w:spacing w:after="0" w:line="240" w:lineRule="auto"/>
    </w:pPr>
    <w:rPr>
      <w:rFonts w:ascii="Arial" w:hAnsi="Arial"/>
    </w:rPr>
  </w:style>
  <w:style w:type="paragraph" w:styleId="TOC1">
    <w:name w:val="toc 1"/>
    <w:basedOn w:val="Normal"/>
    <w:next w:val="Normal"/>
    <w:autoRedefine/>
    <w:uiPriority w:val="39"/>
    <w:unhideWhenUsed/>
    <w:rsid w:val="007F2A57"/>
  </w:style>
  <w:style w:type="paragraph" w:styleId="TOC2">
    <w:name w:val="toc 2"/>
    <w:basedOn w:val="Normal"/>
    <w:next w:val="Normal"/>
    <w:autoRedefine/>
    <w:uiPriority w:val="39"/>
    <w:unhideWhenUsed/>
    <w:rsid w:val="007F2A57"/>
    <w:pPr>
      <w:ind w:left="720"/>
    </w:pPr>
  </w:style>
  <w:style w:type="paragraph" w:styleId="TOC3">
    <w:name w:val="toc 3"/>
    <w:basedOn w:val="Normal"/>
    <w:next w:val="Normal"/>
    <w:autoRedefine/>
    <w:uiPriority w:val="39"/>
    <w:unhideWhenUsed/>
    <w:rsid w:val="007F2A57"/>
    <w:pPr>
      <w:ind w:left="1440"/>
    </w:pPr>
  </w:style>
  <w:style w:type="character" w:styleId="FollowedHyperlink">
    <w:name w:val="FollowedHyperlink"/>
    <w:basedOn w:val="DefaultParagraphFont"/>
    <w:uiPriority w:val="99"/>
    <w:semiHidden/>
    <w:unhideWhenUsed/>
    <w:rsid w:val="00C51B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13393">
      <w:bodyDiv w:val="1"/>
      <w:marLeft w:val="0"/>
      <w:marRight w:val="0"/>
      <w:marTop w:val="0"/>
      <w:marBottom w:val="0"/>
      <w:divBdr>
        <w:top w:val="none" w:sz="0" w:space="0" w:color="auto"/>
        <w:left w:val="none" w:sz="0" w:space="0" w:color="auto"/>
        <w:bottom w:val="none" w:sz="0" w:space="0" w:color="auto"/>
        <w:right w:val="none" w:sz="0" w:space="0" w:color="auto"/>
      </w:divBdr>
      <w:divsChild>
        <w:div w:id="304045877">
          <w:marLeft w:val="0"/>
          <w:marRight w:val="0"/>
          <w:marTop w:val="0"/>
          <w:marBottom w:val="0"/>
          <w:divBdr>
            <w:top w:val="none" w:sz="0" w:space="0" w:color="3D3D3D"/>
            <w:left w:val="none" w:sz="0" w:space="0" w:color="3D3D3D"/>
            <w:bottom w:val="none" w:sz="0" w:space="0" w:color="3D3D3D"/>
            <w:right w:val="none" w:sz="0" w:space="0" w:color="3D3D3D"/>
          </w:divBdr>
          <w:divsChild>
            <w:div w:id="4607287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7962036">
      <w:bodyDiv w:val="1"/>
      <w:marLeft w:val="0"/>
      <w:marRight w:val="0"/>
      <w:marTop w:val="0"/>
      <w:marBottom w:val="0"/>
      <w:divBdr>
        <w:top w:val="none" w:sz="0" w:space="0" w:color="auto"/>
        <w:left w:val="none" w:sz="0" w:space="0" w:color="auto"/>
        <w:bottom w:val="none" w:sz="0" w:space="0" w:color="auto"/>
        <w:right w:val="none" w:sz="0" w:space="0" w:color="auto"/>
      </w:divBdr>
      <w:divsChild>
        <w:div w:id="1025666927">
          <w:marLeft w:val="0"/>
          <w:marRight w:val="0"/>
          <w:marTop w:val="0"/>
          <w:marBottom w:val="0"/>
          <w:divBdr>
            <w:top w:val="none" w:sz="0" w:space="0" w:color="3D3D3D"/>
            <w:left w:val="none" w:sz="0" w:space="0" w:color="3D3D3D"/>
            <w:bottom w:val="none" w:sz="0" w:space="0" w:color="3D3D3D"/>
            <w:right w:val="none" w:sz="0" w:space="0" w:color="3D3D3D"/>
          </w:divBdr>
          <w:divsChild>
            <w:div w:id="6571496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20189841">
      <w:bodyDiv w:val="1"/>
      <w:marLeft w:val="0"/>
      <w:marRight w:val="0"/>
      <w:marTop w:val="0"/>
      <w:marBottom w:val="0"/>
      <w:divBdr>
        <w:top w:val="none" w:sz="0" w:space="0" w:color="auto"/>
        <w:left w:val="none" w:sz="0" w:space="0" w:color="auto"/>
        <w:bottom w:val="none" w:sz="0" w:space="0" w:color="auto"/>
        <w:right w:val="none" w:sz="0" w:space="0" w:color="auto"/>
      </w:divBdr>
      <w:divsChild>
        <w:div w:id="1581716780">
          <w:marLeft w:val="0"/>
          <w:marRight w:val="0"/>
          <w:marTop w:val="0"/>
          <w:marBottom w:val="0"/>
          <w:divBdr>
            <w:top w:val="none" w:sz="0" w:space="0" w:color="auto"/>
            <w:left w:val="none" w:sz="0" w:space="0" w:color="auto"/>
            <w:bottom w:val="none" w:sz="0" w:space="0" w:color="auto"/>
            <w:right w:val="none" w:sz="0" w:space="0" w:color="auto"/>
          </w:divBdr>
          <w:divsChild>
            <w:div w:id="19375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chbook.sog.unc.edu/criminal/double-jeopard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BFC56B3BB3BA4AAF83E5A882D5CB3D"/>
        <w:category>
          <w:name w:val="General"/>
          <w:gallery w:val="placeholder"/>
        </w:category>
        <w:types>
          <w:type w:val="bbPlcHdr"/>
        </w:types>
        <w:behaviors>
          <w:behavior w:val="content"/>
        </w:behaviors>
        <w:guid w:val="{37FF4D4D-D6CD-1840-B467-E2C2A4AA1BAF}"/>
      </w:docPartPr>
      <w:docPartBody>
        <w:p w:rsidR="006408C8" w:rsidRDefault="006408C8" w:rsidP="006408C8">
          <w:pPr>
            <w:pStyle w:val="FFBFC56B3BB3BA4AAF83E5A882D5CB3D"/>
          </w:pPr>
          <w:r>
            <w:t>[Type text]</w:t>
          </w:r>
        </w:p>
      </w:docPartBody>
    </w:docPart>
    <w:docPart>
      <w:docPartPr>
        <w:name w:val="405A63640459C340933C44D6900BB15C"/>
        <w:category>
          <w:name w:val="General"/>
          <w:gallery w:val="placeholder"/>
        </w:category>
        <w:types>
          <w:type w:val="bbPlcHdr"/>
        </w:types>
        <w:behaviors>
          <w:behavior w:val="content"/>
        </w:behaviors>
        <w:guid w:val="{22FF081B-8566-6044-8C41-D77875EFAC2F}"/>
      </w:docPartPr>
      <w:docPartBody>
        <w:p w:rsidR="006408C8" w:rsidRDefault="006408C8" w:rsidP="006408C8">
          <w:pPr>
            <w:pStyle w:val="405A63640459C340933C44D6900BB15C"/>
          </w:pPr>
          <w:r>
            <w:t>[Type text]</w:t>
          </w:r>
        </w:p>
      </w:docPartBody>
    </w:docPart>
    <w:docPart>
      <w:docPartPr>
        <w:name w:val="107C2F1793753C42B55C9F5636E88B8F"/>
        <w:category>
          <w:name w:val="General"/>
          <w:gallery w:val="placeholder"/>
        </w:category>
        <w:types>
          <w:type w:val="bbPlcHdr"/>
        </w:types>
        <w:behaviors>
          <w:behavior w:val="content"/>
        </w:behaviors>
        <w:guid w:val="{8D9B126D-3E31-1A4D-95B5-A62942B1A961}"/>
      </w:docPartPr>
      <w:docPartBody>
        <w:p w:rsidR="006408C8" w:rsidRDefault="006408C8" w:rsidP="006408C8">
          <w:pPr>
            <w:pStyle w:val="107C2F1793753C42B55C9F5636E88B8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08C8"/>
    <w:rsid w:val="006408C8"/>
    <w:rsid w:val="00851671"/>
    <w:rsid w:val="009B2FA5"/>
    <w:rsid w:val="009C298B"/>
    <w:rsid w:val="00C35099"/>
    <w:rsid w:val="00C936F0"/>
    <w:rsid w:val="00D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BFC56B3BB3BA4AAF83E5A882D5CB3D">
    <w:name w:val="FFBFC56B3BB3BA4AAF83E5A882D5CB3D"/>
    <w:rsid w:val="006408C8"/>
  </w:style>
  <w:style w:type="paragraph" w:customStyle="1" w:styleId="405A63640459C340933C44D6900BB15C">
    <w:name w:val="405A63640459C340933C44D6900BB15C"/>
    <w:rsid w:val="006408C8"/>
  </w:style>
  <w:style w:type="paragraph" w:customStyle="1" w:styleId="107C2F1793753C42B55C9F5636E88B8F">
    <w:name w:val="107C2F1793753C42B55C9F5636E88B8F"/>
    <w:rsid w:val="00640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8CCD-82B0-4231-B6E8-AABBF874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3238</Words>
  <Characters>18463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Denning, Shea R.</cp:lastModifiedBy>
  <cp:revision>2</cp:revision>
  <cp:lastPrinted>2015-02-13T19:13:00Z</cp:lastPrinted>
  <dcterms:created xsi:type="dcterms:W3CDTF">2024-10-08T13:55:00Z</dcterms:created>
  <dcterms:modified xsi:type="dcterms:W3CDTF">2024-10-08T13:55:00Z</dcterms:modified>
</cp:coreProperties>
</file>