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96D5" w14:textId="77777777" w:rsidR="00EB7A44" w:rsidRPr="00C4160B" w:rsidRDefault="00490F28" w:rsidP="00CE56F5">
      <w:pPr>
        <w:spacing w:after="0" w:line="240" w:lineRule="auto"/>
        <w:jc w:val="center"/>
        <w:rPr>
          <w:rFonts w:ascii="Arial" w:hAnsi="Arial" w:cs="Arial"/>
          <w:b/>
          <w:caps/>
          <w:sz w:val="24"/>
          <w:szCs w:val="24"/>
        </w:rPr>
      </w:pPr>
      <w:r w:rsidRPr="00C4160B">
        <w:rPr>
          <w:rFonts w:ascii="Arial" w:hAnsi="Arial" w:cs="Arial"/>
          <w:b/>
          <w:caps/>
          <w:sz w:val="24"/>
          <w:szCs w:val="24"/>
        </w:rPr>
        <w:t>Post-Conviction DN</w:t>
      </w:r>
      <w:r w:rsidR="00EB7A44" w:rsidRPr="00C4160B">
        <w:rPr>
          <w:rFonts w:ascii="Arial" w:hAnsi="Arial" w:cs="Arial"/>
          <w:b/>
          <w:caps/>
          <w:sz w:val="24"/>
          <w:szCs w:val="24"/>
        </w:rPr>
        <w:t>A Testing</w:t>
      </w:r>
    </w:p>
    <w:p w14:paraId="412F343C" w14:textId="77777777" w:rsidR="00EB7A44" w:rsidRPr="00C4160B" w:rsidRDefault="00EB7A44" w:rsidP="00CE56F5">
      <w:pPr>
        <w:spacing w:after="0" w:line="240" w:lineRule="auto"/>
        <w:jc w:val="center"/>
        <w:rPr>
          <w:rFonts w:ascii="Arial" w:hAnsi="Arial" w:cs="Arial"/>
        </w:rPr>
      </w:pPr>
    </w:p>
    <w:p w14:paraId="4AF3A6E1" w14:textId="77777777" w:rsidR="00EB7A44" w:rsidRPr="00C4160B" w:rsidRDefault="00EB7A44" w:rsidP="00FB6E7F">
      <w:pPr>
        <w:spacing w:after="0" w:line="240" w:lineRule="auto"/>
        <w:rPr>
          <w:rFonts w:ascii="Arial" w:hAnsi="Arial" w:cs="Arial"/>
        </w:rPr>
      </w:pPr>
      <w:r w:rsidRPr="00C4160B">
        <w:rPr>
          <w:rFonts w:ascii="Arial" w:hAnsi="Arial" w:cs="Arial"/>
        </w:rPr>
        <w:t>Jessica Smith, UNC School of Government (</w:t>
      </w:r>
      <w:r w:rsidR="00465125" w:rsidRPr="00C4160B">
        <w:rPr>
          <w:rFonts w:ascii="Arial" w:hAnsi="Arial" w:cs="Arial"/>
        </w:rPr>
        <w:t>April 2015</w:t>
      </w:r>
      <w:r w:rsidRPr="00C4160B">
        <w:rPr>
          <w:rFonts w:ascii="Arial" w:hAnsi="Arial" w:cs="Arial"/>
        </w:rPr>
        <w:t>)</w:t>
      </w:r>
    </w:p>
    <w:p w14:paraId="0055F1B7" w14:textId="11548A8F" w:rsidR="007137AD" w:rsidRDefault="0018578A" w:rsidP="00FB6E7F">
      <w:pPr>
        <w:spacing w:after="0" w:line="240" w:lineRule="auto"/>
        <w:rPr>
          <w:rFonts w:ascii="Arial" w:hAnsi="Arial" w:cs="Arial"/>
        </w:rPr>
      </w:pPr>
      <w:r>
        <w:rPr>
          <w:rFonts w:ascii="Arial" w:hAnsi="Arial" w:cs="Arial"/>
        </w:rPr>
        <w:t>Updated by Christopher Tyner (</w:t>
      </w:r>
      <w:r w:rsidR="001E7D25">
        <w:rPr>
          <w:rFonts w:ascii="Arial" w:hAnsi="Arial" w:cs="Arial"/>
        </w:rPr>
        <w:t>April</w:t>
      </w:r>
      <w:r>
        <w:rPr>
          <w:rFonts w:ascii="Arial" w:hAnsi="Arial" w:cs="Arial"/>
        </w:rPr>
        <w:t xml:space="preserve"> 2023)</w:t>
      </w:r>
    </w:p>
    <w:p w14:paraId="30AD9B8C" w14:textId="77777777" w:rsidR="0018578A" w:rsidRPr="00C4160B" w:rsidRDefault="0018578A" w:rsidP="00FB6E7F">
      <w:pPr>
        <w:spacing w:after="0" w:line="240" w:lineRule="auto"/>
        <w:rPr>
          <w:rFonts w:ascii="Arial" w:hAnsi="Arial" w:cs="Arial"/>
        </w:rPr>
      </w:pPr>
    </w:p>
    <w:p w14:paraId="7C26A323" w14:textId="77777777" w:rsidR="00526224" w:rsidRPr="00C4160B" w:rsidRDefault="004242B9" w:rsidP="00FB6E7F">
      <w:pPr>
        <w:spacing w:after="0" w:line="240" w:lineRule="auto"/>
        <w:rPr>
          <w:rFonts w:ascii="Arial" w:hAnsi="Arial" w:cs="Arial"/>
        </w:rPr>
      </w:pPr>
      <w:r w:rsidRPr="00C4160B">
        <w:rPr>
          <w:rFonts w:ascii="Arial" w:hAnsi="Arial" w:cs="Arial"/>
          <w:b/>
        </w:rPr>
        <w:t>Contents</w:t>
      </w:r>
    </w:p>
    <w:p w14:paraId="714D759E" w14:textId="34B7C51C" w:rsidR="004242B9" w:rsidRPr="00C4160B" w:rsidRDefault="004242B9" w:rsidP="004242B9">
      <w:pPr>
        <w:pStyle w:val="TOC1"/>
        <w:rPr>
          <w:rFonts w:asciiTheme="minorHAnsi" w:eastAsiaTheme="minorEastAsia" w:hAnsiTheme="minorHAnsi" w:cstheme="minorBidi"/>
          <w:noProof/>
        </w:rPr>
      </w:pPr>
      <w:r w:rsidRPr="00C4160B">
        <w:rPr>
          <w:rFonts w:cs="Arial"/>
          <w:b/>
          <w:bCs/>
        </w:rPr>
        <w:fldChar w:fldCharType="begin"/>
      </w:r>
      <w:r w:rsidRPr="00C4160B">
        <w:rPr>
          <w:rFonts w:cs="Arial"/>
          <w:b/>
          <w:bCs/>
        </w:rPr>
        <w:instrText xml:space="preserve"> TOC \o "1-2" \h \z \u </w:instrText>
      </w:r>
      <w:r w:rsidRPr="00C4160B">
        <w:rPr>
          <w:rFonts w:cs="Arial"/>
          <w:b/>
          <w:bCs/>
        </w:rPr>
        <w:fldChar w:fldCharType="separate"/>
      </w:r>
      <w:hyperlink w:anchor="_Toc416436050" w:history="1">
        <w:r w:rsidRPr="00C4160B">
          <w:rPr>
            <w:rStyle w:val="Hyperlink"/>
            <w:noProof/>
          </w:rPr>
          <w:t>I.</w:t>
        </w:r>
        <w:r w:rsidRPr="00C4160B">
          <w:rPr>
            <w:rFonts w:asciiTheme="minorHAnsi" w:eastAsiaTheme="minorEastAsia" w:hAnsiTheme="minorHAnsi" w:cstheme="minorBidi"/>
            <w:noProof/>
          </w:rPr>
          <w:tab/>
        </w:r>
        <w:r w:rsidRPr="00C4160B">
          <w:rPr>
            <w:rStyle w:val="Hyperlink"/>
            <w:noProof/>
          </w:rPr>
          <w:t>Basis of the Right to Testing</w:t>
        </w:r>
        <w:r w:rsidRPr="00C4160B">
          <w:rPr>
            <w:noProof/>
            <w:webHidden/>
          </w:rPr>
          <w:tab/>
        </w:r>
        <w:r w:rsidRPr="00C4160B">
          <w:rPr>
            <w:noProof/>
            <w:webHidden/>
          </w:rPr>
          <w:fldChar w:fldCharType="begin"/>
        </w:r>
        <w:r w:rsidRPr="00C4160B">
          <w:rPr>
            <w:noProof/>
            <w:webHidden/>
          </w:rPr>
          <w:instrText xml:space="preserve"> PAGEREF _Toc416436050 \h </w:instrText>
        </w:r>
        <w:r w:rsidRPr="00C4160B">
          <w:rPr>
            <w:noProof/>
            <w:webHidden/>
          </w:rPr>
        </w:r>
        <w:r w:rsidRPr="00C4160B">
          <w:rPr>
            <w:noProof/>
            <w:webHidden/>
          </w:rPr>
          <w:fldChar w:fldCharType="separate"/>
        </w:r>
        <w:r w:rsidR="00005F13">
          <w:rPr>
            <w:noProof/>
            <w:webHidden/>
          </w:rPr>
          <w:t>1</w:t>
        </w:r>
        <w:r w:rsidRPr="00C4160B">
          <w:rPr>
            <w:noProof/>
            <w:webHidden/>
          </w:rPr>
          <w:fldChar w:fldCharType="end"/>
        </w:r>
      </w:hyperlink>
    </w:p>
    <w:p w14:paraId="43A61906" w14:textId="66D24DF7" w:rsidR="004242B9" w:rsidRPr="00C4160B" w:rsidRDefault="00000000" w:rsidP="004242B9">
      <w:pPr>
        <w:pStyle w:val="TOC1"/>
        <w:rPr>
          <w:rFonts w:asciiTheme="minorHAnsi" w:eastAsiaTheme="minorEastAsia" w:hAnsiTheme="minorHAnsi" w:cstheme="minorBidi"/>
          <w:noProof/>
        </w:rPr>
      </w:pPr>
      <w:hyperlink w:anchor="_Toc416436051" w:history="1">
        <w:r w:rsidR="004242B9" w:rsidRPr="00C4160B">
          <w:rPr>
            <w:rStyle w:val="Hyperlink"/>
            <w:noProof/>
          </w:rPr>
          <w:t>II.</w:t>
        </w:r>
        <w:r w:rsidR="004242B9" w:rsidRPr="00C4160B">
          <w:rPr>
            <w:rFonts w:asciiTheme="minorHAnsi" w:eastAsiaTheme="minorEastAsia" w:hAnsiTheme="minorHAnsi" w:cstheme="minorBidi"/>
            <w:noProof/>
          </w:rPr>
          <w:tab/>
        </w:r>
        <w:r w:rsidR="004242B9" w:rsidRPr="00C4160B">
          <w:rPr>
            <w:rStyle w:val="Hyperlink"/>
            <w:noProof/>
          </w:rPr>
          <w:t>Defendant’s Motion</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_Toc416436051 \h </w:instrText>
        </w:r>
        <w:r w:rsidR="004242B9" w:rsidRPr="00C4160B">
          <w:rPr>
            <w:noProof/>
            <w:webHidden/>
          </w:rPr>
        </w:r>
        <w:r w:rsidR="004242B9" w:rsidRPr="00C4160B">
          <w:rPr>
            <w:noProof/>
            <w:webHidden/>
          </w:rPr>
          <w:fldChar w:fldCharType="separate"/>
        </w:r>
        <w:r w:rsidR="00005F13">
          <w:rPr>
            <w:noProof/>
            <w:webHidden/>
          </w:rPr>
          <w:t>1</w:t>
        </w:r>
        <w:r w:rsidR="004242B9" w:rsidRPr="00C4160B">
          <w:rPr>
            <w:noProof/>
            <w:webHidden/>
          </w:rPr>
          <w:fldChar w:fldCharType="end"/>
        </w:r>
      </w:hyperlink>
    </w:p>
    <w:p w14:paraId="561AC0F0" w14:textId="5A9D0164" w:rsidR="004242B9" w:rsidRPr="00C4160B" w:rsidRDefault="00000000">
      <w:pPr>
        <w:pStyle w:val="TOC2"/>
        <w:tabs>
          <w:tab w:val="left" w:pos="1320"/>
          <w:tab w:val="right" w:leader="dot" w:pos="9350"/>
        </w:tabs>
        <w:rPr>
          <w:rFonts w:asciiTheme="minorHAnsi" w:eastAsiaTheme="minorEastAsia" w:hAnsiTheme="minorHAnsi" w:cstheme="minorBidi"/>
          <w:noProof/>
        </w:rPr>
      </w:pPr>
      <w:hyperlink w:anchor="_Toc416436052" w:history="1">
        <w:r w:rsidR="004242B9" w:rsidRPr="00C4160B">
          <w:rPr>
            <w:rStyle w:val="Hyperlink"/>
            <w:rFonts w:eastAsia="Times New Roman"/>
            <w:noProof/>
          </w:rPr>
          <w:t>A.</w:t>
        </w:r>
        <w:r w:rsidR="004242B9" w:rsidRPr="00C4160B">
          <w:rPr>
            <w:rFonts w:asciiTheme="minorHAnsi" w:eastAsiaTheme="minorEastAsia" w:hAnsiTheme="minorHAnsi" w:cstheme="minorBidi"/>
            <w:noProof/>
          </w:rPr>
          <w:tab/>
        </w:r>
        <w:r w:rsidR="004242B9" w:rsidRPr="00C4160B">
          <w:rPr>
            <w:rStyle w:val="Hyperlink"/>
            <w:noProof/>
          </w:rPr>
          <w:t>Not For Showing Lack of Biological Evidence</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_Toc416436052 \h </w:instrText>
        </w:r>
        <w:r w:rsidR="004242B9" w:rsidRPr="00C4160B">
          <w:rPr>
            <w:noProof/>
            <w:webHidden/>
          </w:rPr>
        </w:r>
        <w:r w:rsidR="004242B9" w:rsidRPr="00C4160B">
          <w:rPr>
            <w:noProof/>
            <w:webHidden/>
          </w:rPr>
          <w:fldChar w:fldCharType="separate"/>
        </w:r>
        <w:r w:rsidR="00005F13">
          <w:rPr>
            <w:noProof/>
            <w:webHidden/>
          </w:rPr>
          <w:t>2</w:t>
        </w:r>
        <w:r w:rsidR="004242B9" w:rsidRPr="00C4160B">
          <w:rPr>
            <w:noProof/>
            <w:webHidden/>
          </w:rPr>
          <w:fldChar w:fldCharType="end"/>
        </w:r>
      </w:hyperlink>
    </w:p>
    <w:p w14:paraId="5B689525" w14:textId="34737F3D" w:rsidR="004242B9" w:rsidRPr="00C4160B" w:rsidRDefault="00000000" w:rsidP="004242B9">
      <w:pPr>
        <w:pStyle w:val="TOC1"/>
        <w:rPr>
          <w:rFonts w:asciiTheme="minorHAnsi" w:eastAsiaTheme="minorEastAsia" w:hAnsiTheme="minorHAnsi" w:cstheme="minorBidi"/>
          <w:noProof/>
        </w:rPr>
      </w:pPr>
      <w:hyperlink w:anchor="_Toc416436053" w:history="1">
        <w:r w:rsidR="004242B9" w:rsidRPr="00C4160B">
          <w:rPr>
            <w:rStyle w:val="Hyperlink"/>
            <w:noProof/>
          </w:rPr>
          <w:t>III.</w:t>
        </w:r>
        <w:r w:rsidR="004242B9" w:rsidRPr="00C4160B">
          <w:rPr>
            <w:rFonts w:asciiTheme="minorHAnsi" w:eastAsiaTheme="minorEastAsia" w:hAnsiTheme="minorHAnsi" w:cstheme="minorBidi"/>
            <w:noProof/>
          </w:rPr>
          <w:tab/>
        </w:r>
        <w:r w:rsidR="004242B9" w:rsidRPr="00C4160B">
          <w:rPr>
            <w:rStyle w:val="Hyperlink"/>
            <w:noProof/>
          </w:rPr>
          <w:t>Testing By Consent</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_Toc416436053 \h </w:instrText>
        </w:r>
        <w:r w:rsidR="004242B9" w:rsidRPr="00C4160B">
          <w:rPr>
            <w:noProof/>
            <w:webHidden/>
          </w:rPr>
        </w:r>
        <w:r w:rsidR="004242B9" w:rsidRPr="00C4160B">
          <w:rPr>
            <w:noProof/>
            <w:webHidden/>
          </w:rPr>
          <w:fldChar w:fldCharType="separate"/>
        </w:r>
        <w:r w:rsidR="00005F13">
          <w:rPr>
            <w:noProof/>
            <w:webHidden/>
          </w:rPr>
          <w:t>2</w:t>
        </w:r>
        <w:r w:rsidR="004242B9" w:rsidRPr="00C4160B">
          <w:rPr>
            <w:noProof/>
            <w:webHidden/>
          </w:rPr>
          <w:fldChar w:fldCharType="end"/>
        </w:r>
      </w:hyperlink>
    </w:p>
    <w:p w14:paraId="562EA41A" w14:textId="469F8C53" w:rsidR="004242B9" w:rsidRPr="00C4160B" w:rsidRDefault="00000000" w:rsidP="004242B9">
      <w:pPr>
        <w:pStyle w:val="TOC1"/>
        <w:rPr>
          <w:rFonts w:asciiTheme="minorHAnsi" w:eastAsiaTheme="minorEastAsia" w:hAnsiTheme="minorHAnsi" w:cstheme="minorBidi"/>
          <w:noProof/>
        </w:rPr>
      </w:pPr>
      <w:hyperlink w:anchor="_Toc416436054" w:history="1">
        <w:r w:rsidR="004242B9" w:rsidRPr="00C4160B">
          <w:rPr>
            <w:rStyle w:val="Hyperlink"/>
            <w:noProof/>
          </w:rPr>
          <w:t>IV.</w:t>
        </w:r>
        <w:r w:rsidR="004242B9" w:rsidRPr="00C4160B">
          <w:rPr>
            <w:rFonts w:asciiTheme="minorHAnsi" w:eastAsiaTheme="minorEastAsia" w:hAnsiTheme="minorHAnsi" w:cstheme="minorBidi"/>
            <w:noProof/>
          </w:rPr>
          <w:tab/>
        </w:r>
        <w:r w:rsidR="004242B9" w:rsidRPr="00C4160B">
          <w:rPr>
            <w:rStyle w:val="Hyperlink"/>
            <w:noProof/>
          </w:rPr>
          <w:t>Counsel</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_Toc416436054 \h </w:instrText>
        </w:r>
        <w:r w:rsidR="004242B9" w:rsidRPr="00C4160B">
          <w:rPr>
            <w:noProof/>
            <w:webHidden/>
          </w:rPr>
        </w:r>
        <w:r w:rsidR="004242B9" w:rsidRPr="00C4160B">
          <w:rPr>
            <w:noProof/>
            <w:webHidden/>
          </w:rPr>
          <w:fldChar w:fldCharType="separate"/>
        </w:r>
        <w:r w:rsidR="00005F13">
          <w:rPr>
            <w:noProof/>
            <w:webHidden/>
          </w:rPr>
          <w:t>2</w:t>
        </w:r>
        <w:r w:rsidR="004242B9" w:rsidRPr="00C4160B">
          <w:rPr>
            <w:noProof/>
            <w:webHidden/>
          </w:rPr>
          <w:fldChar w:fldCharType="end"/>
        </w:r>
      </w:hyperlink>
    </w:p>
    <w:p w14:paraId="565A565B" w14:textId="20D115D7" w:rsidR="004242B9" w:rsidRPr="00C4160B" w:rsidRDefault="00000000" w:rsidP="004242B9">
      <w:pPr>
        <w:pStyle w:val="TOC1"/>
        <w:rPr>
          <w:rFonts w:asciiTheme="minorHAnsi" w:eastAsiaTheme="minorEastAsia" w:hAnsiTheme="minorHAnsi" w:cstheme="minorBidi"/>
          <w:noProof/>
        </w:rPr>
      </w:pPr>
      <w:hyperlink w:anchor="_Toc416436055" w:history="1">
        <w:r w:rsidR="004242B9" w:rsidRPr="00C4160B">
          <w:rPr>
            <w:rStyle w:val="Hyperlink"/>
            <w:noProof/>
          </w:rPr>
          <w:t>V.</w:t>
        </w:r>
        <w:r w:rsidR="004242B9" w:rsidRPr="00C4160B">
          <w:rPr>
            <w:rFonts w:asciiTheme="minorHAnsi" w:eastAsiaTheme="minorEastAsia" w:hAnsiTheme="minorHAnsi" w:cstheme="minorBidi"/>
            <w:noProof/>
          </w:rPr>
          <w:tab/>
        </w:r>
        <w:r w:rsidR="004242B9" w:rsidRPr="00C4160B">
          <w:rPr>
            <w:rStyle w:val="Hyperlink"/>
            <w:noProof/>
          </w:rPr>
          <w:t>Evaluating and Ruling on the Motion</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_Toc416436055 \h </w:instrText>
        </w:r>
        <w:r w:rsidR="004242B9" w:rsidRPr="00C4160B">
          <w:rPr>
            <w:noProof/>
            <w:webHidden/>
          </w:rPr>
        </w:r>
        <w:r w:rsidR="004242B9" w:rsidRPr="00C4160B">
          <w:rPr>
            <w:noProof/>
            <w:webHidden/>
          </w:rPr>
          <w:fldChar w:fldCharType="separate"/>
        </w:r>
        <w:r w:rsidR="00005F13">
          <w:rPr>
            <w:noProof/>
            <w:webHidden/>
          </w:rPr>
          <w:t>3</w:t>
        </w:r>
        <w:r w:rsidR="004242B9" w:rsidRPr="00C4160B">
          <w:rPr>
            <w:noProof/>
            <w:webHidden/>
          </w:rPr>
          <w:fldChar w:fldCharType="end"/>
        </w:r>
      </w:hyperlink>
    </w:p>
    <w:p w14:paraId="62AFC3E3" w14:textId="6BAC5705" w:rsidR="004242B9" w:rsidRPr="00C4160B" w:rsidRDefault="00000000">
      <w:pPr>
        <w:pStyle w:val="TOC2"/>
        <w:tabs>
          <w:tab w:val="left" w:pos="1320"/>
          <w:tab w:val="right" w:leader="dot" w:pos="9350"/>
        </w:tabs>
        <w:rPr>
          <w:rFonts w:asciiTheme="minorHAnsi" w:eastAsiaTheme="minorEastAsia" w:hAnsiTheme="minorHAnsi" w:cstheme="minorBidi"/>
          <w:noProof/>
        </w:rPr>
      </w:pPr>
      <w:hyperlink w:anchor="_Toc416436056" w:history="1">
        <w:r w:rsidR="004242B9" w:rsidRPr="00C4160B">
          <w:rPr>
            <w:rStyle w:val="Hyperlink"/>
            <w:rFonts w:eastAsia="Times New Roman"/>
            <w:noProof/>
          </w:rPr>
          <w:t>A.</w:t>
        </w:r>
        <w:r w:rsidR="004242B9" w:rsidRPr="00C4160B">
          <w:rPr>
            <w:rFonts w:asciiTheme="minorHAnsi" w:eastAsiaTheme="minorEastAsia" w:hAnsiTheme="minorHAnsi" w:cstheme="minorBidi"/>
            <w:noProof/>
          </w:rPr>
          <w:tab/>
        </w:r>
        <w:r w:rsidR="004242B9" w:rsidRPr="00C4160B">
          <w:rPr>
            <w:rStyle w:val="Hyperlink"/>
            <w:noProof/>
          </w:rPr>
          <w:t>Hearing</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_Toc416436056 \h </w:instrText>
        </w:r>
        <w:r w:rsidR="004242B9" w:rsidRPr="00C4160B">
          <w:rPr>
            <w:noProof/>
            <w:webHidden/>
          </w:rPr>
        </w:r>
        <w:r w:rsidR="004242B9" w:rsidRPr="00C4160B">
          <w:rPr>
            <w:noProof/>
            <w:webHidden/>
          </w:rPr>
          <w:fldChar w:fldCharType="separate"/>
        </w:r>
        <w:r w:rsidR="00005F13">
          <w:rPr>
            <w:noProof/>
            <w:webHidden/>
          </w:rPr>
          <w:t>3</w:t>
        </w:r>
        <w:r w:rsidR="004242B9" w:rsidRPr="00C4160B">
          <w:rPr>
            <w:noProof/>
            <w:webHidden/>
          </w:rPr>
          <w:fldChar w:fldCharType="end"/>
        </w:r>
      </w:hyperlink>
    </w:p>
    <w:p w14:paraId="0BFACBB6" w14:textId="0FF3577F" w:rsidR="004242B9" w:rsidRPr="00C4160B" w:rsidRDefault="00000000">
      <w:pPr>
        <w:pStyle w:val="TOC2"/>
        <w:tabs>
          <w:tab w:val="left" w:pos="1320"/>
          <w:tab w:val="right" w:leader="dot" w:pos="9350"/>
        </w:tabs>
        <w:rPr>
          <w:rFonts w:asciiTheme="minorHAnsi" w:eastAsiaTheme="minorEastAsia" w:hAnsiTheme="minorHAnsi" w:cstheme="minorBidi"/>
          <w:noProof/>
        </w:rPr>
      </w:pPr>
      <w:hyperlink w:anchor="_Toc416436057" w:history="1">
        <w:r w:rsidR="004242B9" w:rsidRPr="00C4160B">
          <w:rPr>
            <w:rStyle w:val="Hyperlink"/>
            <w:rFonts w:eastAsia="Times New Roman"/>
            <w:noProof/>
          </w:rPr>
          <w:t>B.</w:t>
        </w:r>
        <w:r w:rsidR="004242B9" w:rsidRPr="00C4160B">
          <w:rPr>
            <w:rFonts w:asciiTheme="minorHAnsi" w:eastAsiaTheme="minorEastAsia" w:hAnsiTheme="minorHAnsi" w:cstheme="minorBidi"/>
            <w:noProof/>
          </w:rPr>
          <w:tab/>
        </w:r>
        <w:r w:rsidR="004242B9" w:rsidRPr="00C4160B">
          <w:rPr>
            <w:rStyle w:val="Hyperlink"/>
            <w:noProof/>
          </w:rPr>
          <w:t>Standard</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_Toc416436057 \h </w:instrText>
        </w:r>
        <w:r w:rsidR="004242B9" w:rsidRPr="00C4160B">
          <w:rPr>
            <w:noProof/>
            <w:webHidden/>
          </w:rPr>
        </w:r>
        <w:r w:rsidR="004242B9" w:rsidRPr="00C4160B">
          <w:rPr>
            <w:noProof/>
            <w:webHidden/>
          </w:rPr>
          <w:fldChar w:fldCharType="separate"/>
        </w:r>
        <w:r w:rsidR="00005F13">
          <w:rPr>
            <w:noProof/>
            <w:webHidden/>
          </w:rPr>
          <w:t>3</w:t>
        </w:r>
        <w:r w:rsidR="004242B9" w:rsidRPr="00C4160B">
          <w:rPr>
            <w:noProof/>
            <w:webHidden/>
          </w:rPr>
          <w:fldChar w:fldCharType="end"/>
        </w:r>
      </w:hyperlink>
    </w:p>
    <w:p w14:paraId="2F65BC57" w14:textId="2C81E81D" w:rsidR="004242B9" w:rsidRPr="00C4160B" w:rsidRDefault="00000000">
      <w:pPr>
        <w:pStyle w:val="TOC2"/>
        <w:tabs>
          <w:tab w:val="left" w:pos="1320"/>
          <w:tab w:val="right" w:leader="dot" w:pos="9350"/>
        </w:tabs>
        <w:rPr>
          <w:rFonts w:asciiTheme="minorHAnsi" w:eastAsiaTheme="minorEastAsia" w:hAnsiTheme="minorHAnsi" w:cstheme="minorBidi"/>
          <w:noProof/>
        </w:rPr>
      </w:pPr>
      <w:hyperlink w:anchor="_Toc416436058" w:history="1">
        <w:r w:rsidR="004242B9" w:rsidRPr="00C4160B">
          <w:rPr>
            <w:rStyle w:val="Hyperlink"/>
            <w:rFonts w:eastAsia="Times New Roman"/>
            <w:noProof/>
          </w:rPr>
          <w:t>C.</w:t>
        </w:r>
        <w:r w:rsidR="004242B9" w:rsidRPr="00C4160B">
          <w:rPr>
            <w:rFonts w:asciiTheme="minorHAnsi" w:eastAsiaTheme="minorEastAsia" w:hAnsiTheme="minorHAnsi" w:cstheme="minorBidi"/>
            <w:noProof/>
          </w:rPr>
          <w:tab/>
        </w:r>
        <w:r w:rsidR="004242B9" w:rsidRPr="00C4160B">
          <w:rPr>
            <w:rStyle w:val="Hyperlink"/>
            <w:noProof/>
          </w:rPr>
          <w:t>Order</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_Toc416436058 \h </w:instrText>
        </w:r>
        <w:r w:rsidR="004242B9" w:rsidRPr="00C4160B">
          <w:rPr>
            <w:noProof/>
            <w:webHidden/>
          </w:rPr>
        </w:r>
        <w:r w:rsidR="004242B9" w:rsidRPr="00C4160B">
          <w:rPr>
            <w:noProof/>
            <w:webHidden/>
          </w:rPr>
          <w:fldChar w:fldCharType="separate"/>
        </w:r>
        <w:r w:rsidR="00005F13">
          <w:rPr>
            <w:noProof/>
            <w:webHidden/>
          </w:rPr>
          <w:t>6</w:t>
        </w:r>
        <w:r w:rsidR="004242B9" w:rsidRPr="00C4160B">
          <w:rPr>
            <w:noProof/>
            <w:webHidden/>
          </w:rPr>
          <w:fldChar w:fldCharType="end"/>
        </w:r>
      </w:hyperlink>
    </w:p>
    <w:p w14:paraId="6CF72A6C" w14:textId="666C3720" w:rsidR="004242B9" w:rsidRPr="00C4160B" w:rsidRDefault="00000000" w:rsidP="004242B9">
      <w:pPr>
        <w:pStyle w:val="TOC1"/>
        <w:rPr>
          <w:rFonts w:asciiTheme="minorHAnsi" w:eastAsiaTheme="minorEastAsia" w:hAnsiTheme="minorHAnsi" w:cstheme="minorBidi"/>
          <w:noProof/>
        </w:rPr>
      </w:pPr>
      <w:hyperlink w:anchor="_Toc416436059" w:history="1">
        <w:r w:rsidR="004242B9" w:rsidRPr="00C4160B">
          <w:rPr>
            <w:rStyle w:val="Hyperlink"/>
            <w:noProof/>
          </w:rPr>
          <w:t>VI.</w:t>
        </w:r>
        <w:r w:rsidR="004242B9" w:rsidRPr="00C4160B">
          <w:rPr>
            <w:rFonts w:asciiTheme="minorHAnsi" w:eastAsiaTheme="minorEastAsia" w:hAnsiTheme="minorHAnsi" w:cstheme="minorBidi"/>
            <w:noProof/>
          </w:rPr>
          <w:tab/>
        </w:r>
        <w:r w:rsidR="004242B9" w:rsidRPr="00C4160B">
          <w:rPr>
            <w:rStyle w:val="Hyperlink"/>
            <w:noProof/>
          </w:rPr>
          <w:t>Time For and Method of Testing</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_Toc416436059 \h </w:instrText>
        </w:r>
        <w:r w:rsidR="004242B9" w:rsidRPr="00C4160B">
          <w:rPr>
            <w:noProof/>
            <w:webHidden/>
          </w:rPr>
        </w:r>
        <w:r w:rsidR="004242B9" w:rsidRPr="00C4160B">
          <w:rPr>
            <w:noProof/>
            <w:webHidden/>
          </w:rPr>
          <w:fldChar w:fldCharType="separate"/>
        </w:r>
        <w:r w:rsidR="00005F13">
          <w:rPr>
            <w:noProof/>
            <w:webHidden/>
          </w:rPr>
          <w:t>7</w:t>
        </w:r>
        <w:r w:rsidR="004242B9" w:rsidRPr="00C4160B">
          <w:rPr>
            <w:noProof/>
            <w:webHidden/>
          </w:rPr>
          <w:fldChar w:fldCharType="end"/>
        </w:r>
      </w:hyperlink>
    </w:p>
    <w:p w14:paraId="612362C0" w14:textId="18DD842D" w:rsidR="004242B9" w:rsidRPr="00C4160B" w:rsidRDefault="00000000" w:rsidP="004242B9">
      <w:pPr>
        <w:pStyle w:val="TOC1"/>
        <w:rPr>
          <w:rFonts w:asciiTheme="minorHAnsi" w:eastAsiaTheme="minorEastAsia" w:hAnsiTheme="minorHAnsi" w:cstheme="minorBidi"/>
          <w:noProof/>
        </w:rPr>
      </w:pPr>
      <w:hyperlink w:anchor="_Toc416436060" w:history="1">
        <w:r w:rsidR="004242B9" w:rsidRPr="00C4160B">
          <w:rPr>
            <w:rStyle w:val="Hyperlink"/>
            <w:noProof/>
          </w:rPr>
          <w:t>VII.</w:t>
        </w:r>
        <w:r w:rsidR="004242B9" w:rsidRPr="00C4160B">
          <w:rPr>
            <w:rFonts w:asciiTheme="minorHAnsi" w:eastAsiaTheme="minorEastAsia" w:hAnsiTheme="minorHAnsi" w:cstheme="minorBidi"/>
            <w:noProof/>
          </w:rPr>
          <w:tab/>
        </w:r>
        <w:r w:rsidR="004242B9" w:rsidRPr="00C4160B">
          <w:rPr>
            <w:rStyle w:val="Hyperlink"/>
            <w:noProof/>
          </w:rPr>
          <w:t>“Time Out” for Testing</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_Toc416436060 \h </w:instrText>
        </w:r>
        <w:r w:rsidR="004242B9" w:rsidRPr="00C4160B">
          <w:rPr>
            <w:noProof/>
            <w:webHidden/>
          </w:rPr>
        </w:r>
        <w:r w:rsidR="004242B9" w:rsidRPr="00C4160B">
          <w:rPr>
            <w:noProof/>
            <w:webHidden/>
          </w:rPr>
          <w:fldChar w:fldCharType="separate"/>
        </w:r>
        <w:r w:rsidR="00005F13">
          <w:rPr>
            <w:noProof/>
            <w:webHidden/>
          </w:rPr>
          <w:t>7</w:t>
        </w:r>
        <w:r w:rsidR="004242B9" w:rsidRPr="00C4160B">
          <w:rPr>
            <w:noProof/>
            <w:webHidden/>
          </w:rPr>
          <w:fldChar w:fldCharType="end"/>
        </w:r>
      </w:hyperlink>
    </w:p>
    <w:p w14:paraId="259040C9" w14:textId="68A66BFE" w:rsidR="004242B9" w:rsidRPr="00C4160B" w:rsidRDefault="00000000" w:rsidP="004242B9">
      <w:pPr>
        <w:pStyle w:val="TOC1"/>
        <w:rPr>
          <w:rFonts w:asciiTheme="minorHAnsi" w:eastAsiaTheme="minorEastAsia" w:hAnsiTheme="minorHAnsi" w:cstheme="minorBidi"/>
          <w:noProof/>
        </w:rPr>
      </w:pPr>
      <w:hyperlink w:anchor="_Toc416436061" w:history="1">
        <w:r w:rsidR="004242B9" w:rsidRPr="00C4160B">
          <w:rPr>
            <w:rStyle w:val="Hyperlink"/>
            <w:noProof/>
          </w:rPr>
          <w:t>VIII.</w:t>
        </w:r>
        <w:r w:rsidR="004242B9" w:rsidRPr="00C4160B">
          <w:rPr>
            <w:rFonts w:asciiTheme="minorHAnsi" w:eastAsiaTheme="minorEastAsia" w:hAnsiTheme="minorHAnsi" w:cstheme="minorBidi"/>
            <w:noProof/>
          </w:rPr>
          <w:tab/>
        </w:r>
        <w:r w:rsidR="004242B9" w:rsidRPr="00C4160B">
          <w:rPr>
            <w:rStyle w:val="Hyperlink"/>
            <w:noProof/>
          </w:rPr>
          <w:t>Post-Test Hearing</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_Toc416436061 \h </w:instrText>
        </w:r>
        <w:r w:rsidR="004242B9" w:rsidRPr="00C4160B">
          <w:rPr>
            <w:noProof/>
            <w:webHidden/>
          </w:rPr>
        </w:r>
        <w:r w:rsidR="004242B9" w:rsidRPr="00C4160B">
          <w:rPr>
            <w:noProof/>
            <w:webHidden/>
          </w:rPr>
          <w:fldChar w:fldCharType="separate"/>
        </w:r>
        <w:r w:rsidR="00005F13">
          <w:rPr>
            <w:noProof/>
            <w:webHidden/>
          </w:rPr>
          <w:t>7</w:t>
        </w:r>
        <w:r w:rsidR="004242B9" w:rsidRPr="00C4160B">
          <w:rPr>
            <w:noProof/>
            <w:webHidden/>
          </w:rPr>
          <w:fldChar w:fldCharType="end"/>
        </w:r>
      </w:hyperlink>
    </w:p>
    <w:p w14:paraId="2A121B1D" w14:textId="0AE01D60" w:rsidR="004242B9" w:rsidRPr="00C4160B" w:rsidRDefault="00000000">
      <w:pPr>
        <w:pStyle w:val="TOC2"/>
        <w:tabs>
          <w:tab w:val="left" w:pos="1320"/>
          <w:tab w:val="right" w:leader="dot" w:pos="9350"/>
        </w:tabs>
        <w:rPr>
          <w:rFonts w:asciiTheme="minorHAnsi" w:eastAsiaTheme="minorEastAsia" w:hAnsiTheme="minorHAnsi" w:cstheme="minorBidi"/>
          <w:noProof/>
        </w:rPr>
      </w:pPr>
      <w:hyperlink w:anchor="_Toc416436062" w:history="1">
        <w:r w:rsidR="004242B9" w:rsidRPr="00C4160B">
          <w:rPr>
            <w:rStyle w:val="Hyperlink"/>
            <w:rFonts w:eastAsia="Times New Roman"/>
            <w:noProof/>
          </w:rPr>
          <w:t>A.</w:t>
        </w:r>
        <w:r w:rsidR="004242B9" w:rsidRPr="00C4160B">
          <w:rPr>
            <w:rFonts w:asciiTheme="minorHAnsi" w:eastAsiaTheme="minorEastAsia" w:hAnsiTheme="minorHAnsi" w:cstheme="minorBidi"/>
            <w:noProof/>
          </w:rPr>
          <w:tab/>
        </w:r>
        <w:r w:rsidR="004242B9" w:rsidRPr="00C4160B">
          <w:rPr>
            <w:rStyle w:val="Hyperlink"/>
            <w:noProof/>
          </w:rPr>
          <w:t>Rules of Evidence Apply</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_Toc416436062 \h </w:instrText>
        </w:r>
        <w:r w:rsidR="004242B9" w:rsidRPr="00C4160B">
          <w:rPr>
            <w:noProof/>
            <w:webHidden/>
          </w:rPr>
        </w:r>
        <w:r w:rsidR="004242B9" w:rsidRPr="00C4160B">
          <w:rPr>
            <w:noProof/>
            <w:webHidden/>
          </w:rPr>
          <w:fldChar w:fldCharType="separate"/>
        </w:r>
        <w:r w:rsidR="00005F13">
          <w:rPr>
            <w:noProof/>
            <w:webHidden/>
          </w:rPr>
          <w:t>7</w:t>
        </w:r>
        <w:r w:rsidR="004242B9" w:rsidRPr="00C4160B">
          <w:rPr>
            <w:noProof/>
            <w:webHidden/>
          </w:rPr>
          <w:fldChar w:fldCharType="end"/>
        </w:r>
      </w:hyperlink>
    </w:p>
    <w:p w14:paraId="13A6F4F0" w14:textId="5826E105" w:rsidR="004242B9" w:rsidRPr="00C4160B" w:rsidRDefault="00000000">
      <w:pPr>
        <w:pStyle w:val="TOC2"/>
        <w:tabs>
          <w:tab w:val="left" w:pos="1320"/>
          <w:tab w:val="right" w:leader="dot" w:pos="9350"/>
        </w:tabs>
        <w:rPr>
          <w:rFonts w:asciiTheme="minorHAnsi" w:eastAsiaTheme="minorEastAsia" w:hAnsiTheme="minorHAnsi" w:cstheme="minorBidi"/>
          <w:noProof/>
        </w:rPr>
      </w:pPr>
      <w:hyperlink w:anchor="_Toc416436063" w:history="1">
        <w:r w:rsidR="004242B9" w:rsidRPr="00C4160B">
          <w:rPr>
            <w:rStyle w:val="Hyperlink"/>
            <w:rFonts w:eastAsia="Times New Roman"/>
            <w:noProof/>
          </w:rPr>
          <w:t>B.</w:t>
        </w:r>
        <w:r w:rsidR="004242B9" w:rsidRPr="00C4160B">
          <w:rPr>
            <w:rFonts w:asciiTheme="minorHAnsi" w:eastAsiaTheme="minorEastAsia" w:hAnsiTheme="minorHAnsi" w:cstheme="minorBidi"/>
            <w:noProof/>
          </w:rPr>
          <w:tab/>
        </w:r>
        <w:r w:rsidR="004242B9" w:rsidRPr="00C4160B">
          <w:rPr>
            <w:rStyle w:val="Hyperlink"/>
            <w:noProof/>
          </w:rPr>
          <w:t>Determination</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_Toc416436063 \h </w:instrText>
        </w:r>
        <w:r w:rsidR="004242B9" w:rsidRPr="00C4160B">
          <w:rPr>
            <w:noProof/>
            <w:webHidden/>
          </w:rPr>
        </w:r>
        <w:r w:rsidR="004242B9" w:rsidRPr="00C4160B">
          <w:rPr>
            <w:noProof/>
            <w:webHidden/>
          </w:rPr>
          <w:fldChar w:fldCharType="separate"/>
        </w:r>
        <w:r w:rsidR="00005F13">
          <w:rPr>
            <w:noProof/>
            <w:webHidden/>
          </w:rPr>
          <w:t>7</w:t>
        </w:r>
        <w:r w:rsidR="004242B9" w:rsidRPr="00C4160B">
          <w:rPr>
            <w:noProof/>
            <w:webHidden/>
          </w:rPr>
          <w:fldChar w:fldCharType="end"/>
        </w:r>
      </w:hyperlink>
    </w:p>
    <w:p w14:paraId="070F6705" w14:textId="2897FAB5" w:rsidR="004242B9" w:rsidRPr="00C4160B" w:rsidRDefault="00000000">
      <w:pPr>
        <w:pStyle w:val="TOC2"/>
        <w:tabs>
          <w:tab w:val="left" w:pos="1320"/>
          <w:tab w:val="right" w:leader="dot" w:pos="9350"/>
        </w:tabs>
        <w:rPr>
          <w:rFonts w:asciiTheme="minorHAnsi" w:eastAsiaTheme="minorEastAsia" w:hAnsiTheme="minorHAnsi" w:cstheme="minorBidi"/>
          <w:noProof/>
        </w:rPr>
      </w:pPr>
      <w:hyperlink w:anchor="_Toc416436064" w:history="1">
        <w:r w:rsidR="004242B9" w:rsidRPr="00C4160B">
          <w:rPr>
            <w:rStyle w:val="Hyperlink"/>
            <w:rFonts w:eastAsia="Times New Roman"/>
            <w:noProof/>
          </w:rPr>
          <w:t>C.</w:t>
        </w:r>
        <w:r w:rsidR="004242B9" w:rsidRPr="00C4160B">
          <w:rPr>
            <w:rFonts w:asciiTheme="minorHAnsi" w:eastAsiaTheme="minorEastAsia" w:hAnsiTheme="minorHAnsi" w:cstheme="minorBidi"/>
            <w:noProof/>
          </w:rPr>
          <w:tab/>
        </w:r>
        <w:r w:rsidR="004242B9" w:rsidRPr="00C4160B">
          <w:rPr>
            <w:rStyle w:val="Hyperlink"/>
            <w:noProof/>
          </w:rPr>
          <w:t>Judge’s Order</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_Toc416436064 \h </w:instrText>
        </w:r>
        <w:r w:rsidR="004242B9" w:rsidRPr="00C4160B">
          <w:rPr>
            <w:noProof/>
            <w:webHidden/>
          </w:rPr>
        </w:r>
        <w:r w:rsidR="004242B9" w:rsidRPr="00C4160B">
          <w:rPr>
            <w:noProof/>
            <w:webHidden/>
          </w:rPr>
          <w:fldChar w:fldCharType="separate"/>
        </w:r>
        <w:r w:rsidR="00005F13">
          <w:rPr>
            <w:noProof/>
            <w:webHidden/>
          </w:rPr>
          <w:t>7</w:t>
        </w:r>
        <w:r w:rsidR="004242B9" w:rsidRPr="00C4160B">
          <w:rPr>
            <w:noProof/>
            <w:webHidden/>
          </w:rPr>
          <w:fldChar w:fldCharType="end"/>
        </w:r>
      </w:hyperlink>
    </w:p>
    <w:p w14:paraId="74EFD765" w14:textId="42336A4A" w:rsidR="004242B9" w:rsidRPr="00C4160B" w:rsidRDefault="00000000">
      <w:pPr>
        <w:pStyle w:val="TOC2"/>
        <w:tabs>
          <w:tab w:val="left" w:pos="1320"/>
          <w:tab w:val="right" w:leader="dot" w:pos="9350"/>
        </w:tabs>
        <w:rPr>
          <w:rFonts w:asciiTheme="minorHAnsi" w:eastAsiaTheme="minorEastAsia" w:hAnsiTheme="minorHAnsi" w:cstheme="minorBidi"/>
          <w:noProof/>
        </w:rPr>
      </w:pPr>
      <w:hyperlink w:anchor="_Toc416436065" w:history="1">
        <w:r w:rsidR="004242B9" w:rsidRPr="00C4160B">
          <w:rPr>
            <w:rStyle w:val="Hyperlink"/>
            <w:rFonts w:eastAsia="Times New Roman"/>
            <w:noProof/>
          </w:rPr>
          <w:t>D.</w:t>
        </w:r>
        <w:r w:rsidR="004242B9" w:rsidRPr="00C4160B">
          <w:rPr>
            <w:rFonts w:asciiTheme="minorHAnsi" w:eastAsiaTheme="minorEastAsia" w:hAnsiTheme="minorHAnsi" w:cstheme="minorBidi"/>
            <w:noProof/>
          </w:rPr>
          <w:tab/>
        </w:r>
        <w:r w:rsidR="004242B9" w:rsidRPr="00C4160B">
          <w:rPr>
            <w:rStyle w:val="Hyperlink"/>
            <w:noProof/>
          </w:rPr>
          <w:t>Costs of Testing</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_Toc416436065 \h </w:instrText>
        </w:r>
        <w:r w:rsidR="004242B9" w:rsidRPr="00C4160B">
          <w:rPr>
            <w:noProof/>
            <w:webHidden/>
          </w:rPr>
        </w:r>
        <w:r w:rsidR="004242B9" w:rsidRPr="00C4160B">
          <w:rPr>
            <w:noProof/>
            <w:webHidden/>
          </w:rPr>
          <w:fldChar w:fldCharType="separate"/>
        </w:r>
        <w:r w:rsidR="00005F13">
          <w:rPr>
            <w:noProof/>
            <w:webHidden/>
          </w:rPr>
          <w:t>7</w:t>
        </w:r>
        <w:r w:rsidR="004242B9" w:rsidRPr="00C4160B">
          <w:rPr>
            <w:noProof/>
            <w:webHidden/>
          </w:rPr>
          <w:fldChar w:fldCharType="end"/>
        </w:r>
      </w:hyperlink>
    </w:p>
    <w:p w14:paraId="302740D1" w14:textId="55F4CC8C" w:rsidR="004242B9" w:rsidRPr="00C4160B" w:rsidRDefault="00000000" w:rsidP="004242B9">
      <w:pPr>
        <w:pStyle w:val="TOC1"/>
        <w:rPr>
          <w:rFonts w:asciiTheme="minorHAnsi" w:eastAsiaTheme="minorEastAsia" w:hAnsiTheme="minorHAnsi" w:cstheme="minorBidi"/>
          <w:noProof/>
        </w:rPr>
      </w:pPr>
      <w:hyperlink w:anchor="_Toc416436066" w:history="1">
        <w:r w:rsidR="004242B9" w:rsidRPr="00C4160B">
          <w:rPr>
            <w:rStyle w:val="Hyperlink"/>
            <w:noProof/>
          </w:rPr>
          <w:t>IX.</w:t>
        </w:r>
        <w:r w:rsidR="004242B9" w:rsidRPr="00C4160B">
          <w:rPr>
            <w:rFonts w:asciiTheme="minorHAnsi" w:eastAsiaTheme="minorEastAsia" w:hAnsiTheme="minorHAnsi" w:cstheme="minorBidi"/>
            <w:noProof/>
          </w:rPr>
          <w:tab/>
        </w:r>
        <w:r w:rsidR="004242B9" w:rsidRPr="00C4160B">
          <w:rPr>
            <w:rStyle w:val="Hyperlink"/>
            <w:noProof/>
          </w:rPr>
          <w:t>Responsibilities of Custodial Agency</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_Toc416436066 \h </w:instrText>
        </w:r>
        <w:r w:rsidR="004242B9" w:rsidRPr="00C4160B">
          <w:rPr>
            <w:noProof/>
            <w:webHidden/>
          </w:rPr>
        </w:r>
        <w:r w:rsidR="004242B9" w:rsidRPr="00C4160B">
          <w:rPr>
            <w:noProof/>
            <w:webHidden/>
          </w:rPr>
          <w:fldChar w:fldCharType="separate"/>
        </w:r>
        <w:r w:rsidR="00005F13">
          <w:rPr>
            <w:noProof/>
            <w:webHidden/>
          </w:rPr>
          <w:t>8</w:t>
        </w:r>
        <w:r w:rsidR="004242B9" w:rsidRPr="00C4160B">
          <w:rPr>
            <w:noProof/>
            <w:webHidden/>
          </w:rPr>
          <w:fldChar w:fldCharType="end"/>
        </w:r>
      </w:hyperlink>
    </w:p>
    <w:p w14:paraId="6CEE66F8" w14:textId="165974A1" w:rsidR="004242B9" w:rsidRPr="00C4160B" w:rsidRDefault="00000000" w:rsidP="004242B9">
      <w:pPr>
        <w:pStyle w:val="TOC1"/>
        <w:rPr>
          <w:rFonts w:asciiTheme="minorHAnsi" w:eastAsiaTheme="minorEastAsia" w:hAnsiTheme="minorHAnsi" w:cstheme="minorBidi"/>
          <w:noProof/>
        </w:rPr>
      </w:pPr>
      <w:hyperlink w:anchor="_Toc416436067" w:history="1">
        <w:r w:rsidR="004242B9" w:rsidRPr="00C4160B">
          <w:rPr>
            <w:rStyle w:val="Hyperlink"/>
            <w:noProof/>
          </w:rPr>
          <w:t>X.</w:t>
        </w:r>
        <w:r w:rsidR="004242B9" w:rsidRPr="00C4160B">
          <w:rPr>
            <w:rFonts w:asciiTheme="minorHAnsi" w:eastAsiaTheme="minorEastAsia" w:hAnsiTheme="minorHAnsi" w:cstheme="minorBidi"/>
            <w:noProof/>
          </w:rPr>
          <w:tab/>
        </w:r>
        <w:r w:rsidR="004242B9" w:rsidRPr="00C4160B">
          <w:rPr>
            <w:rStyle w:val="Hyperlink"/>
            <w:noProof/>
          </w:rPr>
          <w:t>State’s Responsibilities to Victims</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_Toc416436067 \h </w:instrText>
        </w:r>
        <w:r w:rsidR="004242B9" w:rsidRPr="00C4160B">
          <w:rPr>
            <w:noProof/>
            <w:webHidden/>
          </w:rPr>
        </w:r>
        <w:r w:rsidR="004242B9" w:rsidRPr="00C4160B">
          <w:rPr>
            <w:noProof/>
            <w:webHidden/>
          </w:rPr>
          <w:fldChar w:fldCharType="separate"/>
        </w:r>
        <w:r w:rsidR="00005F13">
          <w:rPr>
            <w:noProof/>
            <w:webHidden/>
          </w:rPr>
          <w:t>8</w:t>
        </w:r>
        <w:r w:rsidR="004242B9" w:rsidRPr="00C4160B">
          <w:rPr>
            <w:noProof/>
            <w:webHidden/>
          </w:rPr>
          <w:fldChar w:fldCharType="end"/>
        </w:r>
      </w:hyperlink>
    </w:p>
    <w:p w14:paraId="10F11828" w14:textId="1B3F64CA" w:rsidR="004242B9" w:rsidRPr="00C4160B" w:rsidRDefault="00000000" w:rsidP="004242B9">
      <w:pPr>
        <w:pStyle w:val="TOC1"/>
        <w:rPr>
          <w:rFonts w:asciiTheme="minorHAnsi" w:eastAsiaTheme="minorEastAsia" w:hAnsiTheme="minorHAnsi" w:cstheme="minorBidi"/>
          <w:noProof/>
        </w:rPr>
      </w:pPr>
      <w:hyperlink w:anchor="_Toc416436068" w:history="1">
        <w:r w:rsidR="004242B9" w:rsidRPr="00C4160B">
          <w:rPr>
            <w:rStyle w:val="Hyperlink"/>
            <w:noProof/>
          </w:rPr>
          <w:t>XI.</w:t>
        </w:r>
        <w:r w:rsidR="004242B9" w:rsidRPr="00C4160B">
          <w:rPr>
            <w:rFonts w:asciiTheme="minorHAnsi" w:eastAsiaTheme="minorEastAsia" w:hAnsiTheme="minorHAnsi" w:cstheme="minorBidi"/>
            <w:noProof/>
          </w:rPr>
          <w:tab/>
        </w:r>
        <w:r w:rsidR="004242B9" w:rsidRPr="00C4160B">
          <w:rPr>
            <w:rStyle w:val="Hyperlink"/>
            <w:noProof/>
          </w:rPr>
          <w:t>Appeal</w:t>
        </w:r>
        <w:r w:rsidR="004242B9" w:rsidRPr="00C4160B">
          <w:rPr>
            <w:noProof/>
            <w:webHidden/>
          </w:rPr>
          <w:tab/>
        </w:r>
        <w:r w:rsidR="004242B9" w:rsidRPr="00C4160B">
          <w:rPr>
            <w:noProof/>
            <w:webHidden/>
          </w:rPr>
          <w:fldChar w:fldCharType="begin"/>
        </w:r>
        <w:r w:rsidR="004242B9" w:rsidRPr="00C4160B">
          <w:rPr>
            <w:noProof/>
            <w:webHidden/>
          </w:rPr>
          <w:instrText xml:space="preserve"> PAGEREF _Toc416436068 \h </w:instrText>
        </w:r>
        <w:r w:rsidR="004242B9" w:rsidRPr="00C4160B">
          <w:rPr>
            <w:noProof/>
            <w:webHidden/>
          </w:rPr>
        </w:r>
        <w:r w:rsidR="004242B9" w:rsidRPr="00C4160B">
          <w:rPr>
            <w:noProof/>
            <w:webHidden/>
          </w:rPr>
          <w:fldChar w:fldCharType="separate"/>
        </w:r>
        <w:r w:rsidR="00005F13">
          <w:rPr>
            <w:noProof/>
            <w:webHidden/>
          </w:rPr>
          <w:t>8</w:t>
        </w:r>
        <w:r w:rsidR="004242B9" w:rsidRPr="00C4160B">
          <w:rPr>
            <w:noProof/>
            <w:webHidden/>
          </w:rPr>
          <w:fldChar w:fldCharType="end"/>
        </w:r>
      </w:hyperlink>
    </w:p>
    <w:p w14:paraId="0C3864EA" w14:textId="77777777" w:rsidR="00DD3E1B" w:rsidRPr="00C4160B" w:rsidRDefault="004242B9" w:rsidP="00A2284D">
      <w:pPr>
        <w:pStyle w:val="TOCHeading"/>
        <w:spacing w:before="280" w:line="240" w:lineRule="auto"/>
        <w:rPr>
          <w:rFonts w:ascii="Arial" w:hAnsi="Arial" w:cs="Arial"/>
          <w:b w:val="0"/>
          <w:color w:val="auto"/>
          <w:sz w:val="22"/>
          <w:szCs w:val="22"/>
        </w:rPr>
      </w:pPr>
      <w:r w:rsidRPr="00C4160B">
        <w:rPr>
          <w:rFonts w:ascii="Arial" w:eastAsia="Calibri" w:hAnsi="Arial" w:cs="Arial"/>
          <w:b w:val="0"/>
          <w:bCs w:val="0"/>
          <w:color w:val="auto"/>
          <w:sz w:val="22"/>
          <w:szCs w:val="22"/>
        </w:rPr>
        <w:fldChar w:fldCharType="end"/>
      </w:r>
    </w:p>
    <w:p w14:paraId="6A842931" w14:textId="0760853A" w:rsidR="00C40ABA" w:rsidRPr="00C4160B" w:rsidRDefault="00490F28" w:rsidP="00A2284D">
      <w:pPr>
        <w:pStyle w:val="ListParagraph"/>
        <w:numPr>
          <w:ilvl w:val="0"/>
          <w:numId w:val="2"/>
        </w:numPr>
        <w:spacing w:after="0" w:line="240" w:lineRule="auto"/>
        <w:ind w:left="720"/>
        <w:rPr>
          <w:rFonts w:ascii="Arial" w:hAnsi="Arial" w:cs="Arial"/>
        </w:rPr>
      </w:pPr>
      <w:bookmarkStart w:id="0" w:name="_Toc384048559"/>
      <w:bookmarkStart w:id="1" w:name="_Toc416436050"/>
      <w:bookmarkStart w:id="2" w:name="_Toc416436128"/>
      <w:r w:rsidRPr="00C4160B">
        <w:rPr>
          <w:rStyle w:val="Heading1Char"/>
        </w:rPr>
        <w:t xml:space="preserve">Basis of the Right </w:t>
      </w:r>
      <w:r w:rsidR="00C40ABA" w:rsidRPr="00C4160B">
        <w:rPr>
          <w:rStyle w:val="Heading1Char"/>
        </w:rPr>
        <w:t xml:space="preserve">to </w:t>
      </w:r>
      <w:r w:rsidRPr="00C4160B">
        <w:rPr>
          <w:rStyle w:val="Heading1Char"/>
        </w:rPr>
        <w:t>Testing</w:t>
      </w:r>
      <w:bookmarkEnd w:id="0"/>
      <w:bookmarkEnd w:id="1"/>
      <w:bookmarkEnd w:id="2"/>
      <w:r w:rsidR="00EB7A44" w:rsidRPr="00C4160B">
        <w:rPr>
          <w:rFonts w:ascii="Arial" w:hAnsi="Arial" w:cs="Arial"/>
          <w:b/>
        </w:rPr>
        <w:t xml:space="preserve">. </w:t>
      </w:r>
      <w:r w:rsidR="000B6C91" w:rsidRPr="00C4160B">
        <w:rPr>
          <w:rFonts w:ascii="Arial" w:hAnsi="Arial" w:cs="Arial"/>
        </w:rPr>
        <w:t xml:space="preserve">The North Carolina General Statutes provide a state law right for post-conviction DNA testing of biological evidence, in certain circumstances. </w:t>
      </w:r>
      <w:r w:rsidR="0046421E" w:rsidRPr="00C4160B">
        <w:rPr>
          <w:rFonts w:ascii="Arial" w:hAnsi="Arial" w:cs="Arial"/>
        </w:rPr>
        <w:t>G.S. 15A-269, -270, and -270.1</w:t>
      </w:r>
      <w:r w:rsidR="00EB7A44" w:rsidRPr="00C4160B">
        <w:rPr>
          <w:rFonts w:ascii="Arial" w:hAnsi="Arial" w:cs="Arial"/>
        </w:rPr>
        <w:t xml:space="preserve"> set out the procedures for </w:t>
      </w:r>
      <w:r w:rsidR="000B6C91" w:rsidRPr="00C4160B">
        <w:rPr>
          <w:rFonts w:ascii="Arial" w:hAnsi="Arial" w:cs="Arial"/>
        </w:rPr>
        <w:t>such testing, and those procedures are discussed in detail in the sections that follow.</w:t>
      </w:r>
      <w:r w:rsidR="00E11873">
        <w:rPr>
          <w:rFonts w:ascii="Arial" w:hAnsi="Arial" w:cs="Arial"/>
        </w:rPr>
        <w:t xml:space="preserve"> </w:t>
      </w:r>
      <w:r w:rsidR="00201D6F">
        <w:rPr>
          <w:rFonts w:ascii="Arial" w:hAnsi="Arial" w:cs="Arial"/>
          <w:i/>
          <w:iCs/>
        </w:rPr>
        <w:t xml:space="preserve">See </w:t>
      </w:r>
      <w:r w:rsidR="00D234D0">
        <w:rPr>
          <w:rFonts w:ascii="Arial" w:hAnsi="Arial" w:cs="Arial"/>
          <w:i/>
          <w:iCs/>
        </w:rPr>
        <w:t xml:space="preserve">generally </w:t>
      </w:r>
      <w:r w:rsidR="00E11873">
        <w:rPr>
          <w:rFonts w:ascii="Arial" w:hAnsi="Arial" w:cs="Arial"/>
        </w:rPr>
        <w:t xml:space="preserve">State v. Shaw, 259 N.C. App. 703, 706 (2018) (trial court must apply procedures and analysis </w:t>
      </w:r>
      <w:r w:rsidR="00F309E7">
        <w:rPr>
          <w:rFonts w:ascii="Arial" w:hAnsi="Arial" w:cs="Arial"/>
        </w:rPr>
        <w:t>provided</w:t>
      </w:r>
      <w:r w:rsidR="00E11873">
        <w:rPr>
          <w:rFonts w:ascii="Arial" w:hAnsi="Arial" w:cs="Arial"/>
        </w:rPr>
        <w:t xml:space="preserve"> by G.S. 15A-269 to post-conviction motions for DNA testing and may not supplant the procedures with those applicable to motions for appropriate relief).</w:t>
      </w:r>
      <w:r w:rsidR="000B6C91" w:rsidRPr="00C4160B">
        <w:rPr>
          <w:rFonts w:ascii="Arial" w:hAnsi="Arial" w:cs="Arial"/>
        </w:rPr>
        <w:t xml:space="preserve"> Note however that in </w:t>
      </w:r>
      <w:r w:rsidR="0046421E" w:rsidRPr="00C4160B">
        <w:rPr>
          <w:rFonts w:ascii="Arial" w:hAnsi="Arial" w:cs="Arial"/>
          <w:i/>
        </w:rPr>
        <w:t>District Attorney’s Office v. Osborne</w:t>
      </w:r>
      <w:r w:rsidR="0046421E" w:rsidRPr="00C4160B">
        <w:rPr>
          <w:rFonts w:ascii="Arial" w:hAnsi="Arial" w:cs="Arial"/>
        </w:rPr>
        <w:t>, 557 U.S. 52, 72-74 (2009)</w:t>
      </w:r>
      <w:r w:rsidR="000B6C91" w:rsidRPr="00C4160B">
        <w:rPr>
          <w:rFonts w:ascii="Arial" w:hAnsi="Arial" w:cs="Arial"/>
        </w:rPr>
        <w:t xml:space="preserve">, the United States Supreme Court held that a defendant whose criminal conviction has become final does not have a substantive due process right to gain access to evidence so that it can be subjected to DNA testing to attempt to prove innocence. The Court also rejected the </w:t>
      </w:r>
      <w:r w:rsidRPr="00C4160B">
        <w:rPr>
          <w:rFonts w:ascii="Arial" w:hAnsi="Arial" w:cs="Arial"/>
        </w:rPr>
        <w:t xml:space="preserve">lower’s court’s holding that the state </w:t>
      </w:r>
      <w:r w:rsidR="000B6C91" w:rsidRPr="00C4160B">
        <w:rPr>
          <w:rFonts w:ascii="Arial" w:hAnsi="Arial" w:cs="Arial"/>
        </w:rPr>
        <w:t xml:space="preserve">procedures for post-conviction relief </w:t>
      </w:r>
      <w:r w:rsidRPr="00C4160B">
        <w:rPr>
          <w:rFonts w:ascii="Arial" w:hAnsi="Arial" w:cs="Arial"/>
        </w:rPr>
        <w:t xml:space="preserve">at issue </w:t>
      </w:r>
      <w:r w:rsidR="000B6C91" w:rsidRPr="00C4160B">
        <w:rPr>
          <w:rFonts w:ascii="Arial" w:hAnsi="Arial" w:cs="Arial"/>
        </w:rPr>
        <w:t>violated the defendant’s procedural due process rights.</w:t>
      </w:r>
      <w:r w:rsidR="00DD1D28" w:rsidRPr="00C4160B">
        <w:rPr>
          <w:rFonts w:ascii="Arial" w:hAnsi="Arial" w:cs="Arial"/>
        </w:rPr>
        <w:t xml:space="preserve"> </w:t>
      </w:r>
      <w:r w:rsidR="0046421E" w:rsidRPr="00C4160B">
        <w:rPr>
          <w:rFonts w:ascii="Arial" w:hAnsi="Arial" w:cs="Arial"/>
          <w:i/>
        </w:rPr>
        <w:t>Id</w:t>
      </w:r>
      <w:r w:rsidR="0046421E" w:rsidRPr="00C4160B">
        <w:rPr>
          <w:rFonts w:ascii="Arial" w:hAnsi="Arial" w:cs="Arial"/>
        </w:rPr>
        <w:t>. at 69-71</w:t>
      </w:r>
      <w:r w:rsidR="00DD1D28" w:rsidRPr="00C4160B">
        <w:rPr>
          <w:rFonts w:ascii="Arial" w:hAnsi="Arial" w:cs="Arial"/>
        </w:rPr>
        <w:t>.</w:t>
      </w:r>
      <w:r w:rsidR="000B6C91" w:rsidRPr="00C4160B">
        <w:rPr>
          <w:rFonts w:ascii="Arial" w:hAnsi="Arial" w:cs="Arial"/>
        </w:rPr>
        <w:t xml:space="preserve"> In </w:t>
      </w:r>
      <w:r w:rsidR="0046421E" w:rsidRPr="00C4160B">
        <w:rPr>
          <w:rFonts w:ascii="Arial" w:hAnsi="Arial" w:cs="Arial"/>
          <w:i/>
        </w:rPr>
        <w:t>Skinner v. Switzer</w:t>
      </w:r>
      <w:r w:rsidR="0046421E" w:rsidRPr="00C4160B">
        <w:rPr>
          <w:rFonts w:ascii="Arial" w:hAnsi="Arial" w:cs="Arial"/>
        </w:rPr>
        <w:t>, 562 U.S. 521</w:t>
      </w:r>
      <w:r w:rsidR="0018578A">
        <w:rPr>
          <w:rFonts w:ascii="Arial" w:hAnsi="Arial" w:cs="Arial"/>
        </w:rPr>
        <w:t>, 534</w:t>
      </w:r>
      <w:r w:rsidR="0046421E" w:rsidRPr="00C4160B">
        <w:rPr>
          <w:rFonts w:ascii="Arial" w:hAnsi="Arial" w:cs="Arial"/>
        </w:rPr>
        <w:t xml:space="preserve"> (2011)</w:t>
      </w:r>
      <w:r w:rsidR="000B6C91" w:rsidRPr="00C4160B">
        <w:rPr>
          <w:rFonts w:ascii="Arial" w:hAnsi="Arial" w:cs="Arial"/>
        </w:rPr>
        <w:t xml:space="preserve">, a </w:t>
      </w:r>
      <w:r w:rsidRPr="00C4160B">
        <w:rPr>
          <w:rFonts w:ascii="Arial" w:hAnsi="Arial" w:cs="Arial"/>
        </w:rPr>
        <w:t>later</w:t>
      </w:r>
      <w:r w:rsidR="000B6C91" w:rsidRPr="00C4160B">
        <w:rPr>
          <w:rFonts w:ascii="Arial" w:hAnsi="Arial" w:cs="Arial"/>
        </w:rPr>
        <w:t xml:space="preserve"> case, the Court held that a convicted state prisoner seeking DNA testing of crime-scene evidence may assert a claim under 42 U.S.C. § 1983. However, the Court noted that </w:t>
      </w:r>
      <w:r w:rsidR="000B6C91" w:rsidRPr="00C4160B">
        <w:rPr>
          <w:rFonts w:ascii="Arial" w:hAnsi="Arial" w:cs="Arial"/>
          <w:i/>
        </w:rPr>
        <w:t>Osborne</w:t>
      </w:r>
      <w:r w:rsidR="000B6C91" w:rsidRPr="00C4160B">
        <w:rPr>
          <w:rFonts w:ascii="Arial" w:hAnsi="Arial" w:cs="Arial"/>
        </w:rPr>
        <w:t xml:space="preserve"> severely limits the federal action a state prisoner may bring for DNA testing</w:t>
      </w:r>
      <w:r w:rsidRPr="00C4160B">
        <w:rPr>
          <w:rFonts w:ascii="Arial" w:hAnsi="Arial" w:cs="Arial"/>
        </w:rPr>
        <w:t xml:space="preserve">, stating: </w:t>
      </w:r>
      <w:r w:rsidR="000B6C91" w:rsidRPr="00C4160B">
        <w:rPr>
          <w:rFonts w:ascii="Arial" w:hAnsi="Arial" w:cs="Arial"/>
        </w:rPr>
        <w:t>“</w:t>
      </w:r>
      <w:r w:rsidR="000B6C91" w:rsidRPr="00C4160B">
        <w:rPr>
          <w:rFonts w:ascii="Arial" w:hAnsi="Arial" w:cs="Arial"/>
          <w:i/>
        </w:rPr>
        <w:t>Osborne</w:t>
      </w:r>
      <w:r w:rsidR="000B6C91" w:rsidRPr="00C4160B">
        <w:rPr>
          <w:rFonts w:ascii="Arial" w:hAnsi="Arial" w:cs="Arial"/>
        </w:rPr>
        <w:t xml:space="preserve"> rejected the extension of substantive due process to this area, and left slim room for the prisoner to show that the governing state law denies him procedural due process.” </w:t>
      </w:r>
      <w:r w:rsidR="0046421E" w:rsidRPr="00C4160B">
        <w:rPr>
          <w:rFonts w:ascii="Arial" w:hAnsi="Arial" w:cs="Arial"/>
        </w:rPr>
        <w:t xml:space="preserve">562 U.S. at </w:t>
      </w:r>
      <w:r w:rsidR="00882F31">
        <w:rPr>
          <w:rFonts w:ascii="Arial" w:hAnsi="Arial" w:cs="Arial"/>
        </w:rPr>
        <w:t>525</w:t>
      </w:r>
      <w:r w:rsidR="0046421E" w:rsidRPr="00C4160B">
        <w:rPr>
          <w:rFonts w:ascii="Arial" w:hAnsi="Arial" w:cs="Arial"/>
        </w:rPr>
        <w:t xml:space="preserve"> (internal citation omitted)</w:t>
      </w:r>
      <w:r w:rsidR="00C40ABA" w:rsidRPr="00C4160B">
        <w:rPr>
          <w:rFonts w:ascii="Arial" w:hAnsi="Arial" w:cs="Arial"/>
        </w:rPr>
        <w:t>.</w:t>
      </w:r>
    </w:p>
    <w:p w14:paraId="6B2D21E0" w14:textId="77777777" w:rsidR="00C40ABA" w:rsidRPr="00C4160B" w:rsidRDefault="00C40ABA">
      <w:pPr>
        <w:pStyle w:val="ListParagraph"/>
        <w:spacing w:after="0" w:line="240" w:lineRule="auto"/>
        <w:rPr>
          <w:rFonts w:ascii="Arial" w:hAnsi="Arial" w:cs="Arial"/>
        </w:rPr>
      </w:pPr>
    </w:p>
    <w:p w14:paraId="3D798FDA" w14:textId="2EBF8088" w:rsidR="00C40ABA" w:rsidRPr="00C4160B" w:rsidRDefault="000B6C91" w:rsidP="00A2284D">
      <w:pPr>
        <w:pStyle w:val="ListParagraph"/>
        <w:numPr>
          <w:ilvl w:val="0"/>
          <w:numId w:val="2"/>
        </w:numPr>
        <w:spacing w:after="0" w:line="240" w:lineRule="auto"/>
        <w:ind w:left="720"/>
        <w:rPr>
          <w:rFonts w:ascii="Arial" w:hAnsi="Arial" w:cs="Arial"/>
        </w:rPr>
      </w:pPr>
      <w:bookmarkStart w:id="3" w:name="_Toc384048560"/>
      <w:bookmarkStart w:id="4" w:name="_Toc416436051"/>
      <w:bookmarkStart w:id="5" w:name="_Toc416436129"/>
      <w:r w:rsidRPr="00C4160B">
        <w:rPr>
          <w:rStyle w:val="Heading1Char"/>
        </w:rPr>
        <w:t>Defendant’s M</w:t>
      </w:r>
      <w:r w:rsidR="00EB7A44" w:rsidRPr="00C4160B">
        <w:rPr>
          <w:rStyle w:val="Heading1Char"/>
        </w:rPr>
        <w:t>otion</w:t>
      </w:r>
      <w:bookmarkEnd w:id="3"/>
      <w:bookmarkEnd w:id="4"/>
      <w:bookmarkEnd w:id="5"/>
      <w:r w:rsidR="00EB7A44" w:rsidRPr="00C4160B">
        <w:rPr>
          <w:rFonts w:ascii="Arial" w:hAnsi="Arial" w:cs="Arial"/>
          <w:b/>
        </w:rPr>
        <w:t>.</w:t>
      </w:r>
      <w:r w:rsidR="00EB7A44" w:rsidRPr="00C4160B">
        <w:rPr>
          <w:rFonts w:ascii="Arial" w:hAnsi="Arial" w:cs="Arial"/>
        </w:rPr>
        <w:t xml:space="preserve"> Th</w:t>
      </w:r>
      <w:r w:rsidR="00C40ABA" w:rsidRPr="00C4160B">
        <w:rPr>
          <w:rFonts w:ascii="Arial" w:hAnsi="Arial" w:cs="Arial"/>
        </w:rPr>
        <w:t>e</w:t>
      </w:r>
      <w:r w:rsidR="00EB7A44" w:rsidRPr="00C4160B">
        <w:rPr>
          <w:rFonts w:ascii="Arial" w:hAnsi="Arial" w:cs="Arial"/>
        </w:rPr>
        <w:t xml:space="preserve"> proceeding </w:t>
      </w:r>
      <w:r w:rsidR="00794CFD" w:rsidRPr="00C4160B">
        <w:rPr>
          <w:rFonts w:ascii="Arial" w:hAnsi="Arial" w:cs="Arial"/>
        </w:rPr>
        <w:t xml:space="preserve">typically </w:t>
      </w:r>
      <w:r w:rsidR="00EB7A44" w:rsidRPr="00C4160B">
        <w:rPr>
          <w:rFonts w:ascii="Arial" w:hAnsi="Arial" w:cs="Arial"/>
        </w:rPr>
        <w:t xml:space="preserve">begins when the defendant makes a motion, in the trial court that entered judgment, for DNA testing of biological evidence. </w:t>
      </w:r>
      <w:r w:rsidR="0046421E" w:rsidRPr="00C4160B">
        <w:rPr>
          <w:rFonts w:ascii="Arial" w:hAnsi="Arial" w:cs="Arial"/>
        </w:rPr>
        <w:t>G.S. 15A-269(a)</w:t>
      </w:r>
      <w:r w:rsidR="00C40ABA" w:rsidRPr="00C4160B">
        <w:rPr>
          <w:rFonts w:ascii="Arial" w:hAnsi="Arial" w:cs="Arial"/>
        </w:rPr>
        <w:t>.</w:t>
      </w:r>
      <w:r w:rsidR="00F82958">
        <w:rPr>
          <w:rFonts w:ascii="Arial" w:hAnsi="Arial" w:cs="Arial"/>
        </w:rPr>
        <w:t xml:space="preserve"> In </w:t>
      </w:r>
      <w:r w:rsidR="00F82958">
        <w:rPr>
          <w:rFonts w:ascii="Arial" w:hAnsi="Arial" w:cs="Arial"/>
          <w:i/>
          <w:iCs/>
        </w:rPr>
        <w:t>State v. Alexander</w:t>
      </w:r>
      <w:r w:rsidR="00F82958">
        <w:rPr>
          <w:rFonts w:ascii="Arial" w:hAnsi="Arial" w:cs="Arial"/>
        </w:rPr>
        <w:t>, 380 N.C. 572 (2022),</w:t>
      </w:r>
      <w:r w:rsidR="000026E5">
        <w:rPr>
          <w:rFonts w:ascii="Arial" w:hAnsi="Arial" w:cs="Arial"/>
        </w:rPr>
        <w:t xml:space="preserve"> the North Carolina </w:t>
      </w:r>
      <w:r w:rsidR="000026E5">
        <w:rPr>
          <w:rFonts w:ascii="Arial" w:hAnsi="Arial" w:cs="Arial"/>
        </w:rPr>
        <w:lastRenderedPageBreak/>
        <w:t xml:space="preserve">Supreme Court held that </w:t>
      </w:r>
      <w:r w:rsidR="00072714">
        <w:rPr>
          <w:rFonts w:ascii="Arial" w:hAnsi="Arial" w:cs="Arial"/>
        </w:rPr>
        <w:t xml:space="preserve">a defendant who has entered a guilty plea is not precluded from making a motion for DNA testing under G.S. 15A-269(a). </w:t>
      </w:r>
      <w:r w:rsidR="00072714">
        <w:rPr>
          <w:rFonts w:ascii="Arial" w:hAnsi="Arial" w:cs="Arial"/>
          <w:i/>
          <w:iCs/>
        </w:rPr>
        <w:t>See</w:t>
      </w:r>
      <w:r w:rsidR="00072714">
        <w:rPr>
          <w:rFonts w:ascii="Arial" w:hAnsi="Arial" w:cs="Arial"/>
        </w:rPr>
        <w:t xml:space="preserve"> 380 N.C. at 587-96 (rejecting State’s argument that language in the statute, including</w:t>
      </w:r>
      <w:r w:rsidR="000C33CB">
        <w:rPr>
          <w:rFonts w:ascii="Arial" w:hAnsi="Arial" w:cs="Arial"/>
        </w:rPr>
        <w:t xml:space="preserve"> </w:t>
      </w:r>
      <w:r w:rsidR="00072714">
        <w:rPr>
          <w:rFonts w:ascii="Arial" w:hAnsi="Arial" w:cs="Arial"/>
        </w:rPr>
        <w:t>reference</w:t>
      </w:r>
      <w:r w:rsidR="000C33CB">
        <w:rPr>
          <w:rFonts w:ascii="Arial" w:hAnsi="Arial" w:cs="Arial"/>
        </w:rPr>
        <w:t xml:space="preserve">s in G.S. 15A-269(a)(1) to the “defendant’s defense” and </w:t>
      </w:r>
      <w:r w:rsidR="00EC5FEB">
        <w:rPr>
          <w:rFonts w:ascii="Arial" w:hAnsi="Arial" w:cs="Arial"/>
        </w:rPr>
        <w:t xml:space="preserve">in </w:t>
      </w:r>
      <w:r w:rsidR="000C33CB">
        <w:rPr>
          <w:rFonts w:ascii="Arial" w:hAnsi="Arial" w:cs="Arial"/>
        </w:rPr>
        <w:t xml:space="preserve">G.S. 15A-269(b)(2) </w:t>
      </w:r>
      <w:r w:rsidR="00072714">
        <w:rPr>
          <w:rFonts w:ascii="Arial" w:hAnsi="Arial" w:cs="Arial"/>
        </w:rPr>
        <w:t>to “the verdict</w:t>
      </w:r>
      <w:r w:rsidR="000C33CB">
        <w:rPr>
          <w:rFonts w:ascii="Arial" w:hAnsi="Arial" w:cs="Arial"/>
        </w:rPr>
        <w:t>,</w:t>
      </w:r>
      <w:r w:rsidR="00072714">
        <w:rPr>
          <w:rFonts w:ascii="Arial" w:hAnsi="Arial" w:cs="Arial"/>
        </w:rPr>
        <w:t>”</w:t>
      </w:r>
      <w:r w:rsidR="005C6CB8">
        <w:rPr>
          <w:rFonts w:ascii="Arial" w:hAnsi="Arial" w:cs="Arial"/>
        </w:rPr>
        <w:t xml:space="preserve"> </w:t>
      </w:r>
      <w:r w:rsidR="00072714">
        <w:rPr>
          <w:rFonts w:ascii="Arial" w:hAnsi="Arial" w:cs="Arial"/>
        </w:rPr>
        <w:t>should be interpreted as limiting relief to defendants who are convicted at trial).</w:t>
      </w:r>
      <w:r w:rsidR="001218F1">
        <w:rPr>
          <w:rFonts w:ascii="Arial" w:hAnsi="Arial" w:cs="Arial"/>
        </w:rPr>
        <w:t xml:space="preserve"> A trial court lacks jurisdiction to rule on a motion that is filed after </w:t>
      </w:r>
      <w:r w:rsidR="00AD71AE">
        <w:rPr>
          <w:rFonts w:ascii="Arial" w:hAnsi="Arial" w:cs="Arial"/>
        </w:rPr>
        <w:t xml:space="preserve">its jurisdiction has been divested under G.S. 15A-1448 by </w:t>
      </w:r>
      <w:r w:rsidR="001218F1">
        <w:rPr>
          <w:rFonts w:ascii="Arial" w:hAnsi="Arial" w:cs="Arial"/>
        </w:rPr>
        <w:t xml:space="preserve">a </w:t>
      </w:r>
      <w:r w:rsidR="00AD71AE">
        <w:rPr>
          <w:rFonts w:ascii="Arial" w:hAnsi="Arial" w:cs="Arial"/>
        </w:rPr>
        <w:t xml:space="preserve">notice of </w:t>
      </w:r>
      <w:r w:rsidR="001218F1">
        <w:rPr>
          <w:rFonts w:ascii="Arial" w:hAnsi="Arial" w:cs="Arial"/>
        </w:rPr>
        <w:t>direct appeal</w:t>
      </w:r>
      <w:r w:rsidR="00AD71AE">
        <w:rPr>
          <w:rFonts w:ascii="Arial" w:hAnsi="Arial" w:cs="Arial"/>
        </w:rPr>
        <w:t xml:space="preserve"> in the case</w:t>
      </w:r>
      <w:r w:rsidR="001218F1">
        <w:rPr>
          <w:rFonts w:ascii="Arial" w:hAnsi="Arial" w:cs="Arial"/>
        </w:rPr>
        <w:t>. State v. Briggs, 257 N.C. App. 500, 504-05 (2018)</w:t>
      </w:r>
      <w:r w:rsidR="00A62EB8">
        <w:rPr>
          <w:rFonts w:ascii="Arial" w:hAnsi="Arial" w:cs="Arial"/>
        </w:rPr>
        <w:t xml:space="preserve">. </w:t>
      </w:r>
      <w:r w:rsidR="00A62EB8">
        <w:rPr>
          <w:rFonts w:ascii="Arial" w:hAnsi="Arial" w:cs="Arial"/>
          <w:i/>
          <w:iCs/>
        </w:rPr>
        <w:t>Cf.</w:t>
      </w:r>
      <w:r w:rsidR="00AD71AE" w:rsidRPr="00AD71AE">
        <w:rPr>
          <w:rFonts w:ascii="Arial" w:hAnsi="Arial" w:cs="Arial"/>
          <w:i/>
          <w:iCs/>
        </w:rPr>
        <w:t xml:space="preserve"> </w:t>
      </w:r>
      <w:r w:rsidR="00AD71AE" w:rsidRPr="00EC5FEB">
        <w:rPr>
          <w:rFonts w:ascii="Arial" w:hAnsi="Arial" w:cs="Arial"/>
        </w:rPr>
        <w:t xml:space="preserve">State v. </w:t>
      </w:r>
      <w:proofErr w:type="spellStart"/>
      <w:r w:rsidR="00AD71AE" w:rsidRPr="00EC5FEB">
        <w:rPr>
          <w:rFonts w:ascii="Arial" w:hAnsi="Arial" w:cs="Arial"/>
        </w:rPr>
        <w:t>Lebeau</w:t>
      </w:r>
      <w:proofErr w:type="spellEnd"/>
      <w:r w:rsidR="00AD71AE" w:rsidRPr="00EC5FEB">
        <w:rPr>
          <w:rFonts w:ascii="Arial" w:hAnsi="Arial" w:cs="Arial"/>
        </w:rPr>
        <w:t>, 271 N.C. App. 111, 113-14 (2020)</w:t>
      </w:r>
      <w:r w:rsidR="00AD71AE" w:rsidRPr="00AD71AE">
        <w:rPr>
          <w:rFonts w:ascii="Arial" w:hAnsi="Arial" w:cs="Arial"/>
        </w:rPr>
        <w:t xml:space="preserve"> (</w:t>
      </w:r>
      <w:r w:rsidR="003D6507">
        <w:rPr>
          <w:rFonts w:ascii="Arial" w:hAnsi="Arial" w:cs="Arial"/>
        </w:rPr>
        <w:t>discussing when, precisely, jurisdiction is divested under G.S. 15A-1448</w:t>
      </w:r>
      <w:r w:rsidR="00AD71AE">
        <w:rPr>
          <w:rFonts w:ascii="Arial" w:hAnsi="Arial" w:cs="Arial"/>
        </w:rPr>
        <w:t>).</w:t>
      </w:r>
    </w:p>
    <w:p w14:paraId="7B90733C" w14:textId="2BE381CE" w:rsidR="00EB7A44" w:rsidRPr="00C4160B" w:rsidRDefault="000B6C91">
      <w:pPr>
        <w:pStyle w:val="ListParagraph"/>
        <w:numPr>
          <w:ilvl w:val="1"/>
          <w:numId w:val="2"/>
        </w:numPr>
        <w:spacing w:after="0" w:line="240" w:lineRule="auto"/>
        <w:rPr>
          <w:rFonts w:ascii="Arial" w:hAnsi="Arial" w:cs="Arial"/>
        </w:rPr>
      </w:pPr>
      <w:bookmarkStart w:id="6" w:name="_Toc416436052"/>
      <w:bookmarkStart w:id="7" w:name="_Toc416436130"/>
      <w:r w:rsidRPr="00C4160B">
        <w:rPr>
          <w:rStyle w:val="Heading2Char"/>
        </w:rPr>
        <w:t xml:space="preserve">Not For </w:t>
      </w:r>
      <w:r w:rsidR="00465125" w:rsidRPr="00C4160B">
        <w:rPr>
          <w:rStyle w:val="Heading2Char"/>
        </w:rPr>
        <w:t>Showing Lack of Biological Evidence</w:t>
      </w:r>
      <w:bookmarkEnd w:id="6"/>
      <w:bookmarkEnd w:id="7"/>
      <w:r w:rsidR="00465125" w:rsidRPr="00C4160B">
        <w:rPr>
          <w:rFonts w:ascii="Arial" w:hAnsi="Arial" w:cs="Arial"/>
          <w:b/>
        </w:rPr>
        <w:t>.</w:t>
      </w:r>
      <w:r w:rsidR="00EB7A44" w:rsidRPr="00C4160B">
        <w:rPr>
          <w:rFonts w:ascii="Arial" w:hAnsi="Arial" w:cs="Arial"/>
        </w:rPr>
        <w:t xml:space="preserve"> </w:t>
      </w:r>
      <w:r w:rsidR="00465125" w:rsidRPr="00C4160B">
        <w:rPr>
          <w:rFonts w:ascii="Arial" w:hAnsi="Arial" w:cs="Arial"/>
        </w:rPr>
        <w:t>T</w:t>
      </w:r>
      <w:r w:rsidR="00EB7A44" w:rsidRPr="00C4160B">
        <w:rPr>
          <w:rFonts w:ascii="Arial" w:hAnsi="Arial" w:cs="Arial"/>
        </w:rPr>
        <w:t>he statute does not authorize testing to establish the lack of biological material e.g., the lack of semen on a rape victim’s clothes</w:t>
      </w:r>
      <w:r w:rsidR="00465125" w:rsidRPr="00C4160B">
        <w:rPr>
          <w:rFonts w:ascii="Arial" w:hAnsi="Arial" w:cs="Arial"/>
        </w:rPr>
        <w:t xml:space="preserve">. </w:t>
      </w:r>
      <w:r w:rsidR="0046421E" w:rsidRPr="00EC5FEB">
        <w:rPr>
          <w:rFonts w:ascii="Arial" w:hAnsi="Arial" w:cs="Arial"/>
          <w:iCs/>
        </w:rPr>
        <w:t>State v. Brown</w:t>
      </w:r>
      <w:r w:rsidR="0046421E" w:rsidRPr="00C4160B">
        <w:rPr>
          <w:rFonts w:ascii="Arial" w:hAnsi="Arial" w:cs="Arial"/>
        </w:rPr>
        <w:t>, 170 N.C. App. 601, 608-09 (2005)</w:t>
      </w:r>
      <w:r w:rsidR="00982CC3">
        <w:rPr>
          <w:rFonts w:ascii="Arial" w:hAnsi="Arial" w:cs="Arial"/>
        </w:rPr>
        <w:t xml:space="preserve">; </w:t>
      </w:r>
      <w:r w:rsidR="00982CC3" w:rsidRPr="00EC5FEB">
        <w:rPr>
          <w:rFonts w:ascii="Arial" w:hAnsi="Arial" w:cs="Arial"/>
        </w:rPr>
        <w:t>State v. Randall</w:t>
      </w:r>
      <w:r w:rsidR="00982CC3">
        <w:rPr>
          <w:rFonts w:ascii="Arial" w:hAnsi="Arial" w:cs="Arial"/>
        </w:rPr>
        <w:t>, 259 N.C. App. 885, 889 (2018)</w:t>
      </w:r>
      <w:r w:rsidR="00465125" w:rsidRPr="00C4160B">
        <w:rPr>
          <w:rFonts w:ascii="Arial" w:hAnsi="Arial" w:cs="Arial"/>
        </w:rPr>
        <w:t xml:space="preserve">. Put another way, </w:t>
      </w:r>
      <w:r w:rsidR="00EB7A44" w:rsidRPr="00C4160B">
        <w:rPr>
          <w:rFonts w:ascii="Arial" w:hAnsi="Arial" w:cs="Arial"/>
        </w:rPr>
        <w:t>the statute provides for the testing of biological evidence, not for the testing of any evidence to establish the lack of biological material.</w:t>
      </w:r>
      <w:r w:rsidR="00465125" w:rsidRPr="00C4160B">
        <w:rPr>
          <w:rFonts w:ascii="Arial" w:hAnsi="Arial" w:cs="Arial"/>
          <w:i/>
        </w:rPr>
        <w:t xml:space="preserve"> </w:t>
      </w:r>
      <w:r w:rsidR="0046421E" w:rsidRPr="00C4160B">
        <w:rPr>
          <w:rFonts w:ascii="Arial" w:hAnsi="Arial" w:cs="Arial"/>
          <w:i/>
        </w:rPr>
        <w:t>Id</w:t>
      </w:r>
      <w:r w:rsidR="00465125" w:rsidRPr="00C4160B">
        <w:rPr>
          <w:rFonts w:ascii="Arial" w:hAnsi="Arial" w:cs="Arial"/>
          <w:i/>
        </w:rPr>
        <w:t xml:space="preserve">.; see also </w:t>
      </w:r>
      <w:r w:rsidR="0046421E" w:rsidRPr="00C4160B">
        <w:rPr>
          <w:rFonts w:ascii="Arial" w:hAnsi="Arial" w:cs="Arial"/>
        </w:rPr>
        <w:t xml:space="preserve">State v. Collins, </w:t>
      </w:r>
      <w:r w:rsidR="00084E22">
        <w:rPr>
          <w:rFonts w:ascii="Arial" w:hAnsi="Arial" w:cs="Arial"/>
        </w:rPr>
        <w:t>234</w:t>
      </w:r>
      <w:r w:rsidR="0046421E" w:rsidRPr="00C4160B">
        <w:rPr>
          <w:rFonts w:ascii="Arial" w:hAnsi="Arial" w:cs="Arial"/>
        </w:rPr>
        <w:t xml:space="preserve"> N.C. App. </w:t>
      </w:r>
      <w:r w:rsidR="00084E22">
        <w:rPr>
          <w:rFonts w:ascii="Arial" w:hAnsi="Arial" w:cs="Arial"/>
        </w:rPr>
        <w:t>398, 409-10</w:t>
      </w:r>
      <w:r w:rsidR="0046421E" w:rsidRPr="00C4160B">
        <w:rPr>
          <w:rFonts w:ascii="Arial" w:hAnsi="Arial" w:cs="Arial"/>
        </w:rPr>
        <w:t xml:space="preserve"> (2014) (so interpreting </w:t>
      </w:r>
      <w:r w:rsidR="0046421E" w:rsidRPr="00C4160B">
        <w:rPr>
          <w:rFonts w:ascii="Arial" w:hAnsi="Arial" w:cs="Arial"/>
          <w:i/>
        </w:rPr>
        <w:t xml:space="preserve">Brown </w:t>
      </w:r>
      <w:r w:rsidR="0046421E" w:rsidRPr="00C4160B">
        <w:rPr>
          <w:rFonts w:ascii="Arial" w:hAnsi="Arial" w:cs="Arial"/>
        </w:rPr>
        <w:t xml:space="preserve">and distinguishing </w:t>
      </w:r>
      <w:r w:rsidR="0046421E" w:rsidRPr="00C4160B">
        <w:rPr>
          <w:rFonts w:ascii="Arial" w:hAnsi="Arial" w:cs="Arial"/>
          <w:i/>
        </w:rPr>
        <w:t xml:space="preserve">Brown </w:t>
      </w:r>
      <w:r w:rsidR="0046421E" w:rsidRPr="00C4160B">
        <w:rPr>
          <w:rFonts w:ascii="Arial" w:hAnsi="Arial" w:cs="Arial"/>
        </w:rPr>
        <w:t>from the case before it where the defendant sought testing on biological samples taken into evidence and was not seeking testing to show a lack of DNA evidence)</w:t>
      </w:r>
      <w:r w:rsidR="00465125" w:rsidRPr="00C4160B">
        <w:rPr>
          <w:rFonts w:ascii="Arial" w:hAnsi="Arial" w:cs="Arial"/>
        </w:rPr>
        <w:t>.</w:t>
      </w:r>
    </w:p>
    <w:p w14:paraId="6FA1CB37" w14:textId="77777777" w:rsidR="00C40ABA" w:rsidRPr="00C4160B" w:rsidRDefault="00C40ABA">
      <w:pPr>
        <w:pStyle w:val="ListParagraph"/>
        <w:spacing w:after="0" w:line="240" w:lineRule="auto"/>
        <w:ind w:left="1440"/>
        <w:rPr>
          <w:rFonts w:ascii="Arial" w:hAnsi="Arial" w:cs="Arial"/>
        </w:rPr>
      </w:pPr>
    </w:p>
    <w:p w14:paraId="2CFDF817" w14:textId="77777777" w:rsidR="00C40ABA" w:rsidRPr="00C4160B" w:rsidRDefault="00C40ABA" w:rsidP="00A2284D">
      <w:pPr>
        <w:pStyle w:val="ListParagraph"/>
        <w:numPr>
          <w:ilvl w:val="0"/>
          <w:numId w:val="2"/>
        </w:numPr>
        <w:tabs>
          <w:tab w:val="left" w:pos="1440"/>
        </w:tabs>
        <w:spacing w:after="0" w:line="240" w:lineRule="auto"/>
        <w:ind w:left="720"/>
        <w:rPr>
          <w:rFonts w:ascii="Arial" w:hAnsi="Arial" w:cs="Arial"/>
        </w:rPr>
      </w:pPr>
      <w:bookmarkStart w:id="8" w:name="_Toc384048561"/>
      <w:bookmarkStart w:id="9" w:name="_Toc416436053"/>
      <w:bookmarkStart w:id="10" w:name="_Toc416436131"/>
      <w:r w:rsidRPr="00C4160B">
        <w:rPr>
          <w:rStyle w:val="Heading1Char"/>
        </w:rPr>
        <w:t xml:space="preserve">Testing </w:t>
      </w:r>
      <w:r w:rsidR="00465125" w:rsidRPr="00C4160B">
        <w:rPr>
          <w:rStyle w:val="Heading1Char"/>
        </w:rPr>
        <w:t>B</w:t>
      </w:r>
      <w:r w:rsidRPr="00C4160B">
        <w:rPr>
          <w:rStyle w:val="Heading1Char"/>
        </w:rPr>
        <w:t>y C</w:t>
      </w:r>
      <w:r w:rsidR="00794CFD" w:rsidRPr="00C4160B">
        <w:rPr>
          <w:rStyle w:val="Heading1Char"/>
        </w:rPr>
        <w:t>onsent</w:t>
      </w:r>
      <w:bookmarkEnd w:id="8"/>
      <w:bookmarkEnd w:id="9"/>
      <w:bookmarkEnd w:id="10"/>
      <w:r w:rsidR="00794CFD" w:rsidRPr="00C4160B">
        <w:rPr>
          <w:rFonts w:ascii="Arial" w:hAnsi="Arial" w:cs="Arial"/>
          <w:b/>
        </w:rPr>
        <w:t>.</w:t>
      </w:r>
      <w:r w:rsidR="00794CFD" w:rsidRPr="00C4160B">
        <w:rPr>
          <w:rFonts w:ascii="Arial" w:hAnsi="Arial" w:cs="Arial"/>
        </w:rPr>
        <w:t xml:space="preserve"> </w:t>
      </w:r>
      <w:r w:rsidR="00490F28" w:rsidRPr="00C4160B">
        <w:rPr>
          <w:rFonts w:ascii="Arial" w:hAnsi="Arial" w:cs="Arial"/>
        </w:rPr>
        <w:t>Post-conviction testing can be ini</w:t>
      </w:r>
      <w:r w:rsidRPr="00C4160B">
        <w:rPr>
          <w:rFonts w:ascii="Arial" w:hAnsi="Arial" w:cs="Arial"/>
        </w:rPr>
        <w:t>tiated without a defense motion</w:t>
      </w:r>
      <w:r w:rsidR="00490F28" w:rsidRPr="00C4160B">
        <w:rPr>
          <w:rFonts w:ascii="Arial" w:hAnsi="Arial" w:cs="Arial"/>
        </w:rPr>
        <w:t>. Specifically, a</w:t>
      </w:r>
      <w:r w:rsidR="00794CFD" w:rsidRPr="00C4160B">
        <w:rPr>
          <w:rFonts w:ascii="Arial" w:hAnsi="Arial" w:cs="Arial"/>
        </w:rPr>
        <w:t xml:space="preserve"> defendant and the State may consent to and conduct post-conviction DNA testing by agreement, without the filing of a motion. </w:t>
      </w:r>
      <w:r w:rsidR="0046421E" w:rsidRPr="00C4160B">
        <w:rPr>
          <w:rFonts w:ascii="Arial" w:hAnsi="Arial" w:cs="Arial"/>
        </w:rPr>
        <w:t>G.S. 15A-269(h)</w:t>
      </w:r>
      <w:r w:rsidR="00794CFD" w:rsidRPr="00C4160B">
        <w:rPr>
          <w:rFonts w:ascii="Arial" w:hAnsi="Arial" w:cs="Arial"/>
        </w:rPr>
        <w:t>.</w:t>
      </w:r>
    </w:p>
    <w:p w14:paraId="26234E9E" w14:textId="77777777" w:rsidR="000F3420" w:rsidRPr="00C4160B" w:rsidRDefault="000F3420">
      <w:pPr>
        <w:pStyle w:val="ListParagraph"/>
        <w:tabs>
          <w:tab w:val="left" w:pos="1440"/>
        </w:tabs>
        <w:spacing w:after="0" w:line="240" w:lineRule="auto"/>
        <w:rPr>
          <w:rFonts w:ascii="Arial" w:hAnsi="Arial" w:cs="Arial"/>
        </w:rPr>
      </w:pPr>
    </w:p>
    <w:p w14:paraId="338BC915" w14:textId="77777777" w:rsidR="00C40ABA" w:rsidRPr="00C4160B" w:rsidRDefault="00EB7A44" w:rsidP="00A2284D">
      <w:pPr>
        <w:pStyle w:val="ListParagraph"/>
        <w:numPr>
          <w:ilvl w:val="0"/>
          <w:numId w:val="2"/>
        </w:numPr>
        <w:tabs>
          <w:tab w:val="left" w:pos="1440"/>
        </w:tabs>
        <w:spacing w:after="0" w:line="240" w:lineRule="auto"/>
        <w:ind w:left="720"/>
        <w:rPr>
          <w:rFonts w:ascii="Arial" w:hAnsi="Arial" w:cs="Arial"/>
        </w:rPr>
      </w:pPr>
      <w:bookmarkStart w:id="11" w:name="_Toc384048562"/>
      <w:bookmarkStart w:id="12" w:name="_Toc416436054"/>
      <w:bookmarkStart w:id="13" w:name="_Toc416436132"/>
      <w:r w:rsidRPr="00C4160B">
        <w:rPr>
          <w:rStyle w:val="Heading1Char"/>
        </w:rPr>
        <w:t>Counsel</w:t>
      </w:r>
      <w:bookmarkEnd w:id="11"/>
      <w:bookmarkEnd w:id="12"/>
      <w:bookmarkEnd w:id="13"/>
      <w:r w:rsidRPr="00C4160B">
        <w:rPr>
          <w:rFonts w:ascii="Arial" w:hAnsi="Arial" w:cs="Arial"/>
          <w:b/>
        </w:rPr>
        <w:t xml:space="preserve">. </w:t>
      </w:r>
      <w:r w:rsidRPr="00C4160B">
        <w:rPr>
          <w:rFonts w:ascii="Arial" w:hAnsi="Arial" w:cs="Arial"/>
        </w:rPr>
        <w:t xml:space="preserve">The court must appoint counsel for </w:t>
      </w:r>
      <w:r w:rsidR="00C40ABA" w:rsidRPr="00C4160B">
        <w:rPr>
          <w:rFonts w:ascii="Arial" w:hAnsi="Arial" w:cs="Arial"/>
        </w:rPr>
        <w:t>a defendant only if the defendant</w:t>
      </w:r>
    </w:p>
    <w:p w14:paraId="14AE01A0" w14:textId="77777777" w:rsidR="00C40ABA" w:rsidRPr="00C4160B" w:rsidRDefault="00C40ABA" w:rsidP="00A2284D">
      <w:pPr>
        <w:pStyle w:val="ListParagraph"/>
        <w:spacing w:line="240" w:lineRule="auto"/>
        <w:rPr>
          <w:rFonts w:ascii="Arial" w:hAnsi="Arial" w:cs="Arial"/>
        </w:rPr>
      </w:pPr>
    </w:p>
    <w:p w14:paraId="7281062D" w14:textId="0EEB2F49" w:rsidR="00C40ABA" w:rsidRPr="00C4160B" w:rsidRDefault="00DB26BC" w:rsidP="00A2284D">
      <w:pPr>
        <w:pStyle w:val="ListParagraph"/>
        <w:numPr>
          <w:ilvl w:val="0"/>
          <w:numId w:val="6"/>
        </w:numPr>
        <w:tabs>
          <w:tab w:val="left" w:pos="1440"/>
        </w:tabs>
        <w:spacing w:after="0" w:line="240" w:lineRule="auto"/>
        <w:ind w:left="2160" w:hanging="720"/>
        <w:rPr>
          <w:rFonts w:ascii="Arial" w:hAnsi="Arial" w:cs="Arial"/>
        </w:rPr>
      </w:pPr>
      <w:r>
        <w:rPr>
          <w:rFonts w:ascii="Arial" w:hAnsi="Arial" w:cs="Arial"/>
        </w:rPr>
        <w:t>is indigent</w:t>
      </w:r>
      <w:r w:rsidR="00C40ABA" w:rsidRPr="00C4160B">
        <w:rPr>
          <w:rFonts w:ascii="Arial" w:hAnsi="Arial" w:cs="Arial"/>
        </w:rPr>
        <w:t xml:space="preserve"> and</w:t>
      </w:r>
    </w:p>
    <w:p w14:paraId="5AD6EF3F" w14:textId="752DFA3A" w:rsidR="00C40ABA" w:rsidRPr="00C4160B" w:rsidRDefault="00DB26BC" w:rsidP="00A2284D">
      <w:pPr>
        <w:pStyle w:val="ListParagraph"/>
        <w:numPr>
          <w:ilvl w:val="0"/>
          <w:numId w:val="6"/>
        </w:numPr>
        <w:tabs>
          <w:tab w:val="left" w:pos="1440"/>
        </w:tabs>
        <w:spacing w:after="0" w:line="240" w:lineRule="auto"/>
        <w:ind w:left="2160" w:hanging="720"/>
        <w:rPr>
          <w:rFonts w:ascii="Arial" w:hAnsi="Arial" w:cs="Arial"/>
        </w:rPr>
      </w:pPr>
      <w:r>
        <w:rPr>
          <w:rFonts w:ascii="Arial" w:hAnsi="Arial" w:cs="Arial"/>
        </w:rPr>
        <w:t>makes a showing</w:t>
      </w:r>
      <w:r w:rsidR="00C40ABA" w:rsidRPr="00C4160B">
        <w:rPr>
          <w:rFonts w:ascii="Arial" w:hAnsi="Arial" w:cs="Arial"/>
        </w:rPr>
        <w:t xml:space="preserve"> </w:t>
      </w:r>
      <w:r w:rsidR="00EB7A44" w:rsidRPr="00C4160B">
        <w:rPr>
          <w:rFonts w:ascii="Arial" w:hAnsi="Arial" w:cs="Arial"/>
        </w:rPr>
        <w:t xml:space="preserve">that the DNA testing “may be material to the </w:t>
      </w:r>
      <w:r w:rsidR="00C564CD">
        <w:rPr>
          <w:rFonts w:ascii="Arial" w:hAnsi="Arial" w:cs="Arial"/>
        </w:rPr>
        <w:t>. . .</w:t>
      </w:r>
      <w:r w:rsidR="00EB7A44" w:rsidRPr="00C4160B">
        <w:rPr>
          <w:rFonts w:ascii="Arial" w:hAnsi="Arial" w:cs="Arial"/>
        </w:rPr>
        <w:t xml:space="preserve"> claim of wrongful conviction.” </w:t>
      </w:r>
    </w:p>
    <w:p w14:paraId="02A52A51" w14:textId="77777777" w:rsidR="00C40ABA" w:rsidRPr="00C4160B" w:rsidRDefault="00C40ABA">
      <w:pPr>
        <w:tabs>
          <w:tab w:val="left" w:pos="1440"/>
        </w:tabs>
        <w:spacing w:after="0" w:line="240" w:lineRule="auto"/>
        <w:rPr>
          <w:rFonts w:ascii="Arial" w:hAnsi="Arial" w:cs="Arial"/>
        </w:rPr>
      </w:pPr>
    </w:p>
    <w:p w14:paraId="15552485" w14:textId="788F74C8" w:rsidR="00465125" w:rsidRPr="00C4160B" w:rsidRDefault="0046421E">
      <w:pPr>
        <w:tabs>
          <w:tab w:val="left" w:pos="1440"/>
        </w:tabs>
        <w:spacing w:after="0" w:line="240" w:lineRule="auto"/>
        <w:ind w:left="720"/>
        <w:rPr>
          <w:rFonts w:ascii="Arial" w:hAnsi="Arial" w:cs="Arial"/>
        </w:rPr>
      </w:pPr>
      <w:r w:rsidRPr="00C4160B">
        <w:rPr>
          <w:rFonts w:ascii="Arial" w:hAnsi="Arial" w:cs="Arial"/>
        </w:rPr>
        <w:t>G.S. 15A-269(c)</w:t>
      </w:r>
      <w:r w:rsidR="00A31F90">
        <w:rPr>
          <w:rFonts w:ascii="Arial" w:hAnsi="Arial" w:cs="Arial"/>
        </w:rPr>
        <w:t>; State v. Cox, 245 N.C. App. 307, 312 (2016) (so interpreting the statute)</w:t>
      </w:r>
      <w:r w:rsidR="000B6C91" w:rsidRPr="00C4160B">
        <w:rPr>
          <w:rFonts w:ascii="Arial" w:hAnsi="Arial" w:cs="Arial"/>
        </w:rPr>
        <w:t xml:space="preserve">. </w:t>
      </w:r>
      <w:r w:rsidR="00C40ABA" w:rsidRPr="00C4160B">
        <w:rPr>
          <w:rFonts w:ascii="Arial" w:hAnsi="Arial" w:cs="Arial"/>
        </w:rPr>
        <w:t xml:space="preserve">Appointment must be made in accordance with IDS rules. </w:t>
      </w:r>
      <w:r w:rsidRPr="00C4160B">
        <w:rPr>
          <w:rFonts w:ascii="Arial" w:hAnsi="Arial" w:cs="Arial"/>
        </w:rPr>
        <w:t>G.S. 15A-269(c)</w:t>
      </w:r>
      <w:r w:rsidR="00C40ABA" w:rsidRPr="00C4160B">
        <w:rPr>
          <w:rFonts w:ascii="Arial" w:hAnsi="Arial" w:cs="Arial"/>
        </w:rPr>
        <w:t xml:space="preserve">. </w:t>
      </w:r>
    </w:p>
    <w:p w14:paraId="7E66B38B" w14:textId="722FA00A" w:rsidR="00EB7A44" w:rsidRPr="00C4160B" w:rsidRDefault="00EF5E87" w:rsidP="00A2284D">
      <w:pPr>
        <w:tabs>
          <w:tab w:val="left" w:pos="1440"/>
        </w:tabs>
        <w:spacing w:after="0" w:line="240" w:lineRule="auto"/>
        <w:ind w:left="720"/>
        <w:rPr>
          <w:rFonts w:ascii="Arial" w:hAnsi="Arial" w:cs="Arial"/>
        </w:rPr>
      </w:pPr>
      <w:r w:rsidRPr="00C4160B">
        <w:rPr>
          <w:rFonts w:ascii="Arial" w:hAnsi="Arial" w:cs="Arial"/>
        </w:rPr>
        <w:tab/>
      </w:r>
      <w:r w:rsidR="00C40ABA" w:rsidRPr="00C4160B">
        <w:rPr>
          <w:rFonts w:ascii="Arial" w:hAnsi="Arial" w:cs="Arial"/>
        </w:rPr>
        <w:t xml:space="preserve">The </w:t>
      </w:r>
      <w:r w:rsidR="0036120A">
        <w:rPr>
          <w:rFonts w:ascii="Arial" w:hAnsi="Arial" w:cs="Arial"/>
        </w:rPr>
        <w:t xml:space="preserve">showing </w:t>
      </w:r>
      <w:r w:rsidR="00300333">
        <w:rPr>
          <w:rFonts w:ascii="Arial" w:hAnsi="Arial" w:cs="Arial"/>
        </w:rPr>
        <w:t>concerning</w:t>
      </w:r>
      <w:r w:rsidR="00DB26BC">
        <w:rPr>
          <w:rFonts w:ascii="Arial" w:hAnsi="Arial" w:cs="Arial"/>
        </w:rPr>
        <w:t xml:space="preserve"> materiality </w:t>
      </w:r>
      <w:r w:rsidR="0036120A">
        <w:rPr>
          <w:rFonts w:ascii="Arial" w:hAnsi="Arial" w:cs="Arial"/>
        </w:rPr>
        <w:t>that an indigent defendant must make</w:t>
      </w:r>
      <w:r w:rsidR="00C40ABA" w:rsidRPr="00C4160B">
        <w:rPr>
          <w:rFonts w:ascii="Arial" w:hAnsi="Arial" w:cs="Arial"/>
        </w:rPr>
        <w:t xml:space="preserve"> for appointment of counsel is </w:t>
      </w:r>
      <w:r w:rsidR="0036120A">
        <w:rPr>
          <w:rFonts w:ascii="Arial" w:hAnsi="Arial" w:cs="Arial"/>
        </w:rPr>
        <w:t>a lesser burde</w:t>
      </w:r>
      <w:r w:rsidR="00C564CD">
        <w:rPr>
          <w:rFonts w:ascii="Arial" w:hAnsi="Arial" w:cs="Arial"/>
        </w:rPr>
        <w:t>n than</w:t>
      </w:r>
      <w:r w:rsidR="00C40ABA" w:rsidRPr="00C4160B">
        <w:rPr>
          <w:rFonts w:ascii="Arial" w:hAnsi="Arial" w:cs="Arial"/>
        </w:rPr>
        <w:t xml:space="preserve"> that required to grant the motion. </w:t>
      </w:r>
      <w:r w:rsidR="00C564CD">
        <w:rPr>
          <w:rFonts w:ascii="Arial" w:hAnsi="Arial" w:cs="Arial"/>
        </w:rPr>
        <w:t>State v. Byers, 375 N.C. 386, 396-97 (2020).</w:t>
      </w:r>
      <w:r w:rsidR="00C40ABA" w:rsidRPr="00C4160B">
        <w:rPr>
          <w:rFonts w:ascii="Arial" w:hAnsi="Arial" w:cs="Arial"/>
        </w:rPr>
        <w:t xml:space="preserve"> </w:t>
      </w:r>
      <w:r w:rsidR="009F79C3">
        <w:rPr>
          <w:rFonts w:ascii="Arial" w:hAnsi="Arial" w:cs="Arial"/>
        </w:rPr>
        <w:t>As set out above, u</w:t>
      </w:r>
      <w:r w:rsidR="00C564CD">
        <w:rPr>
          <w:rFonts w:ascii="Arial" w:hAnsi="Arial" w:cs="Arial"/>
        </w:rPr>
        <w:t xml:space="preserve">nder </w:t>
      </w:r>
      <w:r w:rsidR="00176F24">
        <w:rPr>
          <w:rFonts w:ascii="Arial" w:hAnsi="Arial" w:cs="Arial"/>
        </w:rPr>
        <w:t>G.S. 15A-269</w:t>
      </w:r>
      <w:r w:rsidR="00300333">
        <w:rPr>
          <w:rFonts w:ascii="Arial" w:hAnsi="Arial" w:cs="Arial"/>
        </w:rPr>
        <w:t>(c)</w:t>
      </w:r>
      <w:r w:rsidR="00C564CD">
        <w:rPr>
          <w:rFonts w:ascii="Arial" w:hAnsi="Arial" w:cs="Arial"/>
        </w:rPr>
        <w:t xml:space="preserve">, a defendant is entitled to appointment of counsel upon a showing that the requested DNA testing </w:t>
      </w:r>
      <w:r w:rsidR="00176F24">
        <w:rPr>
          <w:rFonts w:ascii="Arial" w:hAnsi="Arial" w:cs="Arial"/>
        </w:rPr>
        <w:t>“</w:t>
      </w:r>
      <w:r w:rsidR="00C564CD" w:rsidRPr="00EC5FEB">
        <w:rPr>
          <w:rFonts w:ascii="Arial" w:hAnsi="Arial" w:cs="Arial"/>
        </w:rPr>
        <w:t>may be</w:t>
      </w:r>
      <w:r w:rsidR="00C564CD">
        <w:rPr>
          <w:rFonts w:ascii="Arial" w:hAnsi="Arial" w:cs="Arial"/>
          <w:i/>
          <w:iCs/>
        </w:rPr>
        <w:t xml:space="preserve"> </w:t>
      </w:r>
      <w:r w:rsidR="00C564CD">
        <w:rPr>
          <w:rFonts w:ascii="Arial" w:hAnsi="Arial" w:cs="Arial"/>
        </w:rPr>
        <w:t>material</w:t>
      </w:r>
      <w:r w:rsidR="00176F24">
        <w:rPr>
          <w:rFonts w:ascii="Arial" w:hAnsi="Arial" w:cs="Arial"/>
        </w:rPr>
        <w:t>”</w:t>
      </w:r>
      <w:r w:rsidR="00C564CD">
        <w:rPr>
          <w:rFonts w:ascii="Arial" w:hAnsi="Arial" w:cs="Arial"/>
        </w:rPr>
        <w:t xml:space="preserve"> to his or her claim of wrongful conviction</w:t>
      </w:r>
      <w:r w:rsidR="00176F24">
        <w:rPr>
          <w:rFonts w:ascii="Arial" w:hAnsi="Arial" w:cs="Arial"/>
        </w:rPr>
        <w:t>.</w:t>
      </w:r>
      <w:r w:rsidR="00C564CD">
        <w:rPr>
          <w:rFonts w:ascii="Arial" w:hAnsi="Arial" w:cs="Arial"/>
        </w:rPr>
        <w:t xml:space="preserve"> </w:t>
      </w:r>
      <w:r w:rsidR="00176F24">
        <w:rPr>
          <w:rFonts w:ascii="Arial" w:hAnsi="Arial" w:cs="Arial"/>
        </w:rPr>
        <w:t>In co</w:t>
      </w:r>
      <w:r w:rsidR="001677F3">
        <w:rPr>
          <w:rFonts w:ascii="Arial" w:hAnsi="Arial" w:cs="Arial"/>
        </w:rPr>
        <w:t>ntrast,</w:t>
      </w:r>
      <w:r w:rsidR="00176F24">
        <w:rPr>
          <w:rFonts w:ascii="Arial" w:hAnsi="Arial" w:cs="Arial"/>
        </w:rPr>
        <w:t xml:space="preserve"> under G.S. 15A-269(</w:t>
      </w:r>
      <w:r w:rsidR="00DC0594">
        <w:rPr>
          <w:rFonts w:ascii="Arial" w:hAnsi="Arial" w:cs="Arial"/>
        </w:rPr>
        <w:t>a</w:t>
      </w:r>
      <w:r w:rsidR="00176F24">
        <w:rPr>
          <w:rFonts w:ascii="Arial" w:hAnsi="Arial" w:cs="Arial"/>
        </w:rPr>
        <w:t>)</w:t>
      </w:r>
      <w:r w:rsidR="00DC0594">
        <w:rPr>
          <w:rFonts w:ascii="Arial" w:hAnsi="Arial" w:cs="Arial"/>
        </w:rPr>
        <w:t xml:space="preserve"> and (b)</w:t>
      </w:r>
      <w:r w:rsidR="00176F24">
        <w:rPr>
          <w:rFonts w:ascii="Arial" w:hAnsi="Arial" w:cs="Arial"/>
        </w:rPr>
        <w:t>, a</w:t>
      </w:r>
      <w:r w:rsidR="00C564CD">
        <w:rPr>
          <w:rFonts w:ascii="Arial" w:hAnsi="Arial" w:cs="Arial"/>
        </w:rPr>
        <w:t xml:space="preserve"> trial court must grant the motion only when it determines that such testing </w:t>
      </w:r>
      <w:r w:rsidR="00176F24">
        <w:rPr>
          <w:rFonts w:ascii="Arial" w:hAnsi="Arial" w:cs="Arial"/>
        </w:rPr>
        <w:t>“</w:t>
      </w:r>
      <w:r w:rsidR="006973BC">
        <w:rPr>
          <w:rFonts w:ascii="Arial" w:hAnsi="Arial" w:cs="Arial"/>
        </w:rPr>
        <w:t xml:space="preserve">is </w:t>
      </w:r>
      <w:r w:rsidR="00C564CD">
        <w:rPr>
          <w:rFonts w:ascii="Arial" w:hAnsi="Arial" w:cs="Arial"/>
        </w:rPr>
        <w:t>material</w:t>
      </w:r>
      <w:r w:rsidR="00176F24">
        <w:rPr>
          <w:rFonts w:ascii="Arial" w:hAnsi="Arial" w:cs="Arial"/>
        </w:rPr>
        <w:t>”</w:t>
      </w:r>
      <w:r w:rsidR="00C564CD">
        <w:rPr>
          <w:rFonts w:ascii="Arial" w:hAnsi="Arial" w:cs="Arial"/>
        </w:rPr>
        <w:t xml:space="preserve"> </w:t>
      </w:r>
      <w:r w:rsidR="00176F24">
        <w:rPr>
          <w:rFonts w:ascii="Arial" w:hAnsi="Arial" w:cs="Arial"/>
        </w:rPr>
        <w:t xml:space="preserve">to the defendant’s claim of wrongful conviction. The legislature’s varying use of the </w:t>
      </w:r>
      <w:r w:rsidR="009A0F8E">
        <w:rPr>
          <w:rFonts w:ascii="Arial" w:hAnsi="Arial" w:cs="Arial"/>
        </w:rPr>
        <w:t>terms</w:t>
      </w:r>
      <w:r w:rsidR="00176F24">
        <w:rPr>
          <w:rFonts w:ascii="Arial" w:hAnsi="Arial" w:cs="Arial"/>
        </w:rPr>
        <w:t xml:space="preserve"> “is” and “may be” </w:t>
      </w:r>
      <w:r w:rsidR="009A0F8E">
        <w:rPr>
          <w:rFonts w:ascii="Arial" w:hAnsi="Arial" w:cs="Arial"/>
        </w:rPr>
        <w:t>to modify</w:t>
      </w:r>
      <w:r w:rsidR="00DB26BC">
        <w:rPr>
          <w:rFonts w:ascii="Arial" w:hAnsi="Arial" w:cs="Arial"/>
        </w:rPr>
        <w:t xml:space="preserve"> the term “material” </w:t>
      </w:r>
      <w:r w:rsidR="00176F24">
        <w:rPr>
          <w:rFonts w:ascii="Arial" w:hAnsi="Arial" w:cs="Arial"/>
        </w:rPr>
        <w:t xml:space="preserve">indicates </w:t>
      </w:r>
      <w:r w:rsidR="00AE1235">
        <w:rPr>
          <w:rFonts w:ascii="Arial" w:hAnsi="Arial" w:cs="Arial"/>
        </w:rPr>
        <w:t xml:space="preserve">a lesser burden for appointment of counsel than for granting the motion. </w:t>
      </w:r>
      <w:r w:rsidR="00AE1235">
        <w:rPr>
          <w:rFonts w:ascii="Arial" w:hAnsi="Arial" w:cs="Arial"/>
          <w:i/>
          <w:iCs/>
        </w:rPr>
        <w:t>Byers</w:t>
      </w:r>
      <w:r w:rsidR="00AE1235">
        <w:rPr>
          <w:rFonts w:ascii="Arial" w:hAnsi="Arial" w:cs="Arial"/>
        </w:rPr>
        <w:t>, 375 N.C. at 396-97.</w:t>
      </w:r>
      <w:r w:rsidR="00176F24">
        <w:rPr>
          <w:rFonts w:ascii="Arial" w:hAnsi="Arial" w:cs="Arial"/>
        </w:rPr>
        <w:t xml:space="preserve"> </w:t>
      </w:r>
      <w:r w:rsidR="001677F3">
        <w:rPr>
          <w:rFonts w:ascii="Arial" w:hAnsi="Arial" w:cs="Arial"/>
        </w:rPr>
        <w:t xml:space="preserve">For purposes of both appointment of counsel and granting the motion, the term “material” refers to the existence of </w:t>
      </w:r>
      <w:r w:rsidR="004C78DD">
        <w:rPr>
          <w:rFonts w:ascii="Arial" w:hAnsi="Arial" w:cs="Arial"/>
        </w:rPr>
        <w:t>“</w:t>
      </w:r>
      <w:r w:rsidR="001677F3">
        <w:rPr>
          <w:rFonts w:ascii="Arial" w:hAnsi="Arial" w:cs="Arial"/>
        </w:rPr>
        <w:t xml:space="preserve">a </w:t>
      </w:r>
      <w:r w:rsidR="004C78DD">
        <w:rPr>
          <w:rFonts w:ascii="Arial" w:hAnsi="Arial" w:cs="Arial"/>
        </w:rPr>
        <w:t>reasonable probability that, had the evidence been disclosed to the defense, the result of the proceeding would have been different.”</w:t>
      </w:r>
      <w:r w:rsidR="001677F3">
        <w:rPr>
          <w:rFonts w:ascii="Arial" w:hAnsi="Arial" w:cs="Arial"/>
        </w:rPr>
        <w:t xml:space="preserve"> </w:t>
      </w:r>
      <w:r w:rsidR="004C78DD">
        <w:rPr>
          <w:rFonts w:ascii="Arial" w:hAnsi="Arial" w:cs="Arial"/>
          <w:i/>
          <w:iCs/>
        </w:rPr>
        <w:t>Id</w:t>
      </w:r>
      <w:r w:rsidR="004C78DD">
        <w:rPr>
          <w:rFonts w:ascii="Arial" w:hAnsi="Arial" w:cs="Arial"/>
        </w:rPr>
        <w:t xml:space="preserve">. at 391 (quoting State v. Lane, 370 N.C. 508, 519 (2018)). </w:t>
      </w:r>
      <w:r w:rsidR="00361D0C" w:rsidRPr="00361D0C">
        <w:rPr>
          <w:rFonts w:ascii="Arial" w:hAnsi="Arial" w:cs="Arial"/>
          <w:i/>
          <w:iCs/>
        </w:rPr>
        <w:t>S</w:t>
      </w:r>
      <w:r w:rsidR="00C40ABA" w:rsidRPr="00361D0C">
        <w:rPr>
          <w:rFonts w:ascii="Arial" w:hAnsi="Arial" w:cs="Arial"/>
          <w:i/>
          <w:iCs/>
        </w:rPr>
        <w:t>ee</w:t>
      </w:r>
      <w:r w:rsidR="0036120A">
        <w:rPr>
          <w:rFonts w:ascii="Arial" w:hAnsi="Arial" w:cs="Arial"/>
          <w:i/>
        </w:rPr>
        <w:t xml:space="preserve"> also</w:t>
      </w:r>
      <w:r w:rsidR="00C40ABA" w:rsidRPr="00C4160B">
        <w:rPr>
          <w:rFonts w:ascii="Arial" w:hAnsi="Arial" w:cs="Arial"/>
        </w:rPr>
        <w:t xml:space="preserve"> </w:t>
      </w:r>
      <w:r w:rsidR="0046421E" w:rsidRPr="00C4160B">
        <w:rPr>
          <w:rFonts w:ascii="Arial" w:hAnsi="Arial" w:cs="Arial"/>
        </w:rPr>
        <w:t>Section V.B.2</w:t>
      </w:r>
      <w:r w:rsidR="00C40ABA" w:rsidRPr="00C4160B">
        <w:rPr>
          <w:rFonts w:ascii="Arial" w:hAnsi="Arial" w:cs="Arial"/>
        </w:rPr>
        <w:t xml:space="preserve"> below (discussing materiality required to grant the motion). </w:t>
      </w:r>
      <w:r w:rsidRPr="00C4160B">
        <w:rPr>
          <w:rFonts w:ascii="Arial" w:hAnsi="Arial" w:cs="Arial"/>
        </w:rPr>
        <w:t xml:space="preserve">A defendant’s conclusory statement </w:t>
      </w:r>
      <w:r w:rsidR="00883362">
        <w:rPr>
          <w:rFonts w:ascii="Arial" w:hAnsi="Arial" w:cs="Arial"/>
        </w:rPr>
        <w:t>of the materiality of</w:t>
      </w:r>
      <w:r w:rsidRPr="00C4160B">
        <w:rPr>
          <w:rFonts w:ascii="Arial" w:hAnsi="Arial" w:cs="Arial"/>
        </w:rPr>
        <w:t xml:space="preserve"> </w:t>
      </w:r>
      <w:r w:rsidR="000B6C91" w:rsidRPr="00C4160B">
        <w:rPr>
          <w:rFonts w:ascii="Arial" w:hAnsi="Arial" w:cs="Arial"/>
        </w:rPr>
        <w:t>evidence</w:t>
      </w:r>
      <w:r w:rsidRPr="00C4160B">
        <w:rPr>
          <w:rFonts w:ascii="Arial" w:hAnsi="Arial" w:cs="Arial"/>
        </w:rPr>
        <w:t xml:space="preserve"> is insufficient to warrant an appointment of counsel</w:t>
      </w:r>
      <w:r w:rsidR="000B6C91" w:rsidRPr="00C4160B">
        <w:rPr>
          <w:rFonts w:ascii="Arial" w:hAnsi="Arial" w:cs="Arial"/>
        </w:rPr>
        <w:t>.</w:t>
      </w:r>
      <w:r w:rsidR="00883362" w:rsidRPr="00883362">
        <w:rPr>
          <w:rFonts w:ascii="Arial" w:hAnsi="Arial" w:cs="Arial"/>
          <w:i/>
          <w:iCs/>
        </w:rPr>
        <w:t xml:space="preserve"> </w:t>
      </w:r>
      <w:r w:rsidR="00883362">
        <w:rPr>
          <w:rFonts w:ascii="Arial" w:hAnsi="Arial" w:cs="Arial"/>
          <w:i/>
          <w:iCs/>
        </w:rPr>
        <w:t>See Cox</w:t>
      </w:r>
      <w:r w:rsidR="00883362">
        <w:rPr>
          <w:rFonts w:ascii="Arial" w:hAnsi="Arial" w:cs="Arial"/>
        </w:rPr>
        <w:t xml:space="preserve">, 245 N.C. App. at 312 (conclusory statement was insufficient for appointment of counsel; note that an analysis of materiality in </w:t>
      </w:r>
      <w:r w:rsidR="00883362">
        <w:rPr>
          <w:rFonts w:ascii="Arial" w:hAnsi="Arial" w:cs="Arial"/>
          <w:i/>
          <w:iCs/>
        </w:rPr>
        <w:t xml:space="preserve">Cox </w:t>
      </w:r>
      <w:r w:rsidR="00883362">
        <w:rPr>
          <w:rFonts w:ascii="Arial" w:hAnsi="Arial" w:cs="Arial"/>
        </w:rPr>
        <w:t xml:space="preserve">relied on North Carolina Court of Appeals precedent that later was overruled by </w:t>
      </w:r>
      <w:r w:rsidR="00883362">
        <w:rPr>
          <w:rFonts w:ascii="Arial" w:hAnsi="Arial" w:cs="Arial"/>
          <w:i/>
          <w:iCs/>
        </w:rPr>
        <w:t>Byers</w:t>
      </w:r>
      <w:r w:rsidR="00883362">
        <w:rPr>
          <w:rFonts w:ascii="Arial" w:hAnsi="Arial" w:cs="Arial"/>
        </w:rPr>
        <w:t>, 375 N.C. at 397-97 (2020)).</w:t>
      </w:r>
    </w:p>
    <w:p w14:paraId="4502D94D" w14:textId="136602CC" w:rsidR="00465125" w:rsidRPr="00C4160B" w:rsidRDefault="00465125" w:rsidP="00A2284D">
      <w:pPr>
        <w:tabs>
          <w:tab w:val="left" w:pos="1440"/>
        </w:tabs>
        <w:spacing w:after="0" w:line="240" w:lineRule="auto"/>
        <w:ind w:left="720"/>
        <w:rPr>
          <w:rFonts w:ascii="Arial" w:hAnsi="Arial" w:cs="Arial"/>
        </w:rPr>
      </w:pPr>
      <w:r w:rsidRPr="00C4160B">
        <w:rPr>
          <w:rFonts w:ascii="Arial" w:hAnsi="Arial" w:cs="Arial"/>
        </w:rPr>
        <w:lastRenderedPageBreak/>
        <w:tab/>
        <w:t xml:space="preserve">If counsel is appointed, the court may wish to have counsel file an amended motion so that the defendant’s arguments for testing are asserted as clearly as possible. </w:t>
      </w:r>
      <w:r w:rsidRPr="00C4160B">
        <w:rPr>
          <w:rFonts w:ascii="Arial" w:hAnsi="Arial" w:cs="Arial"/>
          <w:i/>
        </w:rPr>
        <w:t xml:space="preserve">See, e.g., </w:t>
      </w:r>
      <w:r w:rsidR="0046421E" w:rsidRPr="00C4160B">
        <w:rPr>
          <w:rFonts w:ascii="Arial" w:hAnsi="Arial" w:cs="Arial"/>
          <w:i/>
        </w:rPr>
        <w:t xml:space="preserve">Collins, </w:t>
      </w:r>
      <w:r w:rsidR="00084E22">
        <w:rPr>
          <w:rFonts w:ascii="Arial" w:hAnsi="Arial" w:cs="Arial"/>
        </w:rPr>
        <w:t>234</w:t>
      </w:r>
      <w:r w:rsidR="0046421E" w:rsidRPr="00C4160B">
        <w:rPr>
          <w:rFonts w:ascii="Arial" w:hAnsi="Arial" w:cs="Arial"/>
        </w:rPr>
        <w:t xml:space="preserve"> N.C. App. at </w:t>
      </w:r>
      <w:r w:rsidR="00084E22">
        <w:rPr>
          <w:rFonts w:ascii="Arial" w:hAnsi="Arial" w:cs="Arial"/>
        </w:rPr>
        <w:t>409 n.8</w:t>
      </w:r>
      <w:r w:rsidR="0046421E" w:rsidRPr="00C4160B">
        <w:rPr>
          <w:rFonts w:ascii="Arial" w:hAnsi="Arial" w:cs="Arial"/>
        </w:rPr>
        <w:t xml:space="preserve"> (noting that the defendant’s amendments to his pro se motion, filed after counsel was appointed, were permissible)</w:t>
      </w:r>
      <w:r w:rsidRPr="00C4160B">
        <w:rPr>
          <w:rFonts w:ascii="Arial" w:hAnsi="Arial" w:cs="Arial"/>
        </w:rPr>
        <w:t>.</w:t>
      </w:r>
    </w:p>
    <w:p w14:paraId="195737EA" w14:textId="77777777" w:rsidR="00C40ABA" w:rsidRPr="00C4160B" w:rsidRDefault="00C40ABA">
      <w:pPr>
        <w:spacing w:after="0" w:line="240" w:lineRule="auto"/>
        <w:rPr>
          <w:rFonts w:ascii="Arial" w:hAnsi="Arial" w:cs="Arial"/>
        </w:rPr>
      </w:pPr>
    </w:p>
    <w:p w14:paraId="4208D6C9" w14:textId="77777777" w:rsidR="00EB7A44" w:rsidRPr="00C4160B" w:rsidRDefault="000B6C91" w:rsidP="00A2284D">
      <w:pPr>
        <w:pStyle w:val="ListParagraph"/>
        <w:numPr>
          <w:ilvl w:val="0"/>
          <w:numId w:val="2"/>
        </w:numPr>
        <w:spacing w:after="0" w:line="240" w:lineRule="auto"/>
        <w:ind w:left="720"/>
        <w:rPr>
          <w:rFonts w:ascii="Arial" w:hAnsi="Arial" w:cs="Arial"/>
        </w:rPr>
      </w:pPr>
      <w:bookmarkStart w:id="14" w:name="_Toc384048563"/>
      <w:bookmarkStart w:id="15" w:name="_Toc416436055"/>
      <w:bookmarkStart w:id="16" w:name="_Toc416436133"/>
      <w:r w:rsidRPr="00C4160B">
        <w:rPr>
          <w:rStyle w:val="Heading1Char"/>
        </w:rPr>
        <w:t xml:space="preserve">Evaluating </w:t>
      </w:r>
      <w:r w:rsidR="00D81CC5" w:rsidRPr="00C4160B">
        <w:rPr>
          <w:rStyle w:val="Heading1Char"/>
        </w:rPr>
        <w:t xml:space="preserve">and Ruling on </w:t>
      </w:r>
      <w:r w:rsidRPr="00C4160B">
        <w:rPr>
          <w:rStyle w:val="Heading1Char"/>
        </w:rPr>
        <w:t>the M</w:t>
      </w:r>
      <w:r w:rsidR="00EB7A44" w:rsidRPr="00C4160B">
        <w:rPr>
          <w:rStyle w:val="Heading1Char"/>
        </w:rPr>
        <w:t>otion</w:t>
      </w:r>
      <w:bookmarkEnd w:id="14"/>
      <w:bookmarkEnd w:id="15"/>
      <w:bookmarkEnd w:id="16"/>
      <w:r w:rsidR="00EB7A44" w:rsidRPr="00C4160B">
        <w:rPr>
          <w:rFonts w:ascii="Arial" w:hAnsi="Arial" w:cs="Arial"/>
          <w:b/>
        </w:rPr>
        <w:t xml:space="preserve">. </w:t>
      </w:r>
    </w:p>
    <w:p w14:paraId="6824C17F" w14:textId="502CD770" w:rsidR="00C40ABA" w:rsidRPr="00C4160B" w:rsidRDefault="00EB7A44">
      <w:pPr>
        <w:pStyle w:val="ListParagraph"/>
        <w:numPr>
          <w:ilvl w:val="1"/>
          <w:numId w:val="2"/>
        </w:numPr>
        <w:spacing w:after="0" w:line="240" w:lineRule="auto"/>
      </w:pPr>
      <w:bookmarkStart w:id="17" w:name="_Toc416436056"/>
      <w:bookmarkStart w:id="18" w:name="_Toc416436134"/>
      <w:r w:rsidRPr="00C4160B">
        <w:rPr>
          <w:rStyle w:val="Heading2Char"/>
        </w:rPr>
        <w:t>Hearing</w:t>
      </w:r>
      <w:bookmarkEnd w:id="17"/>
      <w:bookmarkEnd w:id="18"/>
      <w:r w:rsidRPr="00C4160B">
        <w:rPr>
          <w:rFonts w:ascii="Arial" w:hAnsi="Arial" w:cs="Arial"/>
          <w:b/>
        </w:rPr>
        <w:t>.</w:t>
      </w:r>
      <w:r w:rsidRPr="00C4160B">
        <w:rPr>
          <w:rFonts w:ascii="Arial" w:hAnsi="Arial" w:cs="Arial"/>
        </w:rPr>
        <w:t xml:space="preserve"> </w:t>
      </w:r>
      <w:r w:rsidR="00D81CC5" w:rsidRPr="00C4160B">
        <w:rPr>
          <w:rFonts w:ascii="Arial" w:hAnsi="Arial" w:cs="Arial"/>
        </w:rPr>
        <w:t xml:space="preserve">While a trial court may conduct an evidentiary hearing on the defendant’s motion, it is not required to do so. </w:t>
      </w:r>
      <w:r w:rsidR="0046421E" w:rsidRPr="00C4160B">
        <w:rPr>
          <w:rFonts w:ascii="Arial" w:hAnsi="Arial" w:cs="Arial"/>
        </w:rPr>
        <w:t xml:space="preserve">State v. Floyd, </w:t>
      </w:r>
      <w:r w:rsidR="00AF2A1C">
        <w:rPr>
          <w:rFonts w:ascii="Arial" w:hAnsi="Arial" w:cs="Arial"/>
        </w:rPr>
        <w:t>237</w:t>
      </w:r>
      <w:r w:rsidR="0046421E" w:rsidRPr="00C4160B">
        <w:rPr>
          <w:rFonts w:ascii="Arial" w:hAnsi="Arial" w:cs="Arial"/>
        </w:rPr>
        <w:t xml:space="preserve"> N.C. App. </w:t>
      </w:r>
      <w:r w:rsidR="00AF2A1C">
        <w:rPr>
          <w:rFonts w:ascii="Arial" w:hAnsi="Arial" w:cs="Arial"/>
        </w:rPr>
        <w:t>300, 302-03</w:t>
      </w:r>
      <w:r w:rsidR="0046421E" w:rsidRPr="00C4160B">
        <w:rPr>
          <w:rFonts w:ascii="Arial" w:hAnsi="Arial" w:cs="Arial"/>
        </w:rPr>
        <w:t xml:space="preserve"> (2014)</w:t>
      </w:r>
      <w:r w:rsidR="00D81CC5" w:rsidRPr="00C4160B">
        <w:rPr>
          <w:rFonts w:ascii="Arial" w:hAnsi="Arial" w:cs="Arial"/>
        </w:rPr>
        <w:t xml:space="preserve">. In fact the </w:t>
      </w:r>
      <w:r w:rsidR="00F67DB7">
        <w:rPr>
          <w:rFonts w:ascii="Arial" w:hAnsi="Arial" w:cs="Arial"/>
        </w:rPr>
        <w:t>C</w:t>
      </w:r>
      <w:r w:rsidR="00D81CC5" w:rsidRPr="00C4160B">
        <w:rPr>
          <w:rFonts w:ascii="Arial" w:hAnsi="Arial" w:cs="Arial"/>
        </w:rPr>
        <w:t xml:space="preserve">ourt of </w:t>
      </w:r>
      <w:r w:rsidR="00F67DB7">
        <w:rPr>
          <w:rFonts w:ascii="Arial" w:hAnsi="Arial" w:cs="Arial"/>
        </w:rPr>
        <w:t>A</w:t>
      </w:r>
      <w:r w:rsidR="00D81CC5" w:rsidRPr="00C4160B">
        <w:rPr>
          <w:rFonts w:ascii="Arial" w:hAnsi="Arial" w:cs="Arial"/>
        </w:rPr>
        <w:t xml:space="preserve">ppeals has affirmed denials of motions for post-conviction testing where the trial court did not conduct any hearing. </w:t>
      </w:r>
      <w:r w:rsidR="0046421E" w:rsidRPr="00C4160B">
        <w:rPr>
          <w:rFonts w:ascii="Arial" w:hAnsi="Arial" w:cs="Arial"/>
          <w:i/>
        </w:rPr>
        <w:t xml:space="preserve">Id. </w:t>
      </w:r>
      <w:r w:rsidR="0046421E" w:rsidRPr="00C4160B">
        <w:rPr>
          <w:rFonts w:ascii="Arial" w:hAnsi="Arial" w:cs="Arial"/>
        </w:rPr>
        <w:t>(so noting)</w:t>
      </w:r>
      <w:r w:rsidR="00D81CC5" w:rsidRPr="00C4160B">
        <w:rPr>
          <w:rFonts w:ascii="Arial" w:hAnsi="Arial" w:cs="Arial"/>
        </w:rPr>
        <w:t>;</w:t>
      </w:r>
      <w:r w:rsidR="00D81CC5" w:rsidRPr="00C4160B">
        <w:rPr>
          <w:rFonts w:ascii="Arial" w:hAnsi="Arial" w:cs="Arial"/>
          <w:i/>
        </w:rPr>
        <w:t xml:space="preserve"> </w:t>
      </w:r>
      <w:r w:rsidR="00BF32C1" w:rsidRPr="00C4160B">
        <w:rPr>
          <w:rFonts w:ascii="Arial" w:hAnsi="Arial" w:cs="Arial"/>
          <w:i/>
        </w:rPr>
        <w:t>s</w:t>
      </w:r>
      <w:r w:rsidR="00465125" w:rsidRPr="00C4160B">
        <w:rPr>
          <w:rFonts w:ascii="Arial" w:hAnsi="Arial" w:cs="Arial"/>
          <w:i/>
        </w:rPr>
        <w:t xml:space="preserve">ee </w:t>
      </w:r>
      <w:r w:rsidR="0046421E" w:rsidRPr="00C4160B">
        <w:rPr>
          <w:rFonts w:ascii="Arial" w:hAnsi="Arial" w:cs="Arial"/>
          <w:i/>
        </w:rPr>
        <w:t>Turner</w:t>
      </w:r>
      <w:r w:rsidR="0046421E" w:rsidRPr="00C4160B">
        <w:rPr>
          <w:rFonts w:ascii="Arial" w:hAnsi="Arial" w:cs="Arial"/>
        </w:rPr>
        <w:t xml:space="preserve">, </w:t>
      </w:r>
      <w:r w:rsidR="00AF2A1C">
        <w:rPr>
          <w:rFonts w:ascii="Arial" w:hAnsi="Arial" w:cs="Arial"/>
        </w:rPr>
        <w:t>239</w:t>
      </w:r>
      <w:r w:rsidR="0046421E" w:rsidRPr="00C4160B">
        <w:rPr>
          <w:rFonts w:ascii="Arial" w:hAnsi="Arial" w:cs="Arial"/>
        </w:rPr>
        <w:t xml:space="preserve"> N.C. App. at </w:t>
      </w:r>
      <w:r w:rsidR="00AF2A1C">
        <w:rPr>
          <w:rFonts w:ascii="Arial" w:hAnsi="Arial" w:cs="Arial"/>
        </w:rPr>
        <w:t>452</w:t>
      </w:r>
      <w:r w:rsidR="0046421E" w:rsidRPr="00C4160B">
        <w:rPr>
          <w:rFonts w:ascii="Arial" w:hAnsi="Arial" w:cs="Arial"/>
        </w:rPr>
        <w:t xml:space="preserve"> (trial court denied the motion without a hearing)</w:t>
      </w:r>
      <w:r w:rsidR="00C4160B" w:rsidRPr="00C4160B">
        <w:rPr>
          <w:rFonts w:ascii="Arial" w:hAnsi="Arial" w:cs="Arial"/>
        </w:rPr>
        <w:t>.</w:t>
      </w:r>
      <w:r w:rsidR="0035199A" w:rsidRPr="00C4160B">
        <w:rPr>
          <w:rFonts w:ascii="Arial" w:hAnsi="Arial" w:cs="Arial"/>
        </w:rPr>
        <w:t xml:space="preserve"> It has offered this clarification on when a hearing is necessary:</w:t>
      </w:r>
    </w:p>
    <w:p w14:paraId="6520153A" w14:textId="77777777" w:rsidR="00526224" w:rsidRPr="00C4160B" w:rsidRDefault="00526224" w:rsidP="00A2284D">
      <w:pPr>
        <w:spacing w:after="0" w:line="240" w:lineRule="auto"/>
        <w:ind w:left="2160" w:right="720"/>
        <w:rPr>
          <w:rFonts w:ascii="Arial" w:hAnsi="Arial" w:cs="Arial"/>
        </w:rPr>
      </w:pPr>
    </w:p>
    <w:p w14:paraId="1ADB4816" w14:textId="77777777" w:rsidR="0035199A" w:rsidRPr="00C4160B" w:rsidRDefault="0035199A" w:rsidP="00A2284D">
      <w:pPr>
        <w:spacing w:line="240" w:lineRule="auto"/>
        <w:ind w:left="2160" w:right="720"/>
        <w:rPr>
          <w:rFonts w:ascii="Arial" w:hAnsi="Arial" w:cs="Arial"/>
        </w:rPr>
      </w:pPr>
      <w:r w:rsidRPr="00C4160B">
        <w:rPr>
          <w:rFonts w:ascii="Arial" w:hAnsi="Arial" w:cs="Arial"/>
        </w:rPr>
        <w:t>We hold that for motions brought under [G.S.] 15A–269, a trial court is not required to conduct an evidentiary hearing where it can determine from the trial record and the information in the motion that the defendant has failed to meet his burden of showing any evidence resulting from the DNA testing being sought would be material. A trial court is not required to conduct an evidentiary hearing on the motion where the moving defendant fails to describe the nature of the evidence he would present at such a hearing which would indicate that a reasonable probability exists that the DNA testing sought would produce evidence that would be material to his defense.</w:t>
      </w:r>
    </w:p>
    <w:p w14:paraId="69692AB0" w14:textId="1BF03A25" w:rsidR="0035199A" w:rsidRPr="00C4160B" w:rsidRDefault="0046421E" w:rsidP="00A2284D">
      <w:pPr>
        <w:spacing w:after="0" w:line="240" w:lineRule="auto"/>
        <w:ind w:left="1440" w:right="720"/>
        <w:rPr>
          <w:rFonts w:ascii="Arial" w:hAnsi="Arial" w:cs="Arial"/>
        </w:rPr>
      </w:pPr>
      <w:r w:rsidRPr="00C4160B">
        <w:rPr>
          <w:rFonts w:ascii="Arial" w:hAnsi="Arial" w:cs="Arial"/>
          <w:i/>
        </w:rPr>
        <w:t>Floyd</w:t>
      </w:r>
      <w:r w:rsidRPr="00C4160B">
        <w:rPr>
          <w:rFonts w:ascii="Arial" w:hAnsi="Arial" w:cs="Arial"/>
        </w:rPr>
        <w:t xml:space="preserve">, </w:t>
      </w:r>
      <w:r w:rsidR="00AF2A1C">
        <w:rPr>
          <w:rFonts w:ascii="Arial" w:hAnsi="Arial" w:cs="Arial"/>
        </w:rPr>
        <w:t>237</w:t>
      </w:r>
      <w:r w:rsidRPr="00C4160B">
        <w:rPr>
          <w:rFonts w:ascii="Arial" w:hAnsi="Arial" w:cs="Arial"/>
        </w:rPr>
        <w:t xml:space="preserve"> N.C. App. at </w:t>
      </w:r>
      <w:r w:rsidR="00AF2A1C">
        <w:rPr>
          <w:rFonts w:ascii="Arial" w:hAnsi="Arial" w:cs="Arial"/>
        </w:rPr>
        <w:t>303</w:t>
      </w:r>
      <w:r w:rsidRPr="00C4160B">
        <w:rPr>
          <w:rFonts w:ascii="Arial" w:hAnsi="Arial" w:cs="Arial"/>
        </w:rPr>
        <w:t xml:space="preserve"> (going on to hold that an evidentiary hearing was not required in that case)</w:t>
      </w:r>
      <w:r w:rsidR="0035199A" w:rsidRPr="00C4160B">
        <w:rPr>
          <w:rFonts w:ascii="Arial" w:hAnsi="Arial" w:cs="Arial"/>
        </w:rPr>
        <w:t xml:space="preserve">. </w:t>
      </w:r>
    </w:p>
    <w:p w14:paraId="029792B5" w14:textId="77777777" w:rsidR="00D81CC5" w:rsidRPr="00C4160B" w:rsidRDefault="0035199A" w:rsidP="00A2284D">
      <w:pPr>
        <w:spacing w:after="0" w:line="240" w:lineRule="auto"/>
        <w:ind w:left="1440" w:right="720" w:firstLine="720"/>
      </w:pPr>
      <w:r w:rsidRPr="00C4160B">
        <w:rPr>
          <w:rFonts w:ascii="Arial" w:hAnsi="Arial" w:cs="Arial"/>
        </w:rPr>
        <w:t>P</w:t>
      </w:r>
      <w:r w:rsidR="00D81CC5" w:rsidRPr="00C4160B">
        <w:rPr>
          <w:rFonts w:ascii="Arial" w:hAnsi="Arial" w:cs="Arial"/>
        </w:rPr>
        <w:t>ost-test hearings</w:t>
      </w:r>
      <w:r w:rsidRPr="00C4160B">
        <w:rPr>
          <w:rFonts w:ascii="Arial" w:hAnsi="Arial" w:cs="Arial"/>
        </w:rPr>
        <w:t xml:space="preserve"> are </w:t>
      </w:r>
      <w:r w:rsidR="00D81CC5" w:rsidRPr="00C4160B">
        <w:rPr>
          <w:rFonts w:ascii="Arial" w:hAnsi="Arial" w:cs="Arial"/>
        </w:rPr>
        <w:t xml:space="preserve">discussed in </w:t>
      </w:r>
      <w:r w:rsidR="0046421E" w:rsidRPr="00C4160B">
        <w:rPr>
          <w:rFonts w:ascii="Arial" w:hAnsi="Arial" w:cs="Arial"/>
        </w:rPr>
        <w:t>Section VIII</w:t>
      </w:r>
      <w:r w:rsidR="00D81CC5" w:rsidRPr="00C4160B">
        <w:rPr>
          <w:rFonts w:ascii="Arial" w:hAnsi="Arial" w:cs="Arial"/>
        </w:rPr>
        <w:t xml:space="preserve"> below.</w:t>
      </w:r>
      <w:r w:rsidR="00D81CC5" w:rsidRPr="00C4160B">
        <w:t xml:space="preserve"> </w:t>
      </w:r>
    </w:p>
    <w:p w14:paraId="0BE3EB65" w14:textId="77777777" w:rsidR="007C49B9" w:rsidRPr="00C4160B" w:rsidRDefault="007C49B9">
      <w:pPr>
        <w:pStyle w:val="ListParagraph"/>
        <w:spacing w:after="0" w:line="240" w:lineRule="auto"/>
        <w:ind w:left="1440"/>
        <w:rPr>
          <w:rFonts w:ascii="Arial" w:hAnsi="Arial" w:cs="Arial"/>
        </w:rPr>
      </w:pPr>
    </w:p>
    <w:p w14:paraId="41CA39AA" w14:textId="77777777" w:rsidR="00EB7A44" w:rsidRPr="00C4160B" w:rsidRDefault="00EB7A44">
      <w:pPr>
        <w:pStyle w:val="ListParagraph"/>
        <w:numPr>
          <w:ilvl w:val="1"/>
          <w:numId w:val="2"/>
        </w:numPr>
        <w:spacing w:after="0" w:line="240" w:lineRule="auto"/>
        <w:rPr>
          <w:rFonts w:ascii="Arial" w:hAnsi="Arial" w:cs="Arial"/>
        </w:rPr>
      </w:pPr>
      <w:bookmarkStart w:id="19" w:name="_Toc416436057"/>
      <w:bookmarkStart w:id="20" w:name="_Toc416436135"/>
      <w:r w:rsidRPr="00C4160B">
        <w:rPr>
          <w:rStyle w:val="Heading2Char"/>
        </w:rPr>
        <w:t>Standard</w:t>
      </w:r>
      <w:bookmarkEnd w:id="19"/>
      <w:bookmarkEnd w:id="20"/>
      <w:r w:rsidRPr="00C4160B">
        <w:rPr>
          <w:rFonts w:ascii="Arial" w:hAnsi="Arial" w:cs="Arial"/>
          <w:b/>
        </w:rPr>
        <w:t>.</w:t>
      </w:r>
      <w:r w:rsidRPr="00C4160B">
        <w:rPr>
          <w:rFonts w:ascii="Arial" w:hAnsi="Arial" w:cs="Arial"/>
        </w:rPr>
        <w:t xml:space="preserve"> The court must grant the defendant’s motion (and if the testing complies with FBI requirements, require the running of any profiles obtained from the testing) if:</w:t>
      </w:r>
    </w:p>
    <w:p w14:paraId="06131388" w14:textId="77777777" w:rsidR="000B6C91" w:rsidRPr="00C4160B" w:rsidRDefault="000B6C91">
      <w:pPr>
        <w:pStyle w:val="ListParagraph"/>
        <w:spacing w:after="0" w:line="240" w:lineRule="auto"/>
        <w:ind w:left="1260"/>
        <w:rPr>
          <w:rFonts w:ascii="Arial" w:hAnsi="Arial" w:cs="Arial"/>
        </w:rPr>
      </w:pPr>
    </w:p>
    <w:p w14:paraId="24E0F85D" w14:textId="77777777" w:rsidR="00EB7A44" w:rsidRPr="00C4160B" w:rsidRDefault="000B6C91" w:rsidP="00A2284D">
      <w:pPr>
        <w:pStyle w:val="ListParagraph"/>
        <w:numPr>
          <w:ilvl w:val="0"/>
          <w:numId w:val="4"/>
        </w:numPr>
        <w:spacing w:after="0" w:line="240" w:lineRule="auto"/>
        <w:ind w:left="2880" w:hanging="720"/>
        <w:rPr>
          <w:rFonts w:ascii="Arial" w:hAnsi="Arial" w:cs="Arial"/>
        </w:rPr>
      </w:pPr>
      <w:r w:rsidRPr="00C4160B">
        <w:rPr>
          <w:rFonts w:ascii="Arial" w:hAnsi="Arial" w:cs="Arial"/>
        </w:rPr>
        <w:t>t</w:t>
      </w:r>
      <w:r w:rsidR="00EB7A44" w:rsidRPr="00C4160B">
        <w:rPr>
          <w:rFonts w:ascii="Arial" w:hAnsi="Arial" w:cs="Arial"/>
        </w:rPr>
        <w:t xml:space="preserve">he evidence is </w:t>
      </w:r>
      <w:proofErr w:type="gramStart"/>
      <w:r w:rsidR="00EB7A44" w:rsidRPr="00C4160B">
        <w:rPr>
          <w:rFonts w:ascii="Arial" w:hAnsi="Arial" w:cs="Arial"/>
        </w:rPr>
        <w:t>material;</w:t>
      </w:r>
      <w:proofErr w:type="gramEnd"/>
    </w:p>
    <w:p w14:paraId="65A4C4DA" w14:textId="77777777" w:rsidR="00EB7A44" w:rsidRPr="00C4160B" w:rsidRDefault="000B6C91">
      <w:pPr>
        <w:pStyle w:val="ListParagraph"/>
        <w:numPr>
          <w:ilvl w:val="0"/>
          <w:numId w:val="4"/>
        </w:numPr>
        <w:spacing w:after="0" w:line="240" w:lineRule="auto"/>
        <w:ind w:left="2880" w:hanging="720"/>
        <w:rPr>
          <w:rFonts w:ascii="Arial" w:hAnsi="Arial" w:cs="Arial"/>
        </w:rPr>
      </w:pPr>
      <w:r w:rsidRPr="00C4160B">
        <w:rPr>
          <w:rFonts w:ascii="Arial" w:hAnsi="Arial" w:cs="Arial"/>
        </w:rPr>
        <w:t>t</w:t>
      </w:r>
      <w:r w:rsidR="00EB7A44" w:rsidRPr="00C4160B">
        <w:rPr>
          <w:rFonts w:ascii="Arial" w:hAnsi="Arial" w:cs="Arial"/>
        </w:rPr>
        <w:t xml:space="preserve">he evidence is related to the investigation or prosecution that resulted in the </w:t>
      </w:r>
      <w:proofErr w:type="gramStart"/>
      <w:r w:rsidR="00EB7A44" w:rsidRPr="00C4160B">
        <w:rPr>
          <w:rFonts w:ascii="Arial" w:hAnsi="Arial" w:cs="Arial"/>
        </w:rPr>
        <w:t>judgment;</w:t>
      </w:r>
      <w:proofErr w:type="gramEnd"/>
    </w:p>
    <w:p w14:paraId="7D20BA74" w14:textId="77777777" w:rsidR="00EB7A44" w:rsidRPr="00C4160B" w:rsidRDefault="000B6C91">
      <w:pPr>
        <w:pStyle w:val="ListParagraph"/>
        <w:numPr>
          <w:ilvl w:val="0"/>
          <w:numId w:val="4"/>
        </w:numPr>
        <w:spacing w:after="0" w:line="240" w:lineRule="auto"/>
        <w:ind w:left="2880" w:hanging="720"/>
        <w:rPr>
          <w:rFonts w:ascii="Arial" w:hAnsi="Arial" w:cs="Arial"/>
        </w:rPr>
      </w:pPr>
      <w:r w:rsidRPr="00C4160B">
        <w:rPr>
          <w:rFonts w:ascii="Arial" w:hAnsi="Arial" w:cs="Arial"/>
        </w:rPr>
        <w:t>t</w:t>
      </w:r>
      <w:r w:rsidR="00EB7A44" w:rsidRPr="00C4160B">
        <w:rPr>
          <w:rFonts w:ascii="Arial" w:hAnsi="Arial" w:cs="Arial"/>
        </w:rPr>
        <w:t xml:space="preserve">he evidence either was not previously DNA tested or, if it was, the requested test would </w:t>
      </w:r>
      <w:r w:rsidR="001E244A" w:rsidRPr="00C4160B">
        <w:rPr>
          <w:rFonts w:ascii="Arial" w:hAnsi="Arial" w:cs="Arial"/>
        </w:rPr>
        <w:t>yield</w:t>
      </w:r>
      <w:r w:rsidR="00EB7A44" w:rsidRPr="00C4160B">
        <w:rPr>
          <w:rFonts w:ascii="Arial" w:hAnsi="Arial" w:cs="Arial"/>
        </w:rPr>
        <w:t xml:space="preserve"> </w:t>
      </w:r>
      <w:r w:rsidR="00B33F1D" w:rsidRPr="00C4160B">
        <w:rPr>
          <w:rFonts w:ascii="Arial" w:hAnsi="Arial" w:cs="Arial"/>
        </w:rPr>
        <w:t>“</w:t>
      </w:r>
      <w:r w:rsidR="00EB7A44" w:rsidRPr="00C4160B">
        <w:rPr>
          <w:rFonts w:ascii="Arial" w:hAnsi="Arial" w:cs="Arial"/>
        </w:rPr>
        <w:t>results that are significantly more accurate and probative of the identity of the perpetrator or accomplice or have a reasonable probability of contradicting prior test results</w:t>
      </w:r>
      <w:r w:rsidR="00B33F1D" w:rsidRPr="00C4160B">
        <w:rPr>
          <w:rFonts w:ascii="Arial" w:hAnsi="Arial" w:cs="Arial"/>
        </w:rPr>
        <w:t>”</w:t>
      </w:r>
      <w:r w:rsidR="00EB7A44" w:rsidRPr="00C4160B">
        <w:rPr>
          <w:rFonts w:ascii="Arial" w:hAnsi="Arial" w:cs="Arial"/>
        </w:rPr>
        <w:t>;</w:t>
      </w:r>
    </w:p>
    <w:p w14:paraId="6B9DFD7B" w14:textId="77777777" w:rsidR="00EB7A44" w:rsidRPr="00C4160B" w:rsidRDefault="000B6C91">
      <w:pPr>
        <w:pStyle w:val="ListParagraph"/>
        <w:numPr>
          <w:ilvl w:val="0"/>
          <w:numId w:val="4"/>
        </w:numPr>
        <w:spacing w:after="0" w:line="240" w:lineRule="auto"/>
        <w:ind w:left="2880" w:hanging="720"/>
        <w:rPr>
          <w:rFonts w:ascii="Arial" w:hAnsi="Arial" w:cs="Arial"/>
        </w:rPr>
      </w:pPr>
      <w:r w:rsidRPr="00C4160B">
        <w:rPr>
          <w:rFonts w:ascii="Arial" w:hAnsi="Arial" w:cs="Arial"/>
        </w:rPr>
        <w:t>i</w:t>
      </w:r>
      <w:r w:rsidR="00EB7A44" w:rsidRPr="00C4160B">
        <w:rPr>
          <w:rFonts w:ascii="Arial" w:hAnsi="Arial" w:cs="Arial"/>
        </w:rPr>
        <w:t xml:space="preserve">f the testing being requested had been conducted on the evidence, there is a reasonable probability that the verdict would have been more favorable to the defendant; </w:t>
      </w:r>
      <w:r w:rsidR="00EB7A44" w:rsidRPr="00C4160B">
        <w:rPr>
          <w:rFonts w:ascii="Arial" w:hAnsi="Arial" w:cs="Arial"/>
          <w:i/>
        </w:rPr>
        <w:t>and</w:t>
      </w:r>
    </w:p>
    <w:p w14:paraId="271255F1" w14:textId="77777777" w:rsidR="00EB7A44" w:rsidRPr="00C4160B" w:rsidRDefault="000B6C91">
      <w:pPr>
        <w:pStyle w:val="ListParagraph"/>
        <w:numPr>
          <w:ilvl w:val="0"/>
          <w:numId w:val="4"/>
        </w:numPr>
        <w:spacing w:after="0" w:line="240" w:lineRule="auto"/>
        <w:ind w:left="2880" w:hanging="720"/>
        <w:rPr>
          <w:rFonts w:ascii="Arial" w:hAnsi="Arial" w:cs="Arial"/>
        </w:rPr>
      </w:pPr>
      <w:r w:rsidRPr="00C4160B">
        <w:rPr>
          <w:rFonts w:ascii="Arial" w:hAnsi="Arial" w:cs="Arial"/>
        </w:rPr>
        <w:t>t</w:t>
      </w:r>
      <w:r w:rsidR="00EB7A44" w:rsidRPr="00C4160B">
        <w:rPr>
          <w:rFonts w:ascii="Arial" w:hAnsi="Arial" w:cs="Arial"/>
        </w:rPr>
        <w:t xml:space="preserve">he defendant has signed </w:t>
      </w:r>
      <w:proofErr w:type="gramStart"/>
      <w:r w:rsidR="00EB7A44" w:rsidRPr="00C4160B">
        <w:rPr>
          <w:rFonts w:ascii="Arial" w:hAnsi="Arial" w:cs="Arial"/>
        </w:rPr>
        <w:t>a sworn affidavit</w:t>
      </w:r>
      <w:proofErr w:type="gramEnd"/>
      <w:r w:rsidR="00EB7A44" w:rsidRPr="00C4160B">
        <w:rPr>
          <w:rFonts w:ascii="Arial" w:hAnsi="Arial" w:cs="Arial"/>
        </w:rPr>
        <w:t xml:space="preserve"> of innocence.</w:t>
      </w:r>
    </w:p>
    <w:p w14:paraId="0577B494" w14:textId="77777777" w:rsidR="000B6C91" w:rsidRPr="00C4160B" w:rsidRDefault="000B6C91">
      <w:pPr>
        <w:pStyle w:val="ListParagraph"/>
        <w:spacing w:after="0" w:line="240" w:lineRule="auto"/>
        <w:ind w:left="1800"/>
        <w:rPr>
          <w:rFonts w:ascii="Arial" w:hAnsi="Arial" w:cs="Arial"/>
        </w:rPr>
      </w:pPr>
    </w:p>
    <w:p w14:paraId="5C5743D1" w14:textId="77777777" w:rsidR="00B140C1" w:rsidRPr="00C4160B" w:rsidRDefault="0046421E">
      <w:pPr>
        <w:pStyle w:val="ListParagraph"/>
        <w:spacing w:after="0" w:line="240" w:lineRule="auto"/>
        <w:ind w:left="1440"/>
        <w:rPr>
          <w:rFonts w:ascii="Arial" w:hAnsi="Arial" w:cs="Arial"/>
        </w:rPr>
      </w:pPr>
      <w:r w:rsidRPr="00C4160B">
        <w:rPr>
          <w:rFonts w:ascii="Arial" w:hAnsi="Arial" w:cs="Arial"/>
        </w:rPr>
        <w:t>G.S. 15A-269(b)</w:t>
      </w:r>
      <w:r w:rsidR="00BF32C1" w:rsidRPr="00C4160B">
        <w:rPr>
          <w:rFonts w:ascii="Arial" w:hAnsi="Arial" w:cs="Arial"/>
        </w:rPr>
        <w:t>.</w:t>
      </w:r>
    </w:p>
    <w:p w14:paraId="1AD18FA8" w14:textId="77777777" w:rsidR="00B140C1" w:rsidRPr="00C4160B" w:rsidRDefault="00B140C1">
      <w:pPr>
        <w:pStyle w:val="ListParagraph"/>
        <w:spacing w:after="0" w:line="240" w:lineRule="auto"/>
        <w:rPr>
          <w:rFonts w:ascii="Arial" w:hAnsi="Arial" w:cs="Arial"/>
        </w:rPr>
      </w:pPr>
    </w:p>
    <w:p w14:paraId="7480D4A1" w14:textId="04208FCA" w:rsidR="00BF32C1" w:rsidRPr="00C4160B" w:rsidRDefault="00BF32C1" w:rsidP="00A2284D">
      <w:pPr>
        <w:pStyle w:val="ListParagraph"/>
        <w:numPr>
          <w:ilvl w:val="3"/>
          <w:numId w:val="2"/>
        </w:numPr>
        <w:spacing w:after="0" w:line="240" w:lineRule="auto"/>
        <w:ind w:left="2160" w:hanging="720"/>
        <w:rPr>
          <w:rFonts w:ascii="Arial" w:hAnsi="Arial" w:cs="Arial"/>
        </w:rPr>
      </w:pPr>
      <w:r w:rsidRPr="00C4160B">
        <w:rPr>
          <w:rFonts w:ascii="Arial" w:hAnsi="Arial" w:cs="Arial"/>
          <w:b/>
        </w:rPr>
        <w:t xml:space="preserve">Burden on the Defendant. </w:t>
      </w:r>
      <w:r w:rsidRPr="00C4160B">
        <w:rPr>
          <w:rFonts w:ascii="Arial" w:hAnsi="Arial" w:cs="Arial"/>
        </w:rPr>
        <w:t xml:space="preserve">The defendant bears the burden of proving by the preponderance of the evidence every fact to support the motion. </w:t>
      </w:r>
      <w:r w:rsidR="006E7FC6">
        <w:rPr>
          <w:rFonts w:ascii="Arial" w:hAnsi="Arial" w:cs="Arial"/>
        </w:rPr>
        <w:lastRenderedPageBreak/>
        <w:t xml:space="preserve">State v. Lane, 370 N.C. 508, 518 (2018); </w:t>
      </w:r>
      <w:r w:rsidR="0046421E" w:rsidRPr="00C4160B">
        <w:rPr>
          <w:rFonts w:ascii="Arial" w:hAnsi="Arial" w:cs="Arial"/>
        </w:rPr>
        <w:t xml:space="preserve">State v. Turner, </w:t>
      </w:r>
      <w:r w:rsidR="00AF2A1C">
        <w:rPr>
          <w:rFonts w:ascii="Arial" w:hAnsi="Arial" w:cs="Arial"/>
        </w:rPr>
        <w:t>239</w:t>
      </w:r>
      <w:r w:rsidR="0046421E" w:rsidRPr="00C4160B">
        <w:rPr>
          <w:rFonts w:ascii="Arial" w:hAnsi="Arial" w:cs="Arial"/>
        </w:rPr>
        <w:t xml:space="preserve"> N.C. App. </w:t>
      </w:r>
      <w:r w:rsidR="00AF2A1C">
        <w:rPr>
          <w:rFonts w:ascii="Arial" w:hAnsi="Arial" w:cs="Arial"/>
        </w:rPr>
        <w:t>450, 453-54</w:t>
      </w:r>
      <w:r w:rsidR="0046421E" w:rsidRPr="00C4160B">
        <w:rPr>
          <w:rFonts w:ascii="Arial" w:hAnsi="Arial" w:cs="Arial"/>
        </w:rPr>
        <w:t xml:space="preserve"> (2015)</w:t>
      </w:r>
      <w:r w:rsidR="00EF5E87" w:rsidRPr="00C4160B">
        <w:rPr>
          <w:rFonts w:ascii="Arial" w:hAnsi="Arial" w:cs="Arial"/>
        </w:rPr>
        <w:t xml:space="preserve">; </w:t>
      </w:r>
      <w:r w:rsidR="0046421E" w:rsidRPr="00C4160B">
        <w:rPr>
          <w:rFonts w:ascii="Arial" w:hAnsi="Arial" w:cs="Arial"/>
          <w:i/>
        </w:rPr>
        <w:t>Floyd</w:t>
      </w:r>
      <w:r w:rsidR="0046421E" w:rsidRPr="00C4160B">
        <w:rPr>
          <w:rFonts w:ascii="Arial" w:hAnsi="Arial" w:cs="Arial"/>
        </w:rPr>
        <w:t xml:space="preserve">, </w:t>
      </w:r>
      <w:r w:rsidR="00AF2A1C">
        <w:rPr>
          <w:rFonts w:ascii="Arial" w:hAnsi="Arial" w:cs="Arial"/>
        </w:rPr>
        <w:t>237</w:t>
      </w:r>
      <w:r w:rsidR="0046421E" w:rsidRPr="00C4160B">
        <w:rPr>
          <w:rFonts w:ascii="Arial" w:hAnsi="Arial" w:cs="Arial"/>
        </w:rPr>
        <w:t xml:space="preserve"> N.C. App. at </w:t>
      </w:r>
      <w:r w:rsidR="00AF2A1C">
        <w:rPr>
          <w:rFonts w:ascii="Arial" w:hAnsi="Arial" w:cs="Arial"/>
        </w:rPr>
        <w:t>301</w:t>
      </w:r>
      <w:r w:rsidRPr="00C4160B">
        <w:rPr>
          <w:rFonts w:ascii="Arial" w:hAnsi="Arial" w:cs="Arial"/>
        </w:rPr>
        <w:t>.</w:t>
      </w:r>
    </w:p>
    <w:p w14:paraId="0D6A11F6" w14:textId="785B7064" w:rsidR="004801D6" w:rsidRPr="00C4160B" w:rsidRDefault="00465125" w:rsidP="00A2284D">
      <w:pPr>
        <w:pStyle w:val="ListParagraph"/>
        <w:numPr>
          <w:ilvl w:val="3"/>
          <w:numId w:val="2"/>
        </w:numPr>
        <w:spacing w:after="0" w:line="240" w:lineRule="auto"/>
        <w:ind w:left="2160" w:hanging="720"/>
        <w:rPr>
          <w:rFonts w:ascii="Arial" w:hAnsi="Arial" w:cs="Arial"/>
        </w:rPr>
      </w:pPr>
      <w:r w:rsidRPr="00C4160B">
        <w:rPr>
          <w:rFonts w:ascii="Arial" w:hAnsi="Arial" w:cs="Arial"/>
          <w:b/>
        </w:rPr>
        <w:t xml:space="preserve">Materiality. </w:t>
      </w:r>
      <w:r w:rsidR="00EF5E87" w:rsidRPr="00C4160B">
        <w:rPr>
          <w:rFonts w:ascii="Arial" w:hAnsi="Arial" w:cs="Arial"/>
        </w:rPr>
        <w:t xml:space="preserve">Echoing the materiality standard that applies in </w:t>
      </w:r>
      <w:r w:rsidR="00EF5E87" w:rsidRPr="00C4160B">
        <w:rPr>
          <w:rFonts w:ascii="Arial" w:hAnsi="Arial" w:cs="Arial"/>
          <w:i/>
        </w:rPr>
        <w:t xml:space="preserve">Brady </w:t>
      </w:r>
      <w:r w:rsidR="00EF5E87" w:rsidRPr="00C4160B">
        <w:rPr>
          <w:rFonts w:ascii="Arial" w:hAnsi="Arial" w:cs="Arial"/>
        </w:rPr>
        <w:t xml:space="preserve">discovery issues, our courts have held that evidence is material for purposes of the post-conviction DNA testing statute </w:t>
      </w:r>
      <w:r w:rsidR="004801D6" w:rsidRPr="00C4160B">
        <w:rPr>
          <w:rFonts w:ascii="Arial" w:hAnsi="Arial" w:cs="Arial"/>
        </w:rPr>
        <w:t xml:space="preserve">if </w:t>
      </w:r>
      <w:r w:rsidR="00994A38">
        <w:rPr>
          <w:rFonts w:ascii="Arial" w:hAnsi="Arial" w:cs="Arial"/>
        </w:rPr>
        <w:t xml:space="preserve">“there is a reasonable probability that, had the evidence been disclosed to the defense, the result of the proceeding would have been different.” </w:t>
      </w:r>
      <w:r w:rsidR="00994A38" w:rsidRPr="00EC5FEB">
        <w:rPr>
          <w:rFonts w:ascii="Arial" w:hAnsi="Arial" w:cs="Arial"/>
          <w:i/>
          <w:iCs/>
        </w:rPr>
        <w:t>Lane</w:t>
      </w:r>
      <w:r w:rsidR="00994A38">
        <w:rPr>
          <w:rFonts w:ascii="Arial" w:hAnsi="Arial" w:cs="Arial"/>
        </w:rPr>
        <w:t xml:space="preserve">, 370 N.C. </w:t>
      </w:r>
      <w:r w:rsidR="00B10344">
        <w:rPr>
          <w:rFonts w:ascii="Arial" w:hAnsi="Arial" w:cs="Arial"/>
        </w:rPr>
        <w:t>at</w:t>
      </w:r>
      <w:r w:rsidR="00994A38">
        <w:rPr>
          <w:rFonts w:ascii="Arial" w:hAnsi="Arial" w:cs="Arial"/>
        </w:rPr>
        <w:t xml:space="preserve"> 519 (</w:t>
      </w:r>
      <w:r w:rsidR="003315A7">
        <w:rPr>
          <w:rFonts w:ascii="Arial" w:hAnsi="Arial" w:cs="Arial"/>
        </w:rPr>
        <w:t xml:space="preserve">so </w:t>
      </w:r>
      <w:r w:rsidR="00994A38">
        <w:rPr>
          <w:rFonts w:ascii="Arial" w:hAnsi="Arial" w:cs="Arial"/>
        </w:rPr>
        <w:t>stating</w:t>
      </w:r>
      <w:r w:rsidR="003315A7">
        <w:rPr>
          <w:rFonts w:ascii="Arial" w:hAnsi="Arial" w:cs="Arial"/>
        </w:rPr>
        <w:t xml:space="preserve"> and noting</w:t>
      </w:r>
      <w:r w:rsidR="00994A38">
        <w:rPr>
          <w:rFonts w:ascii="Arial" w:hAnsi="Arial" w:cs="Arial"/>
        </w:rPr>
        <w:t xml:space="preserve"> that General Assembly appeared to have adopted </w:t>
      </w:r>
      <w:r w:rsidR="00994A38">
        <w:rPr>
          <w:rFonts w:ascii="Arial" w:hAnsi="Arial" w:cs="Arial"/>
          <w:i/>
          <w:iCs/>
        </w:rPr>
        <w:t xml:space="preserve">Brady </w:t>
      </w:r>
      <w:r w:rsidR="00994A38">
        <w:rPr>
          <w:rFonts w:ascii="Arial" w:hAnsi="Arial" w:cs="Arial"/>
        </w:rPr>
        <w:t>standard in G.S. 15A-269(b))</w:t>
      </w:r>
      <w:r w:rsidR="005E5F72">
        <w:rPr>
          <w:rFonts w:ascii="Arial" w:hAnsi="Arial" w:cs="Arial"/>
        </w:rPr>
        <w:t>; State v. Byers, 375 N.C. 386, 393-94 (2020)</w:t>
      </w:r>
      <w:r w:rsidR="00F67E6C">
        <w:rPr>
          <w:rFonts w:ascii="Arial" w:hAnsi="Arial" w:cs="Arial"/>
        </w:rPr>
        <w:t xml:space="preserve"> (same)</w:t>
      </w:r>
      <w:r w:rsidR="00994A38">
        <w:rPr>
          <w:rFonts w:ascii="Arial" w:hAnsi="Arial" w:cs="Arial"/>
        </w:rPr>
        <w:t>.</w:t>
      </w:r>
      <w:r w:rsidR="004801D6" w:rsidRPr="00C4160B">
        <w:rPr>
          <w:rFonts w:ascii="Arial" w:hAnsi="Arial" w:cs="Arial"/>
        </w:rPr>
        <w:t xml:space="preserve"> In this way the requirement of materiality</w:t>
      </w:r>
      <w:r w:rsidR="00542362">
        <w:rPr>
          <w:rFonts w:ascii="Arial" w:hAnsi="Arial" w:cs="Arial"/>
        </w:rPr>
        <w:t xml:space="preserve"> subsumes</w:t>
      </w:r>
      <w:r w:rsidR="004801D6" w:rsidRPr="00C4160B">
        <w:rPr>
          <w:rFonts w:ascii="Arial" w:hAnsi="Arial" w:cs="Arial"/>
        </w:rPr>
        <w:t xml:space="preserve"> the fourth requirement above</w:t>
      </w:r>
      <w:r w:rsidR="00B10344">
        <w:rPr>
          <w:rFonts w:ascii="Arial" w:hAnsi="Arial" w:cs="Arial"/>
        </w:rPr>
        <w:t xml:space="preserve"> </w:t>
      </w:r>
      <w:r w:rsidR="00C61110">
        <w:rPr>
          <w:rFonts w:ascii="Arial" w:hAnsi="Arial" w:cs="Arial"/>
        </w:rPr>
        <w:t>—</w:t>
      </w:r>
      <w:r w:rsidR="004801D6" w:rsidRPr="00C4160B">
        <w:rPr>
          <w:rFonts w:ascii="Arial" w:hAnsi="Arial" w:cs="Arial"/>
        </w:rPr>
        <w:t xml:space="preserve"> that if the testing being requested had been conducted, there is a reasonable probability that the verdict would have been more favorable to the defendant.</w:t>
      </w:r>
      <w:r w:rsidR="00542362">
        <w:rPr>
          <w:rFonts w:ascii="Arial" w:hAnsi="Arial" w:cs="Arial"/>
        </w:rPr>
        <w:t xml:space="preserve"> </w:t>
      </w:r>
      <w:r w:rsidR="00EC5D5F" w:rsidRPr="00EC5FEB">
        <w:rPr>
          <w:rFonts w:ascii="Arial" w:hAnsi="Arial" w:cs="Arial"/>
          <w:i/>
          <w:iCs/>
        </w:rPr>
        <w:t>Lane</w:t>
      </w:r>
      <w:r w:rsidR="00EC5D5F">
        <w:rPr>
          <w:rFonts w:ascii="Arial" w:hAnsi="Arial" w:cs="Arial"/>
        </w:rPr>
        <w:t>, 370 N.C. at 519</w:t>
      </w:r>
      <w:r w:rsidR="00542362">
        <w:rPr>
          <w:rFonts w:ascii="Arial" w:hAnsi="Arial" w:cs="Arial"/>
        </w:rPr>
        <w:t xml:space="preserve"> (explaining that G.S. 15A-269(b)(2) describes the materiality standard</w:t>
      </w:r>
      <w:r w:rsidR="00DC0594">
        <w:rPr>
          <w:rFonts w:ascii="Arial" w:hAnsi="Arial" w:cs="Arial"/>
        </w:rPr>
        <w:t xml:space="preserve"> referenced in G.S. 15A-269(a)(1)</w:t>
      </w:r>
      <w:r w:rsidR="00542362">
        <w:rPr>
          <w:rFonts w:ascii="Arial" w:hAnsi="Arial" w:cs="Arial"/>
        </w:rPr>
        <w:t xml:space="preserve"> and that </w:t>
      </w:r>
      <w:r w:rsidR="00DC0594">
        <w:rPr>
          <w:rFonts w:ascii="Arial" w:hAnsi="Arial" w:cs="Arial"/>
        </w:rPr>
        <w:t>the standard</w:t>
      </w:r>
      <w:r w:rsidR="00542362">
        <w:rPr>
          <w:rFonts w:ascii="Arial" w:hAnsi="Arial" w:cs="Arial"/>
        </w:rPr>
        <w:t xml:space="preserve"> essentially</w:t>
      </w:r>
      <w:r w:rsidR="00DC0594">
        <w:rPr>
          <w:rFonts w:ascii="Arial" w:hAnsi="Arial" w:cs="Arial"/>
        </w:rPr>
        <w:t xml:space="preserve"> is</w:t>
      </w:r>
      <w:r w:rsidR="00542362">
        <w:rPr>
          <w:rFonts w:ascii="Arial" w:hAnsi="Arial" w:cs="Arial"/>
        </w:rPr>
        <w:t xml:space="preserve"> equivalent to that of </w:t>
      </w:r>
      <w:r w:rsidR="00542362">
        <w:rPr>
          <w:rFonts w:ascii="Arial" w:hAnsi="Arial" w:cs="Arial"/>
          <w:i/>
          <w:iCs/>
        </w:rPr>
        <w:t>Brady</w:t>
      </w:r>
      <w:r w:rsidR="00542362">
        <w:rPr>
          <w:rFonts w:ascii="Arial" w:hAnsi="Arial" w:cs="Arial"/>
        </w:rPr>
        <w:t>).</w:t>
      </w:r>
      <w:r w:rsidR="006F7392" w:rsidRPr="00C4160B">
        <w:rPr>
          <w:rFonts w:ascii="Arial" w:hAnsi="Arial" w:cs="Arial"/>
        </w:rPr>
        <w:t xml:space="preserve"> </w:t>
      </w:r>
      <w:r w:rsidR="00542362">
        <w:rPr>
          <w:rFonts w:ascii="Arial" w:hAnsi="Arial" w:cs="Arial"/>
        </w:rPr>
        <w:t>U</w:t>
      </w:r>
      <w:r w:rsidR="006F7392" w:rsidRPr="00C4160B">
        <w:rPr>
          <w:rFonts w:ascii="Arial" w:hAnsi="Arial" w:cs="Arial"/>
        </w:rPr>
        <w:t xml:space="preserve">nder this definition, evidence may be relevant but </w:t>
      </w:r>
      <w:r w:rsidR="00526224" w:rsidRPr="00C4160B">
        <w:rPr>
          <w:rFonts w:ascii="Arial" w:hAnsi="Arial" w:cs="Arial"/>
        </w:rPr>
        <w:t xml:space="preserve">not </w:t>
      </w:r>
      <w:r w:rsidR="006F7392" w:rsidRPr="00C4160B">
        <w:rPr>
          <w:rFonts w:ascii="Arial" w:hAnsi="Arial" w:cs="Arial"/>
        </w:rPr>
        <w:t xml:space="preserve">rise to the level of </w:t>
      </w:r>
      <w:r w:rsidR="00526224" w:rsidRPr="00C4160B">
        <w:rPr>
          <w:rFonts w:ascii="Arial" w:hAnsi="Arial" w:cs="Arial"/>
        </w:rPr>
        <w:t xml:space="preserve">being </w:t>
      </w:r>
      <w:r w:rsidR="006F7392" w:rsidRPr="00C4160B">
        <w:rPr>
          <w:rFonts w:ascii="Arial" w:hAnsi="Arial" w:cs="Arial"/>
        </w:rPr>
        <w:t xml:space="preserve">material. </w:t>
      </w:r>
      <w:r w:rsidR="0046421E" w:rsidRPr="00C4160B">
        <w:rPr>
          <w:rFonts w:ascii="Arial" w:hAnsi="Arial" w:cs="Arial"/>
          <w:i/>
        </w:rPr>
        <w:t>Floyd</w:t>
      </w:r>
      <w:r w:rsidR="0046421E" w:rsidRPr="00C4160B">
        <w:rPr>
          <w:rFonts w:ascii="Arial" w:hAnsi="Arial" w:cs="Arial"/>
        </w:rPr>
        <w:t xml:space="preserve">, </w:t>
      </w:r>
      <w:r w:rsidR="00100EDF">
        <w:rPr>
          <w:rFonts w:ascii="Arial" w:hAnsi="Arial" w:cs="Arial"/>
        </w:rPr>
        <w:t>237</w:t>
      </w:r>
      <w:r w:rsidR="0046421E" w:rsidRPr="00C4160B">
        <w:rPr>
          <w:rFonts w:ascii="Arial" w:hAnsi="Arial" w:cs="Arial"/>
        </w:rPr>
        <w:t xml:space="preserve"> N.C. App. </w:t>
      </w:r>
      <w:r w:rsidR="0070549F" w:rsidRPr="00C4160B">
        <w:rPr>
          <w:rFonts w:ascii="Arial" w:hAnsi="Arial" w:cs="Arial"/>
        </w:rPr>
        <w:t xml:space="preserve">at </w:t>
      </w:r>
      <w:r w:rsidR="00100EDF">
        <w:rPr>
          <w:rFonts w:ascii="Arial" w:hAnsi="Arial" w:cs="Arial"/>
        </w:rPr>
        <w:t>302</w:t>
      </w:r>
      <w:r w:rsidR="00A31F90">
        <w:rPr>
          <w:rFonts w:ascii="Arial" w:hAnsi="Arial" w:cs="Arial"/>
        </w:rPr>
        <w:t xml:space="preserve">; </w:t>
      </w:r>
      <w:r w:rsidR="00A31F90">
        <w:rPr>
          <w:rFonts w:ascii="Arial" w:hAnsi="Arial" w:cs="Arial"/>
          <w:i/>
          <w:iCs/>
        </w:rPr>
        <w:t xml:space="preserve">see also </w:t>
      </w:r>
      <w:r w:rsidR="00A31F90">
        <w:rPr>
          <w:rFonts w:ascii="Arial" w:hAnsi="Arial" w:cs="Arial"/>
        </w:rPr>
        <w:t>State v. Randall, 259 N.C. App. 885, 88</w:t>
      </w:r>
      <w:r w:rsidR="00870847">
        <w:rPr>
          <w:rFonts w:ascii="Arial" w:hAnsi="Arial" w:cs="Arial"/>
        </w:rPr>
        <w:t>9</w:t>
      </w:r>
      <w:r w:rsidR="00A31F90">
        <w:rPr>
          <w:rFonts w:ascii="Arial" w:hAnsi="Arial" w:cs="Arial"/>
        </w:rPr>
        <w:t xml:space="preserve"> (2018) (evidence that </w:t>
      </w:r>
      <w:r w:rsidR="00636CC6">
        <w:rPr>
          <w:rFonts w:ascii="Arial" w:hAnsi="Arial" w:cs="Arial"/>
        </w:rPr>
        <w:t>may have been</w:t>
      </w:r>
      <w:r w:rsidR="00A31F90">
        <w:rPr>
          <w:rFonts w:ascii="Arial" w:hAnsi="Arial" w:cs="Arial"/>
        </w:rPr>
        <w:t xml:space="preserve"> relevant at trial </w:t>
      </w:r>
      <w:r w:rsidR="00636CC6">
        <w:rPr>
          <w:rFonts w:ascii="Arial" w:hAnsi="Arial" w:cs="Arial"/>
        </w:rPr>
        <w:t>was not</w:t>
      </w:r>
      <w:r w:rsidR="00A31F90">
        <w:rPr>
          <w:rFonts w:ascii="Arial" w:hAnsi="Arial" w:cs="Arial"/>
        </w:rPr>
        <w:t xml:space="preserve"> material for purposes of post-conviction DNA testing)</w:t>
      </w:r>
      <w:r w:rsidR="00D81CC5" w:rsidRPr="00C4160B">
        <w:rPr>
          <w:rFonts w:ascii="Arial" w:hAnsi="Arial" w:cs="Arial"/>
        </w:rPr>
        <w:t>.</w:t>
      </w:r>
      <w:r w:rsidR="00542362">
        <w:rPr>
          <w:rFonts w:ascii="Arial" w:hAnsi="Arial" w:cs="Arial"/>
        </w:rPr>
        <w:t xml:space="preserve"> </w:t>
      </w:r>
      <w:r w:rsidR="002F0B0E">
        <w:rPr>
          <w:rFonts w:ascii="Arial" w:hAnsi="Arial" w:cs="Arial"/>
        </w:rPr>
        <w:t>I</w:t>
      </w:r>
      <w:r w:rsidR="00542362">
        <w:rPr>
          <w:rFonts w:ascii="Arial" w:hAnsi="Arial" w:cs="Arial"/>
        </w:rPr>
        <w:t xml:space="preserve">n cases involving jury </w:t>
      </w:r>
      <w:r w:rsidR="0005526F">
        <w:rPr>
          <w:rFonts w:ascii="Arial" w:hAnsi="Arial" w:cs="Arial"/>
        </w:rPr>
        <w:t>trials,</w:t>
      </w:r>
      <w:r w:rsidR="002F0B0E">
        <w:rPr>
          <w:rFonts w:ascii="Arial" w:hAnsi="Arial" w:cs="Arial"/>
        </w:rPr>
        <w:t xml:space="preserve"> a determination of materiality</w:t>
      </w:r>
      <w:r w:rsidR="0005526F">
        <w:rPr>
          <w:rFonts w:ascii="Arial" w:hAnsi="Arial" w:cs="Arial"/>
        </w:rPr>
        <w:t xml:space="preserve"> “hinges upon whether the evidence would have affected the jury’s deliberations.” </w:t>
      </w:r>
      <w:r w:rsidR="0005526F">
        <w:rPr>
          <w:rFonts w:ascii="Arial" w:hAnsi="Arial" w:cs="Arial"/>
          <w:i/>
          <w:iCs/>
        </w:rPr>
        <w:t>Lane</w:t>
      </w:r>
      <w:r w:rsidR="0005526F">
        <w:rPr>
          <w:rFonts w:ascii="Arial" w:hAnsi="Arial" w:cs="Arial"/>
        </w:rPr>
        <w:t xml:space="preserve">, 370 N.C. at 519. In the context of a capital case, a court considering materiality must assess whether the evidence “would have changed the jury’s verdict in either the guilt or sentencing phases.” </w:t>
      </w:r>
      <w:r w:rsidR="0005526F">
        <w:rPr>
          <w:rFonts w:ascii="Arial" w:hAnsi="Arial" w:cs="Arial"/>
          <w:i/>
          <w:iCs/>
        </w:rPr>
        <w:t>Id</w:t>
      </w:r>
      <w:r w:rsidR="0005526F">
        <w:rPr>
          <w:rFonts w:ascii="Arial" w:hAnsi="Arial" w:cs="Arial"/>
        </w:rPr>
        <w:t>. In cases involving a guilty plea, the applicable standard is whether “there is a reasonable probability that DNA testing would have produced a different outcome; for example</w:t>
      </w:r>
      <w:r w:rsidR="00D17789">
        <w:rPr>
          <w:rFonts w:ascii="Arial" w:hAnsi="Arial" w:cs="Arial"/>
        </w:rPr>
        <w:t xml:space="preserve">, that the defendant would not have pleaded guilty </w:t>
      </w:r>
      <w:r w:rsidR="00D17789">
        <w:rPr>
          <w:rFonts w:ascii="Arial" w:hAnsi="Arial" w:cs="Arial"/>
          <w:i/>
          <w:iCs/>
        </w:rPr>
        <w:t>and otherwise would not have been found guilty</w:t>
      </w:r>
      <w:r w:rsidR="00D17789">
        <w:rPr>
          <w:rFonts w:ascii="Arial" w:hAnsi="Arial" w:cs="Arial"/>
        </w:rPr>
        <w:t>.” State v. Alexander, 380 N.C. 572, 597 (2022) (quotation omitted; emphasis in original)</w:t>
      </w:r>
      <w:r w:rsidR="002F0B0E">
        <w:rPr>
          <w:rFonts w:ascii="Arial" w:hAnsi="Arial" w:cs="Arial"/>
        </w:rPr>
        <w:t xml:space="preserve">; </w:t>
      </w:r>
      <w:r w:rsidR="002F0B0E" w:rsidRPr="00EC5FEB">
        <w:rPr>
          <w:rFonts w:ascii="Arial" w:hAnsi="Arial" w:cs="Arial"/>
          <w:i/>
          <w:iCs/>
        </w:rPr>
        <w:t>Randall</w:t>
      </w:r>
      <w:r w:rsidR="002F0B0E">
        <w:rPr>
          <w:rFonts w:ascii="Arial" w:hAnsi="Arial" w:cs="Arial"/>
        </w:rPr>
        <w:t xml:space="preserve">, 259 N.C. App. </w:t>
      </w:r>
      <w:r w:rsidR="001F6916">
        <w:rPr>
          <w:rFonts w:ascii="Arial" w:hAnsi="Arial" w:cs="Arial"/>
        </w:rPr>
        <w:t>at</w:t>
      </w:r>
      <w:r w:rsidR="002F0B0E">
        <w:rPr>
          <w:rFonts w:ascii="Arial" w:hAnsi="Arial" w:cs="Arial"/>
        </w:rPr>
        <w:t xml:space="preserve"> 887</w:t>
      </w:r>
      <w:r w:rsidR="00D17789">
        <w:rPr>
          <w:rFonts w:ascii="Arial" w:hAnsi="Arial" w:cs="Arial"/>
        </w:rPr>
        <w:t>.</w:t>
      </w:r>
      <w:r w:rsidR="0005526F">
        <w:rPr>
          <w:rFonts w:ascii="Arial" w:hAnsi="Arial" w:cs="Arial"/>
        </w:rPr>
        <w:t xml:space="preserve"> </w:t>
      </w:r>
    </w:p>
    <w:p w14:paraId="5B99DD16" w14:textId="6E5580D9" w:rsidR="002F0B0E" w:rsidRPr="00EC5FEB" w:rsidRDefault="002F0B0E" w:rsidP="00A2284D">
      <w:pPr>
        <w:pStyle w:val="ListParagraph"/>
        <w:spacing w:after="0" w:line="240" w:lineRule="auto"/>
        <w:ind w:left="2160" w:firstLine="720"/>
        <w:rPr>
          <w:rFonts w:ascii="Arial" w:hAnsi="Arial" w:cs="Arial"/>
          <w:i/>
          <w:iCs/>
        </w:rPr>
      </w:pPr>
      <w:r>
        <w:rPr>
          <w:rFonts w:ascii="Arial" w:hAnsi="Arial" w:cs="Arial"/>
        </w:rPr>
        <w:t>Regardless</w:t>
      </w:r>
      <w:r w:rsidR="00870847">
        <w:rPr>
          <w:rFonts w:ascii="Arial" w:hAnsi="Arial" w:cs="Arial"/>
        </w:rPr>
        <w:t xml:space="preserve"> of whether a motion follows a trial or</w:t>
      </w:r>
      <w:r w:rsidR="00DC0594">
        <w:rPr>
          <w:rFonts w:ascii="Arial" w:hAnsi="Arial" w:cs="Arial"/>
        </w:rPr>
        <w:t xml:space="preserve"> a</w:t>
      </w:r>
      <w:r w:rsidR="00870847">
        <w:rPr>
          <w:rFonts w:ascii="Arial" w:hAnsi="Arial" w:cs="Arial"/>
        </w:rPr>
        <w:t xml:space="preserve"> plea, a court’s determination of materiality must be made in the context of the entire record</w:t>
      </w:r>
      <w:r w:rsidR="00636CC6">
        <w:rPr>
          <w:rFonts w:ascii="Arial" w:hAnsi="Arial" w:cs="Arial"/>
        </w:rPr>
        <w:t xml:space="preserve">, including, for example, the strength of the evidence against </w:t>
      </w:r>
      <w:r w:rsidR="00CF18B2">
        <w:rPr>
          <w:rFonts w:ascii="Arial" w:hAnsi="Arial" w:cs="Arial"/>
        </w:rPr>
        <w:t>a</w:t>
      </w:r>
      <w:r w:rsidR="00636CC6">
        <w:rPr>
          <w:rFonts w:ascii="Arial" w:hAnsi="Arial" w:cs="Arial"/>
        </w:rPr>
        <w:t xml:space="preserve"> defendant</w:t>
      </w:r>
      <w:r w:rsidR="00CF18B2">
        <w:rPr>
          <w:rFonts w:ascii="Arial" w:hAnsi="Arial" w:cs="Arial"/>
        </w:rPr>
        <w:t xml:space="preserve">, the value to a defendant of </w:t>
      </w:r>
      <w:r w:rsidR="00DC0594">
        <w:rPr>
          <w:rFonts w:ascii="Arial" w:hAnsi="Arial" w:cs="Arial"/>
        </w:rPr>
        <w:t xml:space="preserve">a </w:t>
      </w:r>
      <w:r w:rsidR="00CF18B2">
        <w:rPr>
          <w:rFonts w:ascii="Arial" w:hAnsi="Arial" w:cs="Arial"/>
        </w:rPr>
        <w:t>favorable test result,</w:t>
      </w:r>
      <w:r w:rsidR="00636CC6">
        <w:rPr>
          <w:rFonts w:ascii="Arial" w:hAnsi="Arial" w:cs="Arial"/>
        </w:rPr>
        <w:t xml:space="preserve"> </w:t>
      </w:r>
      <w:r w:rsidR="00CF18B2">
        <w:rPr>
          <w:rFonts w:ascii="Arial" w:hAnsi="Arial" w:cs="Arial"/>
        </w:rPr>
        <w:t>and</w:t>
      </w:r>
      <w:r w:rsidR="00636CC6">
        <w:rPr>
          <w:rFonts w:ascii="Arial" w:hAnsi="Arial" w:cs="Arial"/>
        </w:rPr>
        <w:t xml:space="preserve"> the circumstances surrounding </w:t>
      </w:r>
      <w:r w:rsidR="00CF18B2">
        <w:rPr>
          <w:rFonts w:ascii="Arial" w:hAnsi="Arial" w:cs="Arial"/>
        </w:rPr>
        <w:t>a</w:t>
      </w:r>
      <w:r w:rsidR="00636CC6">
        <w:rPr>
          <w:rFonts w:ascii="Arial" w:hAnsi="Arial" w:cs="Arial"/>
        </w:rPr>
        <w:t xml:space="preserve"> defendant’s guilty plea. </w:t>
      </w:r>
      <w:r w:rsidR="00636CC6">
        <w:rPr>
          <w:rFonts w:ascii="Arial" w:hAnsi="Arial" w:cs="Arial"/>
          <w:i/>
          <w:iCs/>
        </w:rPr>
        <w:t>See, e.g.</w:t>
      </w:r>
      <w:r w:rsidR="00636CC6">
        <w:rPr>
          <w:rFonts w:ascii="Arial" w:hAnsi="Arial" w:cs="Arial"/>
        </w:rPr>
        <w:t xml:space="preserve">, </w:t>
      </w:r>
      <w:r w:rsidR="006B627C" w:rsidRPr="00EC5FEB">
        <w:rPr>
          <w:rFonts w:ascii="Arial" w:hAnsi="Arial" w:cs="Arial"/>
          <w:i/>
          <w:iCs/>
        </w:rPr>
        <w:t>Byers</w:t>
      </w:r>
      <w:r w:rsidR="006B627C">
        <w:rPr>
          <w:rFonts w:ascii="Arial" w:hAnsi="Arial" w:cs="Arial"/>
        </w:rPr>
        <w:t xml:space="preserve">, 375 N.C. </w:t>
      </w:r>
      <w:r w:rsidR="00462FF8">
        <w:rPr>
          <w:rFonts w:ascii="Arial" w:hAnsi="Arial" w:cs="Arial"/>
        </w:rPr>
        <w:t>at</w:t>
      </w:r>
      <w:r w:rsidR="002D419A">
        <w:rPr>
          <w:rFonts w:ascii="Arial" w:hAnsi="Arial" w:cs="Arial"/>
        </w:rPr>
        <w:t xml:space="preserve"> 398-99 (</w:t>
      </w:r>
      <w:r w:rsidR="00DC0594">
        <w:rPr>
          <w:rFonts w:ascii="Arial" w:hAnsi="Arial" w:cs="Arial"/>
        </w:rPr>
        <w:t xml:space="preserve">testing not material where </w:t>
      </w:r>
      <w:r w:rsidR="002D419A">
        <w:rPr>
          <w:rFonts w:ascii="Arial" w:hAnsi="Arial" w:cs="Arial"/>
        </w:rPr>
        <w:t xml:space="preserve">evidence against the defendant was overwhelming); </w:t>
      </w:r>
      <w:r w:rsidR="00CF18B2">
        <w:rPr>
          <w:rFonts w:ascii="Arial" w:hAnsi="Arial" w:cs="Arial"/>
          <w:i/>
          <w:iCs/>
        </w:rPr>
        <w:t>Lane</w:t>
      </w:r>
      <w:r w:rsidR="00CF18B2">
        <w:rPr>
          <w:rFonts w:ascii="Arial" w:hAnsi="Arial" w:cs="Arial"/>
        </w:rPr>
        <w:t>,</w:t>
      </w:r>
      <w:r w:rsidR="00CF18B2">
        <w:rPr>
          <w:rFonts w:ascii="Arial" w:hAnsi="Arial" w:cs="Arial"/>
          <w:i/>
          <w:iCs/>
        </w:rPr>
        <w:t xml:space="preserve"> </w:t>
      </w:r>
      <w:r w:rsidR="00CF18B2">
        <w:rPr>
          <w:rFonts w:ascii="Arial" w:hAnsi="Arial" w:cs="Arial"/>
        </w:rPr>
        <w:t xml:space="preserve">370 N.C. </w:t>
      </w:r>
      <w:r w:rsidR="00FB28CD">
        <w:rPr>
          <w:rFonts w:ascii="Arial" w:hAnsi="Arial" w:cs="Arial"/>
        </w:rPr>
        <w:t xml:space="preserve">520-24 </w:t>
      </w:r>
      <w:r w:rsidR="00CF18B2">
        <w:rPr>
          <w:rFonts w:ascii="Arial" w:hAnsi="Arial" w:cs="Arial"/>
        </w:rPr>
        <w:t>(</w:t>
      </w:r>
      <w:r w:rsidR="00DC0594">
        <w:rPr>
          <w:rFonts w:ascii="Arial" w:hAnsi="Arial" w:cs="Arial"/>
        </w:rPr>
        <w:t xml:space="preserve">testing not material; </w:t>
      </w:r>
      <w:r w:rsidR="00886D1C">
        <w:rPr>
          <w:rFonts w:ascii="Arial" w:hAnsi="Arial" w:cs="Arial"/>
        </w:rPr>
        <w:t>evidence against the defendant was overwhelming</w:t>
      </w:r>
      <w:r w:rsidR="00AF5754">
        <w:rPr>
          <w:rFonts w:ascii="Arial" w:hAnsi="Arial" w:cs="Arial"/>
        </w:rPr>
        <w:t>;</w:t>
      </w:r>
      <w:r w:rsidR="00BE12E2">
        <w:rPr>
          <w:rFonts w:ascii="Arial" w:hAnsi="Arial" w:cs="Arial"/>
        </w:rPr>
        <w:t xml:space="preserve"> defendant would not be excluded as perpetrator even if test results were favorable; </w:t>
      </w:r>
      <w:r w:rsidR="00AF5754">
        <w:rPr>
          <w:rFonts w:ascii="Arial" w:hAnsi="Arial" w:cs="Arial"/>
        </w:rPr>
        <w:t xml:space="preserve"> aggravating factors supporting jury’s recommendation of death sentence still would exist even if test results were favorable</w:t>
      </w:r>
      <w:r w:rsidR="00CF18B2">
        <w:rPr>
          <w:rFonts w:ascii="Arial" w:hAnsi="Arial" w:cs="Arial"/>
        </w:rPr>
        <w:t xml:space="preserve">); </w:t>
      </w:r>
      <w:r w:rsidR="00CF18B2">
        <w:rPr>
          <w:rFonts w:ascii="Arial" w:hAnsi="Arial" w:cs="Arial"/>
          <w:i/>
          <w:iCs/>
        </w:rPr>
        <w:t>Alexander</w:t>
      </w:r>
      <w:r w:rsidR="00CF18B2">
        <w:rPr>
          <w:rFonts w:ascii="Arial" w:hAnsi="Arial" w:cs="Arial"/>
        </w:rPr>
        <w:t>, 380 N.C. at 601-04 (</w:t>
      </w:r>
      <w:r w:rsidR="00DC0594">
        <w:rPr>
          <w:rFonts w:ascii="Arial" w:hAnsi="Arial" w:cs="Arial"/>
        </w:rPr>
        <w:t xml:space="preserve">testing not material where </w:t>
      </w:r>
      <w:r w:rsidR="00CF18B2">
        <w:rPr>
          <w:rFonts w:ascii="Arial" w:hAnsi="Arial" w:cs="Arial"/>
        </w:rPr>
        <w:t>favorable results would have little bearing on defendant’s involvement in the crimes);</w:t>
      </w:r>
      <w:r w:rsidR="00CF18B2">
        <w:rPr>
          <w:rFonts w:ascii="Arial" w:hAnsi="Arial" w:cs="Arial"/>
          <w:i/>
          <w:iCs/>
        </w:rPr>
        <w:t xml:space="preserve"> </w:t>
      </w:r>
      <w:r w:rsidR="00636CC6">
        <w:rPr>
          <w:rFonts w:ascii="Arial" w:hAnsi="Arial" w:cs="Arial"/>
          <w:i/>
          <w:iCs/>
        </w:rPr>
        <w:t>Randall</w:t>
      </w:r>
      <w:r w:rsidR="00636CC6">
        <w:rPr>
          <w:rFonts w:ascii="Arial" w:hAnsi="Arial" w:cs="Arial"/>
        </w:rPr>
        <w:t>, 259 N.C. App. at 889 (</w:t>
      </w:r>
      <w:r w:rsidR="00DC0594">
        <w:rPr>
          <w:rFonts w:ascii="Arial" w:hAnsi="Arial" w:cs="Arial"/>
        </w:rPr>
        <w:t xml:space="preserve">testing not material where </w:t>
      </w:r>
      <w:r w:rsidR="00636CC6">
        <w:rPr>
          <w:rFonts w:ascii="Arial" w:hAnsi="Arial" w:cs="Arial"/>
        </w:rPr>
        <w:t>defendant confessed to crimes and entered</w:t>
      </w:r>
      <w:r w:rsidR="002D419A">
        <w:rPr>
          <w:rFonts w:ascii="Arial" w:hAnsi="Arial" w:cs="Arial"/>
        </w:rPr>
        <w:t xml:space="preserve"> guilty</w:t>
      </w:r>
      <w:r w:rsidR="00636CC6">
        <w:rPr>
          <w:rFonts w:ascii="Arial" w:hAnsi="Arial" w:cs="Arial"/>
        </w:rPr>
        <w:t xml:space="preserve"> plea freely, understandingly, and voluntarily with assistance of counsel)</w:t>
      </w:r>
      <w:r w:rsidR="00CF18B2">
        <w:rPr>
          <w:rFonts w:ascii="Arial" w:hAnsi="Arial" w:cs="Arial"/>
        </w:rPr>
        <w:t>.</w:t>
      </w:r>
    </w:p>
    <w:p w14:paraId="393FCC61" w14:textId="7ABD62E8" w:rsidR="004801D6" w:rsidRPr="00C4160B" w:rsidRDefault="00493B37" w:rsidP="00A2284D">
      <w:pPr>
        <w:pStyle w:val="ListParagraph"/>
        <w:spacing w:after="0" w:line="240" w:lineRule="auto"/>
        <w:ind w:left="2160" w:firstLine="720"/>
        <w:rPr>
          <w:rFonts w:ascii="Arial" w:hAnsi="Arial" w:cs="Arial"/>
        </w:rPr>
      </w:pPr>
      <w:r>
        <w:rPr>
          <w:rFonts w:ascii="Arial" w:hAnsi="Arial" w:cs="Arial"/>
        </w:rPr>
        <w:t xml:space="preserve">As noted in Section IV above, the term “material” has the same meaning </w:t>
      </w:r>
      <w:r w:rsidR="00DC0594">
        <w:rPr>
          <w:rFonts w:ascii="Arial" w:hAnsi="Arial" w:cs="Arial"/>
        </w:rPr>
        <w:t>throughout G.S. 15A-269</w:t>
      </w:r>
      <w:r>
        <w:rPr>
          <w:rFonts w:ascii="Arial" w:hAnsi="Arial" w:cs="Arial"/>
        </w:rPr>
        <w:t xml:space="preserve">, but a defendant must show that testing “is material” to his or her defense </w:t>
      </w:r>
      <w:r w:rsidR="00757895">
        <w:rPr>
          <w:rFonts w:ascii="Arial" w:hAnsi="Arial" w:cs="Arial"/>
        </w:rPr>
        <w:t>to compel a</w:t>
      </w:r>
      <w:r>
        <w:rPr>
          <w:rFonts w:ascii="Arial" w:hAnsi="Arial" w:cs="Arial"/>
        </w:rPr>
        <w:t xml:space="preserve"> trial court to grant a motion </w:t>
      </w:r>
      <w:r w:rsidR="00DC0594">
        <w:rPr>
          <w:rFonts w:ascii="Arial" w:hAnsi="Arial" w:cs="Arial"/>
        </w:rPr>
        <w:t>while</w:t>
      </w:r>
      <w:r>
        <w:rPr>
          <w:rFonts w:ascii="Arial" w:hAnsi="Arial" w:cs="Arial"/>
        </w:rPr>
        <w:t xml:space="preserve"> need</w:t>
      </w:r>
      <w:r w:rsidR="00DC0594">
        <w:rPr>
          <w:rFonts w:ascii="Arial" w:hAnsi="Arial" w:cs="Arial"/>
        </w:rPr>
        <w:t>ing</w:t>
      </w:r>
      <w:r>
        <w:rPr>
          <w:rFonts w:ascii="Arial" w:hAnsi="Arial" w:cs="Arial"/>
        </w:rPr>
        <w:t xml:space="preserve"> only</w:t>
      </w:r>
      <w:r w:rsidR="00DC0594">
        <w:rPr>
          <w:rFonts w:ascii="Arial" w:hAnsi="Arial" w:cs="Arial"/>
        </w:rPr>
        <w:t xml:space="preserve"> to</w:t>
      </w:r>
      <w:r>
        <w:rPr>
          <w:rFonts w:ascii="Arial" w:hAnsi="Arial" w:cs="Arial"/>
        </w:rPr>
        <w:t xml:space="preserve"> show that testing “may be material”</w:t>
      </w:r>
      <w:r w:rsidR="00DB662D">
        <w:rPr>
          <w:rFonts w:ascii="Arial" w:hAnsi="Arial" w:cs="Arial"/>
        </w:rPr>
        <w:t xml:space="preserve"> in order to be appointed counsel.</w:t>
      </w:r>
      <w:r w:rsidR="00CC2985" w:rsidRPr="00C4160B">
        <w:rPr>
          <w:rFonts w:ascii="Arial" w:hAnsi="Arial" w:cs="Arial"/>
        </w:rPr>
        <w:t xml:space="preserve"> </w:t>
      </w:r>
    </w:p>
    <w:p w14:paraId="5F90800D" w14:textId="6D2B766A" w:rsidR="004801D6" w:rsidRPr="00C4160B" w:rsidRDefault="00526224" w:rsidP="00A2284D">
      <w:pPr>
        <w:pStyle w:val="ListParagraph"/>
        <w:spacing w:after="0" w:line="240" w:lineRule="auto"/>
        <w:ind w:left="2160" w:firstLine="720"/>
        <w:rPr>
          <w:rFonts w:ascii="Arial" w:hAnsi="Arial" w:cs="Arial"/>
        </w:rPr>
      </w:pPr>
      <w:r w:rsidRPr="00C4160B">
        <w:rPr>
          <w:rFonts w:ascii="Arial" w:hAnsi="Arial" w:cs="Arial"/>
        </w:rPr>
        <w:lastRenderedPageBreak/>
        <w:t>A</w:t>
      </w:r>
      <w:r w:rsidR="00BF32C1" w:rsidRPr="00C4160B">
        <w:rPr>
          <w:rFonts w:ascii="Arial" w:hAnsi="Arial" w:cs="Arial"/>
        </w:rPr>
        <w:t xml:space="preserve"> conclusory statement that the testing is material is insufficient to carry the defendant’s burden. </w:t>
      </w:r>
      <w:r w:rsidR="00300333">
        <w:rPr>
          <w:rFonts w:ascii="Arial" w:hAnsi="Arial" w:cs="Arial"/>
          <w:i/>
          <w:iCs/>
        </w:rPr>
        <w:t>Byers</w:t>
      </w:r>
      <w:r w:rsidR="00300333">
        <w:rPr>
          <w:rFonts w:ascii="Arial" w:hAnsi="Arial" w:cs="Arial"/>
        </w:rPr>
        <w:t>, 375 N.C. at 395</w:t>
      </w:r>
      <w:r w:rsidR="00300333">
        <w:rPr>
          <w:rFonts w:ascii="Arial" w:hAnsi="Arial" w:cs="Arial"/>
          <w:i/>
          <w:iCs/>
        </w:rPr>
        <w:t xml:space="preserve"> </w:t>
      </w:r>
      <w:r w:rsidR="00300333">
        <w:rPr>
          <w:rFonts w:ascii="Arial" w:hAnsi="Arial" w:cs="Arial"/>
        </w:rPr>
        <w:t>(defendant did not meet burden where he offered “conclusory and vague statements without evidentiary foundation”);</w:t>
      </w:r>
      <w:r w:rsidR="00757895">
        <w:rPr>
          <w:rFonts w:ascii="Arial" w:hAnsi="Arial" w:cs="Arial"/>
        </w:rPr>
        <w:t xml:space="preserve"> </w:t>
      </w:r>
      <w:r w:rsidR="00505C6A">
        <w:rPr>
          <w:rFonts w:ascii="Arial" w:hAnsi="Arial" w:cs="Arial"/>
          <w:i/>
          <w:iCs/>
        </w:rPr>
        <w:t>Randall</w:t>
      </w:r>
      <w:r w:rsidR="00505C6A">
        <w:rPr>
          <w:rFonts w:ascii="Arial" w:hAnsi="Arial" w:cs="Arial"/>
        </w:rPr>
        <w:t xml:space="preserve">, 259 N.C. App. at 888; </w:t>
      </w:r>
      <w:r w:rsidR="0046421E" w:rsidRPr="00C4160B">
        <w:rPr>
          <w:rFonts w:ascii="Arial" w:hAnsi="Arial" w:cs="Arial"/>
          <w:i/>
        </w:rPr>
        <w:t xml:space="preserve">Turner, </w:t>
      </w:r>
      <w:r w:rsidR="00100EDF">
        <w:rPr>
          <w:rFonts w:ascii="Arial" w:hAnsi="Arial" w:cs="Arial"/>
        </w:rPr>
        <w:t>239</w:t>
      </w:r>
      <w:r w:rsidR="0046421E" w:rsidRPr="00C4160B">
        <w:rPr>
          <w:rFonts w:ascii="Arial" w:hAnsi="Arial" w:cs="Arial"/>
        </w:rPr>
        <w:t xml:space="preserve"> N.C. App. at </w:t>
      </w:r>
      <w:r w:rsidR="00100EDF">
        <w:rPr>
          <w:rFonts w:ascii="Arial" w:hAnsi="Arial" w:cs="Arial"/>
        </w:rPr>
        <w:t>454</w:t>
      </w:r>
      <w:r w:rsidR="00BF32C1" w:rsidRPr="00C4160B">
        <w:rPr>
          <w:rFonts w:ascii="Arial" w:hAnsi="Arial" w:cs="Arial"/>
        </w:rPr>
        <w:t xml:space="preserve">; </w:t>
      </w:r>
      <w:r w:rsidR="0046421E" w:rsidRPr="00C4160B">
        <w:rPr>
          <w:rFonts w:ascii="Arial" w:hAnsi="Arial" w:cs="Arial"/>
        </w:rPr>
        <w:t>State v. Foster, 222 N.C. App. 199, 205 (2012)</w:t>
      </w:r>
      <w:r w:rsidR="00505C6A">
        <w:rPr>
          <w:rFonts w:ascii="Arial" w:hAnsi="Arial" w:cs="Arial"/>
        </w:rPr>
        <w:t>.</w:t>
      </w:r>
      <w:r w:rsidR="00EF5E87" w:rsidRPr="00C4160B">
        <w:rPr>
          <w:rFonts w:ascii="Arial" w:hAnsi="Arial" w:cs="Arial"/>
        </w:rPr>
        <w:t xml:space="preserve"> </w:t>
      </w:r>
    </w:p>
    <w:p w14:paraId="458D5242" w14:textId="77777777" w:rsidR="00EF5E87" w:rsidRPr="00C4160B" w:rsidRDefault="00EF5E87" w:rsidP="00A2284D">
      <w:pPr>
        <w:pStyle w:val="ListParagraph"/>
        <w:spacing w:after="0" w:line="240" w:lineRule="auto"/>
        <w:ind w:left="2160" w:firstLine="720"/>
        <w:rPr>
          <w:rFonts w:ascii="Arial" w:hAnsi="Arial" w:cs="Arial"/>
        </w:rPr>
      </w:pPr>
      <w:r w:rsidRPr="00C4160B">
        <w:rPr>
          <w:rFonts w:ascii="Arial" w:hAnsi="Arial" w:cs="Arial"/>
        </w:rPr>
        <w:t xml:space="preserve">Sample </w:t>
      </w:r>
      <w:r w:rsidR="00CC2985" w:rsidRPr="00C4160B">
        <w:rPr>
          <w:rFonts w:ascii="Arial" w:hAnsi="Arial" w:cs="Arial"/>
        </w:rPr>
        <w:t>cases assessing materiality</w:t>
      </w:r>
      <w:r w:rsidRPr="00C4160B">
        <w:rPr>
          <w:rFonts w:ascii="Arial" w:hAnsi="Arial" w:cs="Arial"/>
        </w:rPr>
        <w:t xml:space="preserve"> include:</w:t>
      </w:r>
    </w:p>
    <w:p w14:paraId="59997828" w14:textId="3D82ECDE" w:rsidR="00EF5E87" w:rsidRDefault="00EF5E87" w:rsidP="00A2284D">
      <w:pPr>
        <w:pStyle w:val="ListParagraph"/>
        <w:spacing w:after="0" w:line="240" w:lineRule="auto"/>
        <w:ind w:left="2160" w:firstLine="720"/>
        <w:rPr>
          <w:rFonts w:ascii="Arial" w:hAnsi="Arial" w:cs="Arial"/>
        </w:rPr>
      </w:pPr>
    </w:p>
    <w:p w14:paraId="62C5E593" w14:textId="10000AF6" w:rsidR="008934AE" w:rsidRPr="008934AE" w:rsidRDefault="008934AE" w:rsidP="00EC5FEB">
      <w:pPr>
        <w:pStyle w:val="ListParagraph"/>
        <w:spacing w:after="0" w:line="240" w:lineRule="auto"/>
        <w:ind w:left="2880"/>
        <w:rPr>
          <w:rFonts w:ascii="Arial" w:hAnsi="Arial" w:cs="Arial"/>
        </w:rPr>
      </w:pPr>
      <w:r>
        <w:rPr>
          <w:rFonts w:ascii="Arial" w:hAnsi="Arial" w:cs="Arial"/>
          <w:i/>
          <w:iCs/>
        </w:rPr>
        <w:t>State v. Alexander</w:t>
      </w:r>
      <w:r>
        <w:rPr>
          <w:rFonts w:ascii="Arial" w:hAnsi="Arial" w:cs="Arial"/>
        </w:rPr>
        <w:t xml:space="preserve">, 380 N.C. 572 (2022) (the defendant failed to prove materiality where he pleaded guilty to robbing and murdering </w:t>
      </w:r>
      <w:r w:rsidR="006332AE">
        <w:rPr>
          <w:rFonts w:ascii="Arial" w:hAnsi="Arial" w:cs="Arial"/>
        </w:rPr>
        <w:t>the manager</w:t>
      </w:r>
      <w:r w:rsidR="00D84598">
        <w:rPr>
          <w:rFonts w:ascii="Arial" w:hAnsi="Arial" w:cs="Arial"/>
        </w:rPr>
        <w:t xml:space="preserve"> of an Amoco </w:t>
      </w:r>
      <w:r w:rsidR="006332AE">
        <w:rPr>
          <w:rFonts w:ascii="Arial" w:hAnsi="Arial" w:cs="Arial"/>
        </w:rPr>
        <w:t>service</w:t>
      </w:r>
      <w:r w:rsidR="00D84598">
        <w:rPr>
          <w:rFonts w:ascii="Arial" w:hAnsi="Arial" w:cs="Arial"/>
        </w:rPr>
        <w:t xml:space="preserve"> station</w:t>
      </w:r>
      <w:r>
        <w:rPr>
          <w:rFonts w:ascii="Arial" w:hAnsi="Arial" w:cs="Arial"/>
        </w:rPr>
        <w:t xml:space="preserve">; the defendant sought testing of shell casings discovered at the </w:t>
      </w:r>
      <w:r w:rsidR="00D84598">
        <w:rPr>
          <w:rFonts w:ascii="Arial" w:hAnsi="Arial" w:cs="Arial"/>
        </w:rPr>
        <w:t>Amoco</w:t>
      </w:r>
      <w:r>
        <w:rPr>
          <w:rFonts w:ascii="Arial" w:hAnsi="Arial" w:cs="Arial"/>
        </w:rPr>
        <w:t xml:space="preserve"> for the presence of third-party DNA; the</w:t>
      </w:r>
      <w:r w:rsidR="00686DA6">
        <w:rPr>
          <w:rFonts w:ascii="Arial" w:hAnsi="Arial" w:cs="Arial"/>
        </w:rPr>
        <w:t xml:space="preserve"> court reasoned that the</w:t>
      </w:r>
      <w:r>
        <w:rPr>
          <w:rFonts w:ascii="Arial" w:hAnsi="Arial" w:cs="Arial"/>
        </w:rPr>
        <w:t xml:space="preserve"> </w:t>
      </w:r>
      <w:r w:rsidR="007E101A">
        <w:rPr>
          <w:rFonts w:ascii="Arial" w:hAnsi="Arial" w:cs="Arial"/>
        </w:rPr>
        <w:t xml:space="preserve">defendant failed to show materiality because </w:t>
      </w:r>
      <w:r>
        <w:rPr>
          <w:rFonts w:ascii="Arial" w:hAnsi="Arial" w:cs="Arial"/>
        </w:rPr>
        <w:t>presence of third-party DNA would not tend to undercut the credibility of eyewitness testimony</w:t>
      </w:r>
      <w:r w:rsidR="001F6916" w:rsidRPr="001F6916">
        <w:rPr>
          <w:rFonts w:ascii="Arial" w:hAnsi="Arial" w:cs="Arial"/>
        </w:rPr>
        <w:t xml:space="preserve"> </w:t>
      </w:r>
      <w:r w:rsidR="001F6916">
        <w:rPr>
          <w:rFonts w:ascii="Arial" w:hAnsi="Arial" w:cs="Arial"/>
        </w:rPr>
        <w:t>identifying the defendant</w:t>
      </w:r>
      <w:r>
        <w:rPr>
          <w:rFonts w:ascii="Arial" w:hAnsi="Arial" w:cs="Arial"/>
        </w:rPr>
        <w:t xml:space="preserve"> </w:t>
      </w:r>
      <w:r w:rsidR="00D84598">
        <w:rPr>
          <w:rFonts w:ascii="Arial" w:hAnsi="Arial" w:cs="Arial"/>
        </w:rPr>
        <w:t>offered by the State</w:t>
      </w:r>
      <w:r>
        <w:rPr>
          <w:rFonts w:ascii="Arial" w:hAnsi="Arial" w:cs="Arial"/>
        </w:rPr>
        <w:t xml:space="preserve"> at the time of </w:t>
      </w:r>
      <w:r w:rsidR="00D84598">
        <w:rPr>
          <w:rFonts w:ascii="Arial" w:hAnsi="Arial" w:cs="Arial"/>
        </w:rPr>
        <w:t>the</w:t>
      </w:r>
      <w:r>
        <w:rPr>
          <w:rFonts w:ascii="Arial" w:hAnsi="Arial" w:cs="Arial"/>
        </w:rPr>
        <w:t xml:space="preserve"> plea</w:t>
      </w:r>
      <w:r w:rsidR="00D84598">
        <w:rPr>
          <w:rFonts w:ascii="Arial" w:hAnsi="Arial" w:cs="Arial"/>
        </w:rPr>
        <w:t>, nor would it tend to exculpate the defendant as the eyewitness testified to having seen another man leave the scene along with the defendant)</w:t>
      </w:r>
      <w:r>
        <w:rPr>
          <w:rFonts w:ascii="Arial" w:hAnsi="Arial" w:cs="Arial"/>
        </w:rPr>
        <w:t xml:space="preserve"> </w:t>
      </w:r>
    </w:p>
    <w:p w14:paraId="74BF16BB" w14:textId="57B24E8B" w:rsidR="008934AE" w:rsidRDefault="008934AE" w:rsidP="00A2284D">
      <w:pPr>
        <w:pStyle w:val="ListParagraph"/>
        <w:spacing w:after="0" w:line="240" w:lineRule="auto"/>
        <w:ind w:left="2160" w:firstLine="720"/>
        <w:rPr>
          <w:rFonts w:ascii="Arial" w:hAnsi="Arial" w:cs="Arial"/>
        </w:rPr>
      </w:pPr>
    </w:p>
    <w:p w14:paraId="6E7C12F2" w14:textId="1D250D89" w:rsidR="007E101A" w:rsidRPr="007E101A" w:rsidRDefault="007E101A" w:rsidP="00EC5FEB">
      <w:pPr>
        <w:pStyle w:val="ListParagraph"/>
        <w:spacing w:after="0" w:line="240" w:lineRule="auto"/>
        <w:ind w:left="2880"/>
        <w:rPr>
          <w:rFonts w:ascii="Arial" w:hAnsi="Arial" w:cs="Arial"/>
        </w:rPr>
      </w:pPr>
      <w:r>
        <w:rPr>
          <w:rFonts w:ascii="Arial" w:hAnsi="Arial" w:cs="Arial"/>
          <w:i/>
          <w:iCs/>
        </w:rPr>
        <w:t>State v. Lane</w:t>
      </w:r>
      <w:r>
        <w:rPr>
          <w:rFonts w:ascii="Arial" w:hAnsi="Arial" w:cs="Arial"/>
        </w:rPr>
        <w:t xml:space="preserve">, 370 N.C. 508 (2018) (the defendant failed to prove materiality where he was convicted of </w:t>
      </w:r>
      <w:r w:rsidR="003D7F31">
        <w:rPr>
          <w:rFonts w:ascii="Arial" w:hAnsi="Arial" w:cs="Arial"/>
        </w:rPr>
        <w:t xml:space="preserve">and sentenced to death for </w:t>
      </w:r>
      <w:r>
        <w:rPr>
          <w:rFonts w:ascii="Arial" w:hAnsi="Arial" w:cs="Arial"/>
        </w:rPr>
        <w:t>murder, kidnapping, and child sex offenses; the defendant sought testing of hair samples found in the trash bag in which the victim’s body was discovered; the court reasoned that the defendant failed to show materiality</w:t>
      </w:r>
      <w:r w:rsidR="003D7F31">
        <w:rPr>
          <w:rFonts w:ascii="Arial" w:hAnsi="Arial" w:cs="Arial"/>
        </w:rPr>
        <w:t xml:space="preserve"> as to the jury’s determination of guilt</w:t>
      </w:r>
      <w:r w:rsidR="00BC528F">
        <w:rPr>
          <w:rFonts w:ascii="Arial" w:hAnsi="Arial" w:cs="Arial"/>
        </w:rPr>
        <w:t>, (1)</w:t>
      </w:r>
      <w:r>
        <w:rPr>
          <w:rFonts w:ascii="Arial" w:hAnsi="Arial" w:cs="Arial"/>
        </w:rPr>
        <w:t xml:space="preserve"> because of the overwhelming evidence against him at trial, including his confession</w:t>
      </w:r>
      <w:r w:rsidR="00BC528F">
        <w:rPr>
          <w:rFonts w:ascii="Arial" w:hAnsi="Arial" w:cs="Arial"/>
        </w:rPr>
        <w:t>, physical evidence connecting the victim to the defendant’s home, and eyewitness testimony connecting the defendant’s moped to the disposal of the victim’s body, and (2) because even if testing revealed that the hairs did not belong to the defendant</w:t>
      </w:r>
      <w:r w:rsidR="003D7F31">
        <w:rPr>
          <w:rFonts w:ascii="Arial" w:hAnsi="Arial" w:cs="Arial"/>
        </w:rPr>
        <w:t xml:space="preserve"> or the victim</w:t>
      </w:r>
      <w:r w:rsidR="00BC528F">
        <w:rPr>
          <w:rFonts w:ascii="Arial" w:hAnsi="Arial" w:cs="Arial"/>
        </w:rPr>
        <w:t xml:space="preserve"> that result would not exculpate him because of the possibility that the victim’s body and the hairs came to be in the trash bag at different times</w:t>
      </w:r>
      <w:r w:rsidR="003D7F31">
        <w:rPr>
          <w:rFonts w:ascii="Arial" w:hAnsi="Arial" w:cs="Arial"/>
        </w:rPr>
        <w:t>; as to the punishment phase, the defendant failed to show materiality because the aggravating factors found by the jury still would exist even if an additional perpetrator was involved in the crimes</w:t>
      </w:r>
      <w:r w:rsidR="00BC528F">
        <w:rPr>
          <w:rFonts w:ascii="Arial" w:hAnsi="Arial" w:cs="Arial"/>
        </w:rPr>
        <w:t>)</w:t>
      </w:r>
    </w:p>
    <w:p w14:paraId="5868A71B" w14:textId="77777777" w:rsidR="007E101A" w:rsidRPr="00C4160B" w:rsidRDefault="007E101A" w:rsidP="00A2284D">
      <w:pPr>
        <w:pStyle w:val="ListParagraph"/>
        <w:spacing w:after="0" w:line="240" w:lineRule="auto"/>
        <w:ind w:left="2160" w:firstLine="720"/>
        <w:rPr>
          <w:rFonts w:ascii="Arial" w:hAnsi="Arial" w:cs="Arial"/>
        </w:rPr>
      </w:pPr>
    </w:p>
    <w:p w14:paraId="6FA369A0" w14:textId="581E4B5F" w:rsidR="006F7392" w:rsidRPr="00C4160B" w:rsidRDefault="0046421E" w:rsidP="00A2284D">
      <w:pPr>
        <w:pStyle w:val="ListParagraph"/>
        <w:spacing w:after="0" w:line="240" w:lineRule="auto"/>
        <w:ind w:left="2880"/>
        <w:rPr>
          <w:rFonts w:ascii="Arial" w:hAnsi="Arial" w:cs="Arial"/>
        </w:rPr>
      </w:pPr>
      <w:r w:rsidRPr="00C4160B">
        <w:rPr>
          <w:rFonts w:ascii="Arial" w:hAnsi="Arial" w:cs="Arial"/>
          <w:i/>
        </w:rPr>
        <w:t>State v. Floyd</w:t>
      </w:r>
      <w:r w:rsidRPr="00C4160B">
        <w:rPr>
          <w:rFonts w:ascii="Arial" w:hAnsi="Arial" w:cs="Arial"/>
        </w:rPr>
        <w:t xml:space="preserve">, </w:t>
      </w:r>
      <w:r w:rsidR="00100EDF">
        <w:rPr>
          <w:rFonts w:ascii="Arial" w:hAnsi="Arial" w:cs="Arial"/>
        </w:rPr>
        <w:t>237</w:t>
      </w:r>
      <w:r w:rsidRPr="00C4160B">
        <w:rPr>
          <w:rFonts w:ascii="Arial" w:hAnsi="Arial" w:cs="Arial"/>
        </w:rPr>
        <w:t xml:space="preserve"> N.C. App. </w:t>
      </w:r>
      <w:r w:rsidR="00100EDF">
        <w:rPr>
          <w:rFonts w:ascii="Arial" w:hAnsi="Arial" w:cs="Arial"/>
        </w:rPr>
        <w:t>300</w:t>
      </w:r>
      <w:r w:rsidRPr="00C4160B">
        <w:rPr>
          <w:rFonts w:ascii="Arial" w:hAnsi="Arial" w:cs="Arial"/>
        </w:rPr>
        <w:t xml:space="preserve"> (2014)</w:t>
      </w:r>
      <w:r w:rsidR="006F7392" w:rsidRPr="00C4160B">
        <w:rPr>
          <w:rFonts w:ascii="Arial" w:hAnsi="Arial" w:cs="Arial"/>
        </w:rPr>
        <w:t xml:space="preserve"> (the defendant failed to prove materiality where he was convicted of murdering his wife, whose body was discovered in a utility shop behind their home; the defendant sought DNA testing of five cigarettes and a beer can found in the utility shop, arguing that Karen Fowler, with whom the defendant had an affair, or her sons committed the murder; the defendant asserted that testing may show the presence of DNA from Fowler or her sons at the scene; the defendant failed to prove the materiality of </w:t>
      </w:r>
      <w:r w:rsidR="00526224" w:rsidRPr="00C4160B">
        <w:rPr>
          <w:rFonts w:ascii="Arial" w:hAnsi="Arial" w:cs="Arial"/>
        </w:rPr>
        <w:t xml:space="preserve">the </w:t>
      </w:r>
      <w:r w:rsidR="006F7392" w:rsidRPr="00C4160B">
        <w:rPr>
          <w:rFonts w:ascii="Arial" w:hAnsi="Arial" w:cs="Arial"/>
        </w:rPr>
        <w:t>sought-for evidence, given the overwhelming evidence of guilt and the fact that DNA testing would not reveal who brought the items into the utility shop or when they were left there; the court noted: “[w]</w:t>
      </w:r>
      <w:proofErr w:type="spellStart"/>
      <w:r w:rsidR="006F7392" w:rsidRPr="00C4160B">
        <w:rPr>
          <w:rFonts w:ascii="Arial" w:hAnsi="Arial" w:cs="Arial"/>
        </w:rPr>
        <w:t>hile</w:t>
      </w:r>
      <w:proofErr w:type="spellEnd"/>
      <w:r w:rsidR="006F7392" w:rsidRPr="00C4160B">
        <w:rPr>
          <w:rFonts w:ascii="Arial" w:hAnsi="Arial" w:cs="Arial"/>
        </w:rPr>
        <w:t xml:space="preserve"> the results from DNA testing might be considered ‘relevant,’ had </w:t>
      </w:r>
      <w:r w:rsidR="006F7392" w:rsidRPr="00C4160B">
        <w:rPr>
          <w:rFonts w:ascii="Arial" w:hAnsi="Arial" w:cs="Arial"/>
        </w:rPr>
        <w:lastRenderedPageBreak/>
        <w:t>they been offered at trial, they are not ‘material’ in this postconviction setting”).</w:t>
      </w:r>
    </w:p>
    <w:p w14:paraId="6B1809D2" w14:textId="77777777" w:rsidR="006F7392" w:rsidRPr="00C4160B" w:rsidRDefault="006F7392" w:rsidP="00A2284D">
      <w:pPr>
        <w:pStyle w:val="ListParagraph"/>
        <w:spacing w:after="0" w:line="240" w:lineRule="auto"/>
        <w:ind w:left="2880"/>
        <w:rPr>
          <w:rFonts w:ascii="Arial" w:hAnsi="Arial" w:cs="Arial"/>
          <w:i/>
        </w:rPr>
      </w:pPr>
    </w:p>
    <w:p w14:paraId="143DB04F" w14:textId="743C966C" w:rsidR="00EF5E87" w:rsidRPr="00C4160B" w:rsidRDefault="0046421E" w:rsidP="00A2284D">
      <w:pPr>
        <w:pStyle w:val="ListParagraph"/>
        <w:spacing w:after="0" w:line="240" w:lineRule="auto"/>
        <w:ind w:left="2880"/>
        <w:rPr>
          <w:rFonts w:ascii="Arial" w:hAnsi="Arial" w:cs="Arial"/>
        </w:rPr>
      </w:pPr>
      <w:r w:rsidRPr="00C4160B">
        <w:rPr>
          <w:rFonts w:ascii="Arial" w:hAnsi="Arial" w:cs="Arial"/>
          <w:i/>
        </w:rPr>
        <w:t>State v. Hewson</w:t>
      </w:r>
      <w:r w:rsidRPr="00C4160B">
        <w:rPr>
          <w:rFonts w:ascii="Arial" w:hAnsi="Arial" w:cs="Arial"/>
        </w:rPr>
        <w:t>, 220 N.C. App. 117, 122-24 (2012)</w:t>
      </w:r>
      <w:r w:rsidR="00B140C1" w:rsidRPr="00C4160B">
        <w:rPr>
          <w:rFonts w:ascii="Arial" w:hAnsi="Arial" w:cs="Arial"/>
        </w:rPr>
        <w:t xml:space="preserve"> </w:t>
      </w:r>
      <w:r w:rsidR="001E244A" w:rsidRPr="00C4160B">
        <w:rPr>
          <w:rFonts w:ascii="Arial" w:hAnsi="Arial" w:cs="Arial"/>
        </w:rPr>
        <w:t>(in this case involving murder and other charges, t</w:t>
      </w:r>
      <w:r w:rsidR="00B140C1" w:rsidRPr="00C4160B">
        <w:rPr>
          <w:rFonts w:ascii="Arial" w:hAnsi="Arial" w:cs="Arial"/>
        </w:rPr>
        <w:t xml:space="preserve">he trial court did not err by denying the defendant’s motion for DNA testing; </w:t>
      </w:r>
      <w:r w:rsidR="001E244A" w:rsidRPr="00C4160B">
        <w:rPr>
          <w:rFonts w:ascii="Arial" w:hAnsi="Arial" w:cs="Arial"/>
        </w:rPr>
        <w:t>t</w:t>
      </w:r>
      <w:r w:rsidR="00B140C1" w:rsidRPr="00C4160B">
        <w:rPr>
          <w:rFonts w:ascii="Arial" w:hAnsi="Arial" w:cs="Arial"/>
        </w:rPr>
        <w:t xml:space="preserve">he defendant argued that </w:t>
      </w:r>
      <w:r w:rsidR="00C40ABA" w:rsidRPr="00C4160B">
        <w:rPr>
          <w:rFonts w:ascii="Arial" w:hAnsi="Arial" w:cs="Arial"/>
        </w:rPr>
        <w:t xml:space="preserve">the State’s evidence at trial put him outside the house when the shots were fired, and this fact supported its allegation of shooting into occupied property as an underlying felony for felony murder and its theory of premeditation and deliberation; the defendant asserted that </w:t>
      </w:r>
      <w:r w:rsidR="00B140C1" w:rsidRPr="00C4160B">
        <w:rPr>
          <w:rFonts w:ascii="Arial" w:hAnsi="Arial" w:cs="Arial"/>
        </w:rPr>
        <w:t>blood on his pants was never tested</w:t>
      </w:r>
      <w:r w:rsidR="00C40ABA" w:rsidRPr="00C4160B">
        <w:rPr>
          <w:rFonts w:ascii="Arial" w:hAnsi="Arial" w:cs="Arial"/>
        </w:rPr>
        <w:t xml:space="preserve">; he further contended that </w:t>
      </w:r>
      <w:r w:rsidR="00B140C1" w:rsidRPr="00C4160B">
        <w:rPr>
          <w:rFonts w:ascii="Arial" w:hAnsi="Arial" w:cs="Arial"/>
        </w:rPr>
        <w:t>if DNA evidence indicate</w:t>
      </w:r>
      <w:r w:rsidR="00444049" w:rsidRPr="00C4160B">
        <w:rPr>
          <w:rFonts w:ascii="Arial" w:hAnsi="Arial" w:cs="Arial"/>
        </w:rPr>
        <w:t>d</w:t>
      </w:r>
      <w:r w:rsidR="00B140C1" w:rsidRPr="00C4160B">
        <w:rPr>
          <w:rFonts w:ascii="Arial" w:hAnsi="Arial" w:cs="Arial"/>
        </w:rPr>
        <w:t xml:space="preserve"> the blood belonged to the victim, the defendant could argue that he was in close proximity to the victim, that he did not shoot from outside the residence, and that he would have the basis for a heat-of-passion defense to first-degree murder</w:t>
      </w:r>
      <w:r w:rsidR="001E244A" w:rsidRPr="00C4160B">
        <w:rPr>
          <w:rFonts w:ascii="Arial" w:hAnsi="Arial" w:cs="Arial"/>
        </w:rPr>
        <w:t xml:space="preserve">; the </w:t>
      </w:r>
      <w:r w:rsidR="00B140C1" w:rsidRPr="00C4160B">
        <w:rPr>
          <w:rFonts w:ascii="Arial" w:hAnsi="Arial" w:cs="Arial"/>
        </w:rPr>
        <w:t>court rejected this argument, concluding that the evidence submitted by defendant in support of his motion supported the jury’s verdict and did not support a jury instruction on the heat-of-passion defense</w:t>
      </w:r>
      <w:r w:rsidR="001E244A" w:rsidRPr="00C4160B">
        <w:rPr>
          <w:rFonts w:ascii="Arial" w:hAnsi="Arial" w:cs="Arial"/>
        </w:rPr>
        <w:t>, noting:</w:t>
      </w:r>
      <w:r w:rsidR="00B140C1" w:rsidRPr="00C4160B">
        <w:rPr>
          <w:rFonts w:ascii="Arial" w:hAnsi="Arial" w:cs="Arial"/>
        </w:rPr>
        <w:t xml:space="preserve"> “Defendant’s contention that he was in close proximity to the victim at some point, even if supported by DNA evidence, does not minimize the significance of or otherwise refute the substantial evidence that defendant fired a gun into occupied property and that the victim suffered fatal gunshot wounds as a result.”)</w:t>
      </w:r>
      <w:r w:rsidR="00BF32C1" w:rsidRPr="00C4160B">
        <w:rPr>
          <w:rFonts w:ascii="Arial" w:hAnsi="Arial" w:cs="Arial"/>
        </w:rPr>
        <w:t>.</w:t>
      </w:r>
    </w:p>
    <w:p w14:paraId="1DA17349" w14:textId="77777777" w:rsidR="00B140C1" w:rsidRPr="00C4160B" w:rsidRDefault="00C40ABA" w:rsidP="00A2284D">
      <w:pPr>
        <w:pStyle w:val="ListParagraph"/>
        <w:spacing w:after="0" w:line="240" w:lineRule="auto"/>
        <w:ind w:left="2160"/>
        <w:rPr>
          <w:rFonts w:ascii="Arial" w:hAnsi="Arial" w:cs="Arial"/>
        </w:rPr>
      </w:pPr>
      <w:r w:rsidRPr="00C4160B">
        <w:rPr>
          <w:rFonts w:ascii="Arial" w:hAnsi="Arial" w:cs="Arial"/>
        </w:rPr>
        <w:t xml:space="preserve"> </w:t>
      </w:r>
    </w:p>
    <w:p w14:paraId="55D06DEB" w14:textId="4588DDF9" w:rsidR="00465125" w:rsidRPr="00C4160B" w:rsidRDefault="00465125" w:rsidP="00A2284D">
      <w:pPr>
        <w:pStyle w:val="ListParagraph"/>
        <w:numPr>
          <w:ilvl w:val="3"/>
          <w:numId w:val="2"/>
        </w:numPr>
        <w:spacing w:after="0" w:line="240" w:lineRule="auto"/>
        <w:ind w:left="2160" w:hanging="720"/>
        <w:rPr>
          <w:rFonts w:ascii="Arial" w:hAnsi="Arial" w:cs="Arial"/>
          <w:b/>
        </w:rPr>
      </w:pPr>
      <w:r w:rsidRPr="00C4160B">
        <w:rPr>
          <w:rFonts w:ascii="Arial" w:hAnsi="Arial" w:cs="Arial"/>
          <w:b/>
        </w:rPr>
        <w:t xml:space="preserve">“Significantly More Accurate and Probative” or “Reasonable Probability of Contradicting Prior Test Results.” </w:t>
      </w:r>
      <w:r w:rsidR="00FB28CD">
        <w:rPr>
          <w:rFonts w:ascii="Arial" w:hAnsi="Arial" w:cs="Arial"/>
        </w:rPr>
        <w:t xml:space="preserve">In cases involving evidence that was tested previously, a </w:t>
      </w:r>
      <w:r w:rsidRPr="00C4160B">
        <w:rPr>
          <w:rFonts w:ascii="Arial" w:hAnsi="Arial" w:cs="Arial"/>
        </w:rPr>
        <w:t xml:space="preserve">mere conclusory statement that the requested testing is “significantly more accurate and probative of the identity of the perpetrator or accomplice or ha[s] a reasonable probability of contradicting prior test results” is insufficient to carry the defendant’s burden. </w:t>
      </w:r>
      <w:r w:rsidR="00757895">
        <w:rPr>
          <w:rFonts w:ascii="Arial" w:hAnsi="Arial" w:cs="Arial"/>
        </w:rPr>
        <w:t xml:space="preserve">State v. </w:t>
      </w:r>
      <w:r w:rsidR="0046421E" w:rsidRPr="00EC5FEB">
        <w:rPr>
          <w:rFonts w:ascii="Arial" w:hAnsi="Arial" w:cs="Arial"/>
          <w:iCs/>
        </w:rPr>
        <w:t>Collins</w:t>
      </w:r>
      <w:r w:rsidR="0046421E" w:rsidRPr="00C4160B">
        <w:rPr>
          <w:rFonts w:ascii="Arial" w:hAnsi="Arial" w:cs="Arial"/>
          <w:i/>
        </w:rPr>
        <w:t xml:space="preserve">, </w:t>
      </w:r>
      <w:r w:rsidR="00E13D9A">
        <w:rPr>
          <w:rFonts w:ascii="Arial" w:hAnsi="Arial" w:cs="Arial"/>
        </w:rPr>
        <w:t>234</w:t>
      </w:r>
      <w:r w:rsidR="0046421E" w:rsidRPr="00C4160B">
        <w:rPr>
          <w:rFonts w:ascii="Arial" w:hAnsi="Arial" w:cs="Arial"/>
        </w:rPr>
        <w:t xml:space="preserve"> N.C. App. </w:t>
      </w:r>
      <w:r w:rsidR="00757895">
        <w:rPr>
          <w:rFonts w:ascii="Arial" w:hAnsi="Arial" w:cs="Arial"/>
        </w:rPr>
        <w:t>398, 411-12 (2014)</w:t>
      </w:r>
      <w:r w:rsidR="00B342B3" w:rsidRPr="00C4160B">
        <w:rPr>
          <w:rFonts w:ascii="Arial" w:hAnsi="Arial" w:cs="Arial"/>
        </w:rPr>
        <w:t xml:space="preserve">. “Rather, the defendant must provide </w:t>
      </w:r>
      <w:r w:rsidR="00B342B3" w:rsidRPr="00C4160B">
        <w:rPr>
          <w:rFonts w:ascii="Arial" w:hAnsi="Arial" w:cs="Arial"/>
          <w:i/>
        </w:rPr>
        <w:t>specific reasons</w:t>
      </w:r>
      <w:r w:rsidR="00B342B3" w:rsidRPr="00C4160B">
        <w:rPr>
          <w:rFonts w:ascii="Arial" w:hAnsi="Arial" w:cs="Arial"/>
        </w:rPr>
        <w:t>”</w:t>
      </w:r>
      <w:r w:rsidR="00B342B3" w:rsidRPr="00C4160B">
        <w:rPr>
          <w:rFonts w:ascii="Arial" w:hAnsi="Arial" w:cs="Arial"/>
          <w:i/>
        </w:rPr>
        <w:t xml:space="preserve"> </w:t>
      </w:r>
      <w:r w:rsidR="00B342B3" w:rsidRPr="00C4160B">
        <w:rPr>
          <w:rFonts w:ascii="Arial" w:hAnsi="Arial" w:cs="Arial"/>
        </w:rPr>
        <w:t xml:space="preserve">why this is the case. </w:t>
      </w:r>
      <w:r w:rsidR="0046421E" w:rsidRPr="00C4160B">
        <w:rPr>
          <w:rFonts w:ascii="Arial" w:hAnsi="Arial" w:cs="Arial"/>
          <w:i/>
        </w:rPr>
        <w:t>Id.</w:t>
      </w:r>
      <w:r w:rsidR="00B342B3" w:rsidRPr="00C4160B">
        <w:rPr>
          <w:rFonts w:ascii="Arial" w:hAnsi="Arial" w:cs="Arial"/>
          <w:i/>
        </w:rPr>
        <w:t xml:space="preserve"> </w:t>
      </w:r>
    </w:p>
    <w:p w14:paraId="3815A544" w14:textId="77777777" w:rsidR="00FB6E7F" w:rsidRPr="00C4160B" w:rsidRDefault="00FB6E7F">
      <w:pPr>
        <w:pStyle w:val="ListParagraph"/>
        <w:spacing w:after="0" w:line="240" w:lineRule="auto"/>
        <w:rPr>
          <w:rFonts w:ascii="Arial" w:hAnsi="Arial" w:cs="Arial"/>
        </w:rPr>
      </w:pPr>
    </w:p>
    <w:p w14:paraId="3171F3D3" w14:textId="45739C46" w:rsidR="00D81CC5" w:rsidRPr="00C4160B" w:rsidRDefault="00D81CC5" w:rsidP="00A2284D">
      <w:pPr>
        <w:pStyle w:val="ListParagraph"/>
        <w:numPr>
          <w:ilvl w:val="1"/>
          <w:numId w:val="2"/>
        </w:numPr>
        <w:spacing w:line="240" w:lineRule="auto"/>
        <w:rPr>
          <w:rFonts w:ascii="Arial" w:hAnsi="Arial" w:cs="Arial"/>
        </w:rPr>
      </w:pPr>
      <w:bookmarkStart w:id="21" w:name="_Toc416436058"/>
      <w:bookmarkStart w:id="22" w:name="_Toc416436136"/>
      <w:r w:rsidRPr="00C4160B">
        <w:rPr>
          <w:rStyle w:val="Heading2Char"/>
        </w:rPr>
        <w:t>Order</w:t>
      </w:r>
      <w:bookmarkEnd w:id="21"/>
      <w:bookmarkEnd w:id="22"/>
      <w:r w:rsidRPr="00C4160B">
        <w:rPr>
          <w:rFonts w:ascii="Arial" w:hAnsi="Arial" w:cs="Arial"/>
          <w:b/>
        </w:rPr>
        <w:t xml:space="preserve">. </w:t>
      </w:r>
      <w:r w:rsidRPr="00C4160B">
        <w:rPr>
          <w:rFonts w:ascii="Arial" w:hAnsi="Arial" w:cs="Arial"/>
        </w:rPr>
        <w:t xml:space="preserve">When ruling on the defendant’s motion, the statute does not </w:t>
      </w:r>
      <w:r w:rsidR="00BE0CA0">
        <w:rPr>
          <w:rFonts w:ascii="Arial" w:hAnsi="Arial" w:cs="Arial"/>
        </w:rPr>
        <w:t xml:space="preserve">explicitly </w:t>
      </w:r>
      <w:r w:rsidRPr="00C4160B">
        <w:rPr>
          <w:rFonts w:ascii="Arial" w:hAnsi="Arial" w:cs="Arial"/>
        </w:rPr>
        <w:t xml:space="preserve">require the trial court to make </w:t>
      </w:r>
      <w:r w:rsidR="00BE0CA0">
        <w:rPr>
          <w:rFonts w:ascii="Arial" w:hAnsi="Arial" w:cs="Arial"/>
        </w:rPr>
        <w:t xml:space="preserve">specific </w:t>
      </w:r>
      <w:r w:rsidRPr="00C4160B">
        <w:rPr>
          <w:rFonts w:ascii="Arial" w:hAnsi="Arial" w:cs="Arial"/>
        </w:rPr>
        <w:t xml:space="preserve">findings of fact. </w:t>
      </w:r>
      <w:r w:rsidR="0046421E" w:rsidRPr="00C4160B">
        <w:rPr>
          <w:rFonts w:ascii="Arial" w:hAnsi="Arial" w:cs="Arial"/>
          <w:i/>
        </w:rPr>
        <w:t>Floyd</w:t>
      </w:r>
      <w:r w:rsidR="0046421E" w:rsidRPr="00C4160B">
        <w:rPr>
          <w:rFonts w:ascii="Arial" w:hAnsi="Arial" w:cs="Arial"/>
        </w:rPr>
        <w:t xml:space="preserve">, </w:t>
      </w:r>
      <w:r w:rsidR="00E13D9A">
        <w:rPr>
          <w:rFonts w:ascii="Arial" w:hAnsi="Arial" w:cs="Arial"/>
        </w:rPr>
        <w:t>23</w:t>
      </w:r>
      <w:r w:rsidR="009373DA">
        <w:rPr>
          <w:rFonts w:ascii="Arial" w:hAnsi="Arial" w:cs="Arial"/>
        </w:rPr>
        <w:t>7</w:t>
      </w:r>
      <w:r w:rsidR="0046421E" w:rsidRPr="00C4160B">
        <w:rPr>
          <w:rFonts w:ascii="Arial" w:hAnsi="Arial" w:cs="Arial"/>
        </w:rPr>
        <w:t xml:space="preserve"> N.C. App. at </w:t>
      </w:r>
      <w:r w:rsidR="00E13D9A">
        <w:rPr>
          <w:rFonts w:ascii="Arial" w:hAnsi="Arial" w:cs="Arial"/>
        </w:rPr>
        <w:t>302</w:t>
      </w:r>
      <w:r w:rsidRPr="00C4160B">
        <w:rPr>
          <w:rFonts w:ascii="Arial" w:hAnsi="Arial" w:cs="Arial"/>
        </w:rPr>
        <w:t xml:space="preserve">. As our courts have stated: “A trial court's order is sufficient so long as it states that the court reviewed the defendant's motion, cites the statutory requirements for granting the motion, and concludes that the defendant failed to show that all the required conditions were met.” </w:t>
      </w:r>
      <w:r w:rsidR="0046421E" w:rsidRPr="00C4160B">
        <w:rPr>
          <w:rFonts w:ascii="Arial" w:hAnsi="Arial" w:cs="Arial"/>
          <w:i/>
        </w:rPr>
        <w:t>Id.</w:t>
      </w:r>
      <w:r w:rsidRPr="00C4160B">
        <w:rPr>
          <w:rFonts w:ascii="Arial" w:hAnsi="Arial" w:cs="Arial"/>
        </w:rPr>
        <w:t xml:space="preserve"> </w:t>
      </w:r>
      <w:r w:rsidR="00BE0CA0">
        <w:rPr>
          <w:rFonts w:ascii="Arial" w:hAnsi="Arial" w:cs="Arial"/>
        </w:rPr>
        <w:t>Regardless</w:t>
      </w:r>
      <w:r w:rsidR="00A32BDC">
        <w:rPr>
          <w:rFonts w:ascii="Arial" w:hAnsi="Arial" w:cs="Arial"/>
        </w:rPr>
        <w:t xml:space="preserve"> of th</w:t>
      </w:r>
      <w:r w:rsidR="000A6BE2">
        <w:rPr>
          <w:rFonts w:ascii="Arial" w:hAnsi="Arial" w:cs="Arial"/>
        </w:rPr>
        <w:t>e</w:t>
      </w:r>
      <w:r w:rsidR="00A32BDC">
        <w:rPr>
          <w:rFonts w:ascii="Arial" w:hAnsi="Arial" w:cs="Arial"/>
        </w:rPr>
        <w:t xml:space="preserve"> minimal requirement for a sufficient order</w:t>
      </w:r>
      <w:r w:rsidR="00BE0CA0">
        <w:rPr>
          <w:rFonts w:ascii="Arial" w:hAnsi="Arial" w:cs="Arial"/>
        </w:rPr>
        <w:t xml:space="preserve">, </w:t>
      </w:r>
      <w:r w:rsidR="002254F0">
        <w:rPr>
          <w:rFonts w:ascii="Arial" w:hAnsi="Arial" w:cs="Arial"/>
        </w:rPr>
        <w:t xml:space="preserve">trial courts </w:t>
      </w:r>
      <w:r w:rsidR="009E6CB9">
        <w:rPr>
          <w:rFonts w:ascii="Arial" w:hAnsi="Arial" w:cs="Arial"/>
        </w:rPr>
        <w:t>often</w:t>
      </w:r>
      <w:r w:rsidR="002254F0">
        <w:rPr>
          <w:rFonts w:ascii="Arial" w:hAnsi="Arial" w:cs="Arial"/>
        </w:rPr>
        <w:t xml:space="preserve"> do make</w:t>
      </w:r>
      <w:r w:rsidR="000A6BE2">
        <w:rPr>
          <w:rFonts w:ascii="Arial" w:hAnsi="Arial" w:cs="Arial"/>
        </w:rPr>
        <w:t xml:space="preserve"> </w:t>
      </w:r>
      <w:r w:rsidR="002254F0">
        <w:rPr>
          <w:rFonts w:ascii="Arial" w:hAnsi="Arial" w:cs="Arial"/>
        </w:rPr>
        <w:t>findings of fact when ruling on motions for testing</w:t>
      </w:r>
      <w:r w:rsidR="000412CD">
        <w:rPr>
          <w:rFonts w:ascii="Arial" w:hAnsi="Arial" w:cs="Arial"/>
        </w:rPr>
        <w:t>.</w:t>
      </w:r>
      <w:r w:rsidR="002254F0">
        <w:rPr>
          <w:rFonts w:ascii="Arial" w:hAnsi="Arial" w:cs="Arial"/>
        </w:rPr>
        <w:t xml:space="preserve"> </w:t>
      </w:r>
      <w:r w:rsidR="000412CD">
        <w:rPr>
          <w:rFonts w:ascii="Arial" w:hAnsi="Arial" w:cs="Arial"/>
          <w:i/>
          <w:iCs/>
        </w:rPr>
        <w:t>S</w:t>
      </w:r>
      <w:r w:rsidR="002254F0">
        <w:rPr>
          <w:rFonts w:ascii="Arial" w:hAnsi="Arial" w:cs="Arial"/>
          <w:i/>
          <w:iCs/>
        </w:rPr>
        <w:t>ee, e.g.</w:t>
      </w:r>
      <w:r w:rsidR="002254F0">
        <w:rPr>
          <w:rFonts w:ascii="Arial" w:hAnsi="Arial" w:cs="Arial"/>
        </w:rPr>
        <w:t xml:space="preserve">, </w:t>
      </w:r>
      <w:r w:rsidR="0047171D">
        <w:rPr>
          <w:rFonts w:ascii="Arial" w:hAnsi="Arial" w:cs="Arial"/>
          <w:i/>
          <w:iCs/>
        </w:rPr>
        <w:t>Lane</w:t>
      </w:r>
      <w:r w:rsidR="0047171D">
        <w:rPr>
          <w:rFonts w:ascii="Arial" w:hAnsi="Arial" w:cs="Arial"/>
        </w:rPr>
        <w:t xml:space="preserve">, 370 N.C. at 519-20 (noting that trial court made multiple findings of fact related to its conclusion that the defendant had failed to demonstrate materiality of testing); </w:t>
      </w:r>
      <w:r w:rsidR="002254F0">
        <w:rPr>
          <w:rFonts w:ascii="Arial" w:hAnsi="Arial" w:cs="Arial"/>
          <w:i/>
          <w:iCs/>
        </w:rPr>
        <w:t>Byers</w:t>
      </w:r>
      <w:r w:rsidR="002254F0">
        <w:rPr>
          <w:rFonts w:ascii="Arial" w:hAnsi="Arial" w:cs="Arial"/>
        </w:rPr>
        <w:t xml:space="preserve">, 375 N.C. at 400 (trial court did not err in its finding that evidence against the defendant was “overwhelming” </w:t>
      </w:r>
      <w:r w:rsidR="000A6BE2">
        <w:rPr>
          <w:rFonts w:ascii="Arial" w:hAnsi="Arial" w:cs="Arial"/>
        </w:rPr>
        <w:t>which supported its</w:t>
      </w:r>
      <w:r w:rsidR="00A32BDC">
        <w:rPr>
          <w:rFonts w:ascii="Arial" w:hAnsi="Arial" w:cs="Arial"/>
        </w:rPr>
        <w:t xml:space="preserve"> </w:t>
      </w:r>
      <w:r w:rsidR="002254F0">
        <w:rPr>
          <w:rFonts w:ascii="Arial" w:hAnsi="Arial" w:cs="Arial"/>
        </w:rPr>
        <w:t>conclu</w:t>
      </w:r>
      <w:r w:rsidR="00A32BDC">
        <w:rPr>
          <w:rFonts w:ascii="Arial" w:hAnsi="Arial" w:cs="Arial"/>
        </w:rPr>
        <w:t>sion</w:t>
      </w:r>
      <w:r w:rsidR="002254F0">
        <w:rPr>
          <w:rFonts w:ascii="Arial" w:hAnsi="Arial" w:cs="Arial"/>
        </w:rPr>
        <w:t xml:space="preserve"> that </w:t>
      </w:r>
      <w:r w:rsidR="000A6BE2">
        <w:rPr>
          <w:rFonts w:ascii="Arial" w:hAnsi="Arial" w:cs="Arial"/>
        </w:rPr>
        <w:t>the defendant</w:t>
      </w:r>
      <w:r w:rsidR="002254F0">
        <w:rPr>
          <w:rFonts w:ascii="Arial" w:hAnsi="Arial" w:cs="Arial"/>
        </w:rPr>
        <w:t xml:space="preserve"> had failed to demonstrate materiality of testing)</w:t>
      </w:r>
      <w:r w:rsidR="000A6BE2">
        <w:rPr>
          <w:rFonts w:ascii="Arial" w:hAnsi="Arial" w:cs="Arial"/>
        </w:rPr>
        <w:t>. As noted in Section XI. below,</w:t>
      </w:r>
      <w:r w:rsidR="000412CD">
        <w:rPr>
          <w:rFonts w:ascii="Arial" w:hAnsi="Arial" w:cs="Arial"/>
        </w:rPr>
        <w:t xml:space="preserve"> on appeal</w:t>
      </w:r>
      <w:r w:rsidR="000A6BE2">
        <w:rPr>
          <w:rFonts w:ascii="Arial" w:hAnsi="Arial" w:cs="Arial"/>
        </w:rPr>
        <w:t xml:space="preserve"> whatever findings of fact a trial court makes </w:t>
      </w:r>
      <w:r w:rsidR="000412CD">
        <w:rPr>
          <w:rFonts w:ascii="Arial" w:hAnsi="Arial" w:cs="Arial"/>
        </w:rPr>
        <w:t xml:space="preserve">in denying a </w:t>
      </w:r>
      <w:r w:rsidR="00405008">
        <w:rPr>
          <w:rFonts w:ascii="Arial" w:hAnsi="Arial" w:cs="Arial"/>
        </w:rPr>
        <w:t xml:space="preserve">motion for </w:t>
      </w:r>
      <w:r w:rsidR="000412CD">
        <w:rPr>
          <w:rFonts w:ascii="Arial" w:hAnsi="Arial" w:cs="Arial"/>
        </w:rPr>
        <w:t xml:space="preserve">DNA testing are reviewed for abuse of discretion and conclusions of law are reviewed </w:t>
      </w:r>
      <w:r w:rsidR="000412CD" w:rsidRPr="001C3E69">
        <w:rPr>
          <w:rFonts w:ascii="Arial" w:hAnsi="Arial" w:cs="Arial"/>
          <w:i/>
          <w:iCs/>
        </w:rPr>
        <w:t>de novo</w:t>
      </w:r>
      <w:r w:rsidR="000412CD">
        <w:rPr>
          <w:rFonts w:ascii="Arial" w:hAnsi="Arial" w:cs="Arial"/>
        </w:rPr>
        <w:t xml:space="preserve">. </w:t>
      </w:r>
    </w:p>
    <w:p w14:paraId="7BA3C27C" w14:textId="77777777" w:rsidR="00D81CC5" w:rsidRPr="00C4160B" w:rsidRDefault="00D81CC5">
      <w:pPr>
        <w:pStyle w:val="ListParagraph"/>
        <w:spacing w:after="0" w:line="240" w:lineRule="auto"/>
        <w:rPr>
          <w:rFonts w:ascii="Arial" w:hAnsi="Arial" w:cs="Arial"/>
        </w:rPr>
      </w:pPr>
    </w:p>
    <w:p w14:paraId="54691145" w14:textId="77777777" w:rsidR="00CC2985" w:rsidRPr="00C4160B" w:rsidRDefault="001E244A" w:rsidP="00A2284D">
      <w:pPr>
        <w:pStyle w:val="ListParagraph"/>
        <w:numPr>
          <w:ilvl w:val="0"/>
          <w:numId w:val="2"/>
        </w:numPr>
        <w:spacing w:after="0" w:line="240" w:lineRule="auto"/>
        <w:ind w:left="720"/>
        <w:rPr>
          <w:rFonts w:ascii="Arial" w:hAnsi="Arial" w:cs="Arial"/>
        </w:rPr>
      </w:pPr>
      <w:bookmarkStart w:id="23" w:name="_Toc384048564"/>
      <w:bookmarkStart w:id="24" w:name="_Toc416436059"/>
      <w:bookmarkStart w:id="25" w:name="_Toc416436137"/>
      <w:r w:rsidRPr="00C4160B">
        <w:rPr>
          <w:rStyle w:val="Heading1Char"/>
        </w:rPr>
        <w:lastRenderedPageBreak/>
        <w:t>Time F</w:t>
      </w:r>
      <w:r w:rsidR="00631846" w:rsidRPr="00C4160B">
        <w:rPr>
          <w:rStyle w:val="Heading1Char"/>
        </w:rPr>
        <w:t>or and Method of T</w:t>
      </w:r>
      <w:r w:rsidR="00EB7A44" w:rsidRPr="00C4160B">
        <w:rPr>
          <w:rStyle w:val="Heading1Char"/>
        </w:rPr>
        <w:t>esting</w:t>
      </w:r>
      <w:bookmarkEnd w:id="23"/>
      <w:bookmarkEnd w:id="24"/>
      <w:bookmarkEnd w:id="25"/>
      <w:r w:rsidR="00EB7A44" w:rsidRPr="00C4160B">
        <w:rPr>
          <w:rFonts w:ascii="Arial" w:hAnsi="Arial" w:cs="Arial"/>
          <w:b/>
        </w:rPr>
        <w:t>.</w:t>
      </w:r>
      <w:r w:rsidR="00EB7A44" w:rsidRPr="00C4160B">
        <w:rPr>
          <w:rFonts w:ascii="Arial" w:hAnsi="Arial" w:cs="Arial"/>
        </w:rPr>
        <w:t xml:space="preserve"> If testing is ordered, it must be done </w:t>
      </w:r>
      <w:r w:rsidR="00444049" w:rsidRPr="00C4160B">
        <w:rPr>
          <w:rFonts w:ascii="Arial" w:hAnsi="Arial" w:cs="Arial"/>
        </w:rPr>
        <w:t>“</w:t>
      </w:r>
      <w:r w:rsidR="00EB7A44" w:rsidRPr="00C4160B">
        <w:rPr>
          <w:rFonts w:ascii="Arial" w:hAnsi="Arial" w:cs="Arial"/>
        </w:rPr>
        <w:t>as soon as practicable.</w:t>
      </w:r>
      <w:r w:rsidR="00444049" w:rsidRPr="00C4160B">
        <w:rPr>
          <w:rFonts w:ascii="Arial" w:hAnsi="Arial" w:cs="Arial"/>
        </w:rPr>
        <w:t>”</w:t>
      </w:r>
      <w:r w:rsidR="00EB7A44" w:rsidRPr="00C4160B">
        <w:rPr>
          <w:rFonts w:ascii="Arial" w:hAnsi="Arial" w:cs="Arial"/>
        </w:rPr>
        <w:t xml:space="preserve"> </w:t>
      </w:r>
      <w:r w:rsidR="0046421E" w:rsidRPr="00C4160B">
        <w:rPr>
          <w:rFonts w:ascii="Arial" w:hAnsi="Arial" w:cs="Arial"/>
        </w:rPr>
        <w:t>G.S. 15A-269(e).</w:t>
      </w:r>
      <w:r w:rsidR="00CC2985" w:rsidRPr="00C4160B">
        <w:rPr>
          <w:rFonts w:ascii="Arial" w:hAnsi="Arial" w:cs="Arial"/>
        </w:rPr>
        <w:t xml:space="preserve"> </w:t>
      </w:r>
      <w:r w:rsidR="00EB7A44" w:rsidRPr="00C4160B">
        <w:rPr>
          <w:rFonts w:ascii="Arial" w:hAnsi="Arial" w:cs="Arial"/>
        </w:rPr>
        <w:t>The testing must be conducted by a</w:t>
      </w:r>
      <w:r w:rsidR="00794CFD" w:rsidRPr="00C4160B">
        <w:rPr>
          <w:rFonts w:ascii="Arial" w:hAnsi="Arial" w:cs="Arial"/>
        </w:rPr>
        <w:t xml:space="preserve"> NC State Crime Laboratory </w:t>
      </w:r>
      <w:r w:rsidR="00EB7A44" w:rsidRPr="00C4160B">
        <w:rPr>
          <w:rFonts w:ascii="Arial" w:hAnsi="Arial" w:cs="Arial"/>
        </w:rPr>
        <w:t xml:space="preserve">approved testing facility, mutually agreed upon by the parties and approved by the court. </w:t>
      </w:r>
      <w:r w:rsidR="0046421E" w:rsidRPr="00C4160B">
        <w:rPr>
          <w:rFonts w:ascii="Arial" w:hAnsi="Arial" w:cs="Arial"/>
        </w:rPr>
        <w:t>G.S. 15A-269(b1)</w:t>
      </w:r>
      <w:r w:rsidR="00794CFD" w:rsidRPr="00C4160B">
        <w:rPr>
          <w:rFonts w:ascii="Arial" w:hAnsi="Arial" w:cs="Arial"/>
        </w:rPr>
        <w:t xml:space="preserve">. </w:t>
      </w:r>
      <w:r w:rsidR="00EB7A44" w:rsidRPr="00C4160B">
        <w:rPr>
          <w:rFonts w:ascii="Arial" w:hAnsi="Arial" w:cs="Arial"/>
        </w:rPr>
        <w:t xml:space="preserve">If the parties cannot agree on a testing facility, the court designates the facility, after giving the parties a reasonable opportunity to be heard on the issue. </w:t>
      </w:r>
      <w:r w:rsidR="0046421E" w:rsidRPr="00C4160B">
        <w:rPr>
          <w:rFonts w:ascii="Arial" w:hAnsi="Arial" w:cs="Arial"/>
          <w:i/>
        </w:rPr>
        <w:t>Id.</w:t>
      </w:r>
    </w:p>
    <w:p w14:paraId="5DC87894" w14:textId="77777777" w:rsidR="00CC2985" w:rsidRPr="00C4160B" w:rsidRDefault="00CC2985">
      <w:pPr>
        <w:pStyle w:val="ListParagraph"/>
        <w:spacing w:after="0" w:line="240" w:lineRule="auto"/>
        <w:rPr>
          <w:rFonts w:ascii="Arial" w:hAnsi="Arial" w:cs="Arial"/>
        </w:rPr>
      </w:pPr>
    </w:p>
    <w:p w14:paraId="6EC6B0E9" w14:textId="77777777" w:rsidR="00CC2985" w:rsidRPr="00C4160B" w:rsidRDefault="00794CFD" w:rsidP="00A2284D">
      <w:pPr>
        <w:pStyle w:val="ListParagraph"/>
        <w:numPr>
          <w:ilvl w:val="0"/>
          <w:numId w:val="2"/>
        </w:numPr>
        <w:spacing w:after="0" w:line="240" w:lineRule="auto"/>
        <w:ind w:left="720"/>
        <w:rPr>
          <w:rFonts w:ascii="Arial" w:hAnsi="Arial" w:cs="Arial"/>
        </w:rPr>
      </w:pPr>
      <w:bookmarkStart w:id="26" w:name="_Toc384048565"/>
      <w:bookmarkStart w:id="27" w:name="_Toc416436060"/>
      <w:bookmarkStart w:id="28" w:name="_Toc416436138"/>
      <w:r w:rsidRPr="00C4160B">
        <w:rPr>
          <w:rStyle w:val="Heading1Char"/>
        </w:rPr>
        <w:t>“Time Out” for T</w:t>
      </w:r>
      <w:r w:rsidR="00EB7A44" w:rsidRPr="00C4160B">
        <w:rPr>
          <w:rStyle w:val="Heading1Char"/>
        </w:rPr>
        <w:t>esting</w:t>
      </w:r>
      <w:bookmarkEnd w:id="26"/>
      <w:bookmarkEnd w:id="27"/>
      <w:bookmarkEnd w:id="28"/>
      <w:r w:rsidR="00EB7A44" w:rsidRPr="00C4160B">
        <w:rPr>
          <w:rFonts w:ascii="Arial" w:hAnsi="Arial" w:cs="Arial"/>
          <w:b/>
        </w:rPr>
        <w:t>.</w:t>
      </w:r>
      <w:r w:rsidR="00EB7A44" w:rsidRPr="00C4160B">
        <w:rPr>
          <w:rFonts w:ascii="Arial" w:hAnsi="Arial" w:cs="Arial"/>
        </w:rPr>
        <w:t xml:space="preserve"> If a miscarriage of justice will otherwise occur and </w:t>
      </w:r>
      <w:r w:rsidR="00460856" w:rsidRPr="00C4160B">
        <w:rPr>
          <w:rFonts w:ascii="Arial" w:hAnsi="Arial" w:cs="Arial"/>
        </w:rPr>
        <w:t>“</w:t>
      </w:r>
      <w:r w:rsidR="00EB7A44" w:rsidRPr="00C4160B">
        <w:rPr>
          <w:rFonts w:ascii="Arial" w:hAnsi="Arial" w:cs="Arial"/>
        </w:rPr>
        <w:t>DNA testing is necessary in the interests of justice,</w:t>
      </w:r>
      <w:r w:rsidR="00460856" w:rsidRPr="00C4160B">
        <w:rPr>
          <w:rFonts w:ascii="Arial" w:hAnsi="Arial" w:cs="Arial"/>
        </w:rPr>
        <w:t>”</w:t>
      </w:r>
      <w:r w:rsidR="00EB7A44" w:rsidRPr="00C4160B">
        <w:rPr>
          <w:rFonts w:ascii="Arial" w:hAnsi="Arial" w:cs="Arial"/>
        </w:rPr>
        <w:t xml:space="preserve"> the court must </w:t>
      </w:r>
      <w:r w:rsidR="00460856" w:rsidRPr="00C4160B">
        <w:rPr>
          <w:rFonts w:ascii="Arial" w:hAnsi="Arial" w:cs="Arial"/>
        </w:rPr>
        <w:t>“</w:t>
      </w:r>
      <w:r w:rsidR="00EB7A44" w:rsidRPr="00C4160B">
        <w:rPr>
          <w:rFonts w:ascii="Arial" w:hAnsi="Arial" w:cs="Arial"/>
        </w:rPr>
        <w:t>order a delay of the proceedings or execution of the sentence pending the DNA testing.</w:t>
      </w:r>
      <w:r w:rsidR="00460856" w:rsidRPr="00C4160B">
        <w:rPr>
          <w:rFonts w:ascii="Arial" w:hAnsi="Arial" w:cs="Arial"/>
        </w:rPr>
        <w:t>”</w:t>
      </w:r>
      <w:r w:rsidR="00EB7A44" w:rsidRPr="00C4160B">
        <w:rPr>
          <w:rFonts w:ascii="Arial" w:hAnsi="Arial" w:cs="Arial"/>
        </w:rPr>
        <w:t xml:space="preserve"> </w:t>
      </w:r>
      <w:r w:rsidR="0046421E" w:rsidRPr="00C4160B">
        <w:rPr>
          <w:rFonts w:ascii="Arial" w:hAnsi="Arial" w:cs="Arial"/>
        </w:rPr>
        <w:t>G.S. 15A-269(e).</w:t>
      </w:r>
    </w:p>
    <w:p w14:paraId="577DD11B" w14:textId="77777777" w:rsidR="00CC2985" w:rsidRPr="00C4160B" w:rsidRDefault="00CC2985" w:rsidP="00A2284D">
      <w:pPr>
        <w:pStyle w:val="ListParagraph"/>
        <w:spacing w:line="240" w:lineRule="auto"/>
        <w:rPr>
          <w:rFonts w:ascii="Arial" w:hAnsi="Arial" w:cs="Arial"/>
          <w:b/>
        </w:rPr>
      </w:pPr>
    </w:p>
    <w:p w14:paraId="10CBD965" w14:textId="77777777" w:rsidR="00EB7A44" w:rsidRPr="00C4160B" w:rsidRDefault="00794CFD" w:rsidP="00A2284D">
      <w:pPr>
        <w:pStyle w:val="ListParagraph"/>
        <w:numPr>
          <w:ilvl w:val="0"/>
          <w:numId w:val="2"/>
        </w:numPr>
        <w:spacing w:after="0" w:line="240" w:lineRule="auto"/>
        <w:ind w:left="720"/>
        <w:rPr>
          <w:rFonts w:ascii="Arial" w:hAnsi="Arial" w:cs="Arial"/>
        </w:rPr>
      </w:pPr>
      <w:bookmarkStart w:id="29" w:name="_Toc384048566"/>
      <w:bookmarkStart w:id="30" w:name="_Toc416436061"/>
      <w:bookmarkStart w:id="31" w:name="_Toc416436139"/>
      <w:r w:rsidRPr="00C4160B">
        <w:rPr>
          <w:rStyle w:val="Heading1Char"/>
        </w:rPr>
        <w:t>Post-Test H</w:t>
      </w:r>
      <w:r w:rsidR="00EB7A44" w:rsidRPr="00C4160B">
        <w:rPr>
          <w:rStyle w:val="Heading1Char"/>
        </w:rPr>
        <w:t>earing</w:t>
      </w:r>
      <w:bookmarkEnd w:id="29"/>
      <w:bookmarkEnd w:id="30"/>
      <w:bookmarkEnd w:id="31"/>
      <w:r w:rsidR="00EB7A44" w:rsidRPr="00C4160B">
        <w:rPr>
          <w:rFonts w:ascii="Arial" w:hAnsi="Arial" w:cs="Arial"/>
          <w:b/>
        </w:rPr>
        <w:t xml:space="preserve">. </w:t>
      </w:r>
      <w:r w:rsidR="00EB7A44" w:rsidRPr="00C4160B">
        <w:rPr>
          <w:rFonts w:ascii="Arial" w:hAnsi="Arial" w:cs="Arial"/>
        </w:rPr>
        <w:t>Upon receiving the test results, the court must hold a hearing</w:t>
      </w:r>
      <w:r w:rsidR="001E244A" w:rsidRPr="00C4160B">
        <w:rPr>
          <w:rFonts w:ascii="Arial" w:hAnsi="Arial" w:cs="Arial"/>
        </w:rPr>
        <w:t>.</w:t>
      </w:r>
      <w:r w:rsidR="00EB7A44" w:rsidRPr="00C4160B">
        <w:rPr>
          <w:rFonts w:ascii="Arial" w:hAnsi="Arial" w:cs="Arial"/>
        </w:rPr>
        <w:t xml:space="preserve"> </w:t>
      </w:r>
      <w:r w:rsidR="0046421E" w:rsidRPr="00C4160B">
        <w:rPr>
          <w:rFonts w:ascii="Arial" w:hAnsi="Arial" w:cs="Arial"/>
        </w:rPr>
        <w:t>G.S. 15A-270(a)</w:t>
      </w:r>
      <w:r w:rsidR="00CC2985" w:rsidRPr="00C4160B">
        <w:rPr>
          <w:rFonts w:ascii="Arial" w:hAnsi="Arial" w:cs="Arial"/>
        </w:rPr>
        <w:t>.</w:t>
      </w:r>
    </w:p>
    <w:p w14:paraId="775FB056" w14:textId="3F7F929A" w:rsidR="00CC2985" w:rsidRPr="00C4160B" w:rsidRDefault="00B140C1" w:rsidP="00A2284D">
      <w:pPr>
        <w:pStyle w:val="ListParagraph"/>
        <w:numPr>
          <w:ilvl w:val="1"/>
          <w:numId w:val="2"/>
        </w:numPr>
        <w:spacing w:line="240" w:lineRule="auto"/>
        <w:rPr>
          <w:rFonts w:ascii="Arial" w:hAnsi="Arial" w:cs="Arial"/>
          <w:b/>
        </w:rPr>
      </w:pPr>
      <w:bookmarkStart w:id="32" w:name="_Toc416436062"/>
      <w:bookmarkStart w:id="33" w:name="_Toc416436140"/>
      <w:r w:rsidRPr="00C4160B">
        <w:rPr>
          <w:rStyle w:val="Heading2Char"/>
        </w:rPr>
        <w:t>Rules of Evidence Apply</w:t>
      </w:r>
      <w:bookmarkEnd w:id="32"/>
      <w:bookmarkEnd w:id="33"/>
      <w:r w:rsidRPr="00C4160B">
        <w:rPr>
          <w:rFonts w:ascii="Arial" w:hAnsi="Arial" w:cs="Arial"/>
          <w:b/>
        </w:rPr>
        <w:t xml:space="preserve">. </w:t>
      </w:r>
      <w:r w:rsidRPr="00C4160B">
        <w:rPr>
          <w:rFonts w:ascii="Arial" w:hAnsi="Arial" w:cs="Arial"/>
        </w:rPr>
        <w:t xml:space="preserve">The rules of evidence apply to proceedings related to post-conviction motions for DNA testing. State v. Foster, </w:t>
      </w:r>
      <w:r w:rsidR="003A1E2F" w:rsidRPr="00C4160B">
        <w:rPr>
          <w:rFonts w:ascii="Arial" w:hAnsi="Arial" w:cs="Arial"/>
        </w:rPr>
        <w:t>222</w:t>
      </w:r>
      <w:r w:rsidRPr="00C4160B">
        <w:rPr>
          <w:rFonts w:ascii="Arial" w:hAnsi="Arial" w:cs="Arial"/>
        </w:rPr>
        <w:t xml:space="preserve"> N.C. App. </w:t>
      </w:r>
      <w:r w:rsidR="003A1E2F" w:rsidRPr="00C4160B">
        <w:rPr>
          <w:rFonts w:ascii="Arial" w:hAnsi="Arial" w:cs="Arial"/>
        </w:rPr>
        <w:t>199, 203</w:t>
      </w:r>
      <w:r w:rsidRPr="00C4160B">
        <w:rPr>
          <w:rFonts w:ascii="Arial" w:hAnsi="Arial" w:cs="Arial"/>
        </w:rPr>
        <w:t xml:space="preserve"> (2012).</w:t>
      </w:r>
    </w:p>
    <w:p w14:paraId="2CFCB95F" w14:textId="77777777" w:rsidR="00CC2985" w:rsidRPr="00C4160B" w:rsidRDefault="00CC2985" w:rsidP="00A2284D">
      <w:pPr>
        <w:pStyle w:val="ListParagraph"/>
        <w:spacing w:line="240" w:lineRule="auto"/>
        <w:ind w:left="1440"/>
        <w:rPr>
          <w:rFonts w:ascii="Arial" w:hAnsi="Arial" w:cs="Arial"/>
          <w:b/>
        </w:rPr>
      </w:pPr>
    </w:p>
    <w:p w14:paraId="76603B2A" w14:textId="5C38F8CA" w:rsidR="00CC2985" w:rsidRPr="00C4160B" w:rsidRDefault="001E244A" w:rsidP="00A2284D">
      <w:pPr>
        <w:pStyle w:val="ListParagraph"/>
        <w:numPr>
          <w:ilvl w:val="1"/>
          <w:numId w:val="2"/>
        </w:numPr>
        <w:spacing w:line="240" w:lineRule="auto"/>
        <w:rPr>
          <w:rFonts w:ascii="Arial" w:hAnsi="Arial" w:cs="Arial"/>
          <w:b/>
        </w:rPr>
      </w:pPr>
      <w:bookmarkStart w:id="34" w:name="_Toc416436063"/>
      <w:bookmarkStart w:id="35" w:name="_Toc416436141"/>
      <w:r w:rsidRPr="00C4160B">
        <w:rPr>
          <w:rStyle w:val="Heading2Char"/>
        </w:rPr>
        <w:t>Determination</w:t>
      </w:r>
      <w:bookmarkEnd w:id="34"/>
      <w:bookmarkEnd w:id="35"/>
      <w:r w:rsidR="00B140C1" w:rsidRPr="00C4160B">
        <w:rPr>
          <w:rFonts w:ascii="Arial" w:hAnsi="Arial" w:cs="Arial"/>
          <w:b/>
        </w:rPr>
        <w:t xml:space="preserve">. </w:t>
      </w:r>
      <w:r w:rsidRPr="00C4160B">
        <w:rPr>
          <w:rFonts w:ascii="Arial" w:hAnsi="Arial" w:cs="Arial"/>
        </w:rPr>
        <w:t xml:space="preserve">The purpose of the hearing is to </w:t>
      </w:r>
      <w:r w:rsidR="00460856" w:rsidRPr="00C4160B">
        <w:rPr>
          <w:rFonts w:ascii="Arial" w:hAnsi="Arial" w:cs="Arial"/>
        </w:rPr>
        <w:t>“</w:t>
      </w:r>
      <w:r w:rsidRPr="00C4160B">
        <w:rPr>
          <w:rFonts w:ascii="Arial" w:hAnsi="Arial" w:cs="Arial"/>
        </w:rPr>
        <w:t>determine if the results are unfavorable or favorable to the defendant.</w:t>
      </w:r>
      <w:r w:rsidR="00460856" w:rsidRPr="00C4160B">
        <w:rPr>
          <w:rFonts w:ascii="Arial" w:hAnsi="Arial" w:cs="Arial"/>
        </w:rPr>
        <w:t xml:space="preserve">” </w:t>
      </w:r>
      <w:r w:rsidR="0046421E" w:rsidRPr="00C4160B">
        <w:rPr>
          <w:rFonts w:ascii="Arial" w:hAnsi="Arial" w:cs="Arial"/>
        </w:rPr>
        <w:t>G.S. 15A-270(a)</w:t>
      </w:r>
      <w:r w:rsidR="00F001CD">
        <w:rPr>
          <w:rFonts w:ascii="Arial" w:hAnsi="Arial" w:cs="Arial"/>
        </w:rPr>
        <w:t xml:space="preserve">; </w:t>
      </w:r>
      <w:r w:rsidR="00F001CD">
        <w:rPr>
          <w:rFonts w:ascii="Arial" w:hAnsi="Arial" w:cs="Arial"/>
          <w:i/>
          <w:iCs/>
        </w:rPr>
        <w:t xml:space="preserve">see also </w:t>
      </w:r>
      <w:r w:rsidR="00F001CD">
        <w:rPr>
          <w:rFonts w:ascii="Arial" w:hAnsi="Arial" w:cs="Arial"/>
        </w:rPr>
        <w:t>State v. Norman, 202 N.C. App. 329, 331-32 (2010) (noting that statute provides no standard or guidance for determining whether results are “favorable" or “unfavorable”)</w:t>
      </w:r>
      <w:r w:rsidR="00460856" w:rsidRPr="00C4160B">
        <w:rPr>
          <w:rFonts w:ascii="Arial" w:hAnsi="Arial" w:cs="Arial"/>
        </w:rPr>
        <w:t>.</w:t>
      </w:r>
      <w:r w:rsidRPr="00C4160B">
        <w:rPr>
          <w:rFonts w:ascii="Arial" w:hAnsi="Arial" w:cs="Arial"/>
        </w:rPr>
        <w:t xml:space="preserve"> </w:t>
      </w:r>
      <w:r w:rsidR="00EB7A44" w:rsidRPr="00C4160B">
        <w:rPr>
          <w:rFonts w:ascii="Arial" w:hAnsi="Arial" w:cs="Arial"/>
        </w:rPr>
        <w:t xml:space="preserve">If the results are unfavorable to the defendant, the court must dismiss the motion. </w:t>
      </w:r>
      <w:r w:rsidR="0046421E" w:rsidRPr="00C4160B">
        <w:rPr>
          <w:rFonts w:ascii="Arial" w:hAnsi="Arial" w:cs="Arial"/>
        </w:rPr>
        <w:t>G.S. 15A-270(b)</w:t>
      </w:r>
      <w:r w:rsidR="00EB7A44" w:rsidRPr="00C4160B">
        <w:rPr>
          <w:rFonts w:ascii="Arial" w:hAnsi="Arial" w:cs="Arial"/>
        </w:rPr>
        <w:t>.</w:t>
      </w:r>
      <w:r w:rsidR="00B140C1" w:rsidRPr="00C4160B">
        <w:rPr>
          <w:rFonts w:ascii="Arial" w:hAnsi="Arial" w:cs="Arial"/>
        </w:rPr>
        <w:t xml:space="preserve"> </w:t>
      </w:r>
      <w:r w:rsidR="00EB7A44" w:rsidRPr="00C4160B">
        <w:rPr>
          <w:rFonts w:ascii="Arial" w:hAnsi="Arial" w:cs="Arial"/>
        </w:rPr>
        <w:t>If the results are favorable to the defendant, the court “shall enter any order that serves the interests of justice,” including one that</w:t>
      </w:r>
      <w:r w:rsidR="00CC2985" w:rsidRPr="00C4160B">
        <w:rPr>
          <w:rFonts w:ascii="Arial" w:hAnsi="Arial" w:cs="Arial"/>
        </w:rPr>
        <w:t>:</w:t>
      </w:r>
    </w:p>
    <w:p w14:paraId="64CAA94D" w14:textId="77777777" w:rsidR="00CC2985" w:rsidRPr="00C4160B" w:rsidRDefault="00CC2985" w:rsidP="00A2284D">
      <w:pPr>
        <w:pStyle w:val="ListParagraph"/>
        <w:spacing w:line="240" w:lineRule="auto"/>
        <w:rPr>
          <w:rFonts w:ascii="Arial" w:hAnsi="Arial" w:cs="Arial"/>
        </w:rPr>
      </w:pPr>
    </w:p>
    <w:p w14:paraId="4DCDD04E" w14:textId="77777777" w:rsidR="00CC2985" w:rsidRPr="00C4160B" w:rsidRDefault="00EB7A44" w:rsidP="00A2284D">
      <w:pPr>
        <w:pStyle w:val="ListParagraph"/>
        <w:numPr>
          <w:ilvl w:val="0"/>
          <w:numId w:val="7"/>
        </w:numPr>
        <w:spacing w:line="240" w:lineRule="auto"/>
        <w:rPr>
          <w:rFonts w:ascii="Arial" w:hAnsi="Arial" w:cs="Arial"/>
          <w:b/>
        </w:rPr>
      </w:pPr>
      <w:r w:rsidRPr="00C4160B">
        <w:rPr>
          <w:rFonts w:ascii="Arial" w:hAnsi="Arial" w:cs="Arial"/>
        </w:rPr>
        <w:t xml:space="preserve">vacates and sets aside the judgment, </w:t>
      </w:r>
    </w:p>
    <w:p w14:paraId="6BBD184D" w14:textId="77777777" w:rsidR="00CC2985" w:rsidRPr="00C4160B" w:rsidRDefault="00EB7A44" w:rsidP="00A2284D">
      <w:pPr>
        <w:pStyle w:val="ListParagraph"/>
        <w:numPr>
          <w:ilvl w:val="0"/>
          <w:numId w:val="7"/>
        </w:numPr>
        <w:spacing w:line="240" w:lineRule="auto"/>
        <w:rPr>
          <w:rFonts w:ascii="Arial" w:hAnsi="Arial" w:cs="Arial"/>
          <w:b/>
        </w:rPr>
      </w:pPr>
      <w:r w:rsidRPr="00C4160B">
        <w:rPr>
          <w:rFonts w:ascii="Arial" w:hAnsi="Arial" w:cs="Arial"/>
        </w:rPr>
        <w:t xml:space="preserve">discharges an in-custody defendant, </w:t>
      </w:r>
    </w:p>
    <w:p w14:paraId="505A2541" w14:textId="77777777" w:rsidR="00CC2985" w:rsidRPr="00C4160B" w:rsidRDefault="00EB7A44" w:rsidP="00A2284D">
      <w:pPr>
        <w:pStyle w:val="ListParagraph"/>
        <w:numPr>
          <w:ilvl w:val="0"/>
          <w:numId w:val="7"/>
        </w:numPr>
        <w:spacing w:line="240" w:lineRule="auto"/>
        <w:rPr>
          <w:rFonts w:ascii="Arial" w:hAnsi="Arial" w:cs="Arial"/>
          <w:b/>
        </w:rPr>
      </w:pPr>
      <w:r w:rsidRPr="00C4160B">
        <w:rPr>
          <w:rFonts w:ascii="Arial" w:hAnsi="Arial" w:cs="Arial"/>
        </w:rPr>
        <w:t xml:space="preserve">resentences the defendant, or </w:t>
      </w:r>
    </w:p>
    <w:p w14:paraId="2D53FC04" w14:textId="77777777" w:rsidR="00CC2985" w:rsidRPr="00C4160B" w:rsidRDefault="00EB7A44" w:rsidP="00A2284D">
      <w:pPr>
        <w:pStyle w:val="ListParagraph"/>
        <w:numPr>
          <w:ilvl w:val="0"/>
          <w:numId w:val="7"/>
        </w:numPr>
        <w:spacing w:line="240" w:lineRule="auto"/>
        <w:rPr>
          <w:rFonts w:ascii="Arial" w:hAnsi="Arial" w:cs="Arial"/>
          <w:b/>
        </w:rPr>
      </w:pPr>
      <w:r w:rsidRPr="00C4160B">
        <w:rPr>
          <w:rFonts w:ascii="Arial" w:hAnsi="Arial" w:cs="Arial"/>
        </w:rPr>
        <w:t xml:space="preserve">grants a new trial. </w:t>
      </w:r>
    </w:p>
    <w:p w14:paraId="09F7F149" w14:textId="77777777" w:rsidR="00B140C1" w:rsidRPr="00C4160B" w:rsidRDefault="0046421E" w:rsidP="00A2284D">
      <w:pPr>
        <w:spacing w:line="240" w:lineRule="auto"/>
        <w:ind w:left="1440"/>
        <w:rPr>
          <w:rFonts w:ascii="Arial" w:hAnsi="Arial" w:cs="Arial"/>
          <w:b/>
        </w:rPr>
      </w:pPr>
      <w:r w:rsidRPr="00C4160B">
        <w:rPr>
          <w:rFonts w:ascii="Arial" w:hAnsi="Arial" w:cs="Arial"/>
        </w:rPr>
        <w:t>G.S. 15A-270(c)</w:t>
      </w:r>
      <w:r w:rsidR="00EB7A44" w:rsidRPr="00C4160B">
        <w:rPr>
          <w:rFonts w:ascii="Arial" w:hAnsi="Arial" w:cs="Arial"/>
        </w:rPr>
        <w:t>.</w:t>
      </w:r>
    </w:p>
    <w:p w14:paraId="07F02A1B" w14:textId="01687B29" w:rsidR="00B140C1" w:rsidRPr="00C4160B" w:rsidRDefault="00B140C1">
      <w:pPr>
        <w:pStyle w:val="ListParagraph"/>
        <w:numPr>
          <w:ilvl w:val="1"/>
          <w:numId w:val="2"/>
        </w:numPr>
        <w:spacing w:after="0" w:line="240" w:lineRule="auto"/>
        <w:rPr>
          <w:rFonts w:ascii="Arial" w:hAnsi="Arial" w:cs="Arial"/>
          <w:b/>
        </w:rPr>
      </w:pPr>
      <w:bookmarkStart w:id="36" w:name="_Toc416436064"/>
      <w:bookmarkStart w:id="37" w:name="_Toc416436142"/>
      <w:r w:rsidRPr="00C4160B">
        <w:rPr>
          <w:rStyle w:val="Heading2Char"/>
        </w:rPr>
        <w:t>Judge’s Order</w:t>
      </w:r>
      <w:bookmarkEnd w:id="36"/>
      <w:bookmarkEnd w:id="37"/>
      <w:r w:rsidRPr="00C4160B">
        <w:rPr>
          <w:rFonts w:ascii="Arial" w:hAnsi="Arial" w:cs="Arial"/>
          <w:b/>
        </w:rPr>
        <w:t xml:space="preserve">. </w:t>
      </w:r>
      <w:r w:rsidRPr="00C4160B">
        <w:rPr>
          <w:rFonts w:ascii="Arial" w:hAnsi="Arial" w:cs="Arial"/>
        </w:rPr>
        <w:t xml:space="preserve">Unlike other post-conviction procedures, such as those that apply to </w:t>
      </w:r>
      <w:r w:rsidR="00CC2985" w:rsidRPr="00C4160B">
        <w:rPr>
          <w:rFonts w:ascii="Arial" w:hAnsi="Arial" w:cs="Arial"/>
        </w:rPr>
        <w:t xml:space="preserve">orders on </w:t>
      </w:r>
      <w:r w:rsidR="001F7FDC" w:rsidRPr="00C4160B">
        <w:rPr>
          <w:rFonts w:ascii="Arial" w:hAnsi="Arial" w:cs="Arial"/>
        </w:rPr>
        <w:t>m</w:t>
      </w:r>
      <w:r w:rsidRPr="00C4160B">
        <w:rPr>
          <w:rFonts w:ascii="Arial" w:hAnsi="Arial" w:cs="Arial"/>
        </w:rPr>
        <w:t xml:space="preserve">otions for </w:t>
      </w:r>
      <w:r w:rsidR="001F7FDC" w:rsidRPr="00C4160B">
        <w:rPr>
          <w:rFonts w:ascii="Arial" w:hAnsi="Arial" w:cs="Arial"/>
        </w:rPr>
        <w:t>a</w:t>
      </w:r>
      <w:r w:rsidRPr="00C4160B">
        <w:rPr>
          <w:rFonts w:ascii="Arial" w:hAnsi="Arial" w:cs="Arial"/>
        </w:rPr>
        <w:t xml:space="preserve">ppropriate </w:t>
      </w:r>
      <w:r w:rsidR="001F7FDC" w:rsidRPr="00C4160B">
        <w:rPr>
          <w:rFonts w:ascii="Arial" w:hAnsi="Arial" w:cs="Arial"/>
        </w:rPr>
        <w:t>r</w:t>
      </w:r>
      <w:r w:rsidRPr="00C4160B">
        <w:rPr>
          <w:rFonts w:ascii="Arial" w:hAnsi="Arial" w:cs="Arial"/>
        </w:rPr>
        <w:t>elief</w:t>
      </w:r>
      <w:r w:rsidR="00CC2985" w:rsidRPr="00C4160B">
        <w:rPr>
          <w:rFonts w:ascii="Arial" w:hAnsi="Arial" w:cs="Arial"/>
        </w:rPr>
        <w:t xml:space="preserve"> entered after evidentiary hearings</w:t>
      </w:r>
      <w:r w:rsidRPr="00C4160B">
        <w:rPr>
          <w:rFonts w:ascii="Arial" w:hAnsi="Arial" w:cs="Arial"/>
        </w:rPr>
        <w:t xml:space="preserve">, the </w:t>
      </w:r>
      <w:r w:rsidR="00CC2985" w:rsidRPr="00C4160B">
        <w:rPr>
          <w:rFonts w:ascii="Arial" w:hAnsi="Arial" w:cs="Arial"/>
        </w:rPr>
        <w:t xml:space="preserve">DNA testing </w:t>
      </w:r>
      <w:r w:rsidRPr="00C4160B">
        <w:rPr>
          <w:rFonts w:ascii="Arial" w:hAnsi="Arial" w:cs="Arial"/>
        </w:rPr>
        <w:t xml:space="preserve">statute does not </w:t>
      </w:r>
      <w:r w:rsidR="009373DA">
        <w:rPr>
          <w:rFonts w:ascii="Arial" w:hAnsi="Arial" w:cs="Arial"/>
        </w:rPr>
        <w:t xml:space="preserve">explicitly </w:t>
      </w:r>
      <w:r w:rsidR="00CC2985" w:rsidRPr="00C4160B">
        <w:rPr>
          <w:rFonts w:ascii="Arial" w:hAnsi="Arial" w:cs="Arial"/>
        </w:rPr>
        <w:t>r</w:t>
      </w:r>
      <w:r w:rsidR="007C49B9" w:rsidRPr="00C4160B">
        <w:rPr>
          <w:rFonts w:ascii="Arial" w:hAnsi="Arial" w:cs="Arial"/>
        </w:rPr>
        <w:t>equire the judge</w:t>
      </w:r>
      <w:r w:rsidR="00CC2985" w:rsidRPr="00C4160B">
        <w:rPr>
          <w:rFonts w:ascii="Arial" w:hAnsi="Arial" w:cs="Arial"/>
        </w:rPr>
        <w:t xml:space="preserve"> to make </w:t>
      </w:r>
      <w:r w:rsidR="00B6430B">
        <w:rPr>
          <w:rFonts w:ascii="Arial" w:hAnsi="Arial" w:cs="Arial"/>
        </w:rPr>
        <w:t xml:space="preserve">specific </w:t>
      </w:r>
      <w:r w:rsidR="00CC2985" w:rsidRPr="00C4160B">
        <w:rPr>
          <w:rFonts w:ascii="Arial" w:hAnsi="Arial" w:cs="Arial"/>
        </w:rPr>
        <w:t>findings of fact</w:t>
      </w:r>
      <w:r w:rsidRPr="00C4160B">
        <w:rPr>
          <w:rFonts w:ascii="Arial" w:hAnsi="Arial" w:cs="Arial"/>
        </w:rPr>
        <w:t>.</w:t>
      </w:r>
      <w:r w:rsidR="002345D3">
        <w:rPr>
          <w:rFonts w:ascii="Arial" w:hAnsi="Arial" w:cs="Arial"/>
        </w:rPr>
        <w:t xml:space="preserve"> </w:t>
      </w:r>
      <w:r w:rsidR="00801FC2">
        <w:rPr>
          <w:rFonts w:ascii="Arial" w:hAnsi="Arial" w:cs="Arial"/>
        </w:rPr>
        <w:t>W</w:t>
      </w:r>
      <w:r w:rsidR="000A157F">
        <w:rPr>
          <w:rFonts w:ascii="Arial" w:hAnsi="Arial" w:cs="Arial"/>
        </w:rPr>
        <w:t>hile there is no case law on the issue,</w:t>
      </w:r>
      <w:r w:rsidR="002345D3">
        <w:rPr>
          <w:rFonts w:ascii="Arial" w:hAnsi="Arial" w:cs="Arial"/>
        </w:rPr>
        <w:t xml:space="preserve"> the determination of favorability required by G.S. 15A-270(a) </w:t>
      </w:r>
      <w:r w:rsidR="000A157F">
        <w:rPr>
          <w:rFonts w:ascii="Arial" w:hAnsi="Arial" w:cs="Arial"/>
        </w:rPr>
        <w:t xml:space="preserve">presumably is a conclusion of law that should be supported by findings of fact, at least as a best practice </w:t>
      </w:r>
      <w:r w:rsidR="00801FC2">
        <w:rPr>
          <w:rFonts w:ascii="Arial" w:hAnsi="Arial" w:cs="Arial"/>
        </w:rPr>
        <w:t xml:space="preserve">even </w:t>
      </w:r>
      <w:r w:rsidR="000A157F">
        <w:rPr>
          <w:rFonts w:ascii="Arial" w:hAnsi="Arial" w:cs="Arial"/>
        </w:rPr>
        <w:t xml:space="preserve">if not </w:t>
      </w:r>
      <w:r w:rsidR="00801FC2">
        <w:rPr>
          <w:rFonts w:ascii="Arial" w:hAnsi="Arial" w:cs="Arial"/>
        </w:rPr>
        <w:t xml:space="preserve">required </w:t>
      </w:r>
      <w:r w:rsidR="000A157F">
        <w:rPr>
          <w:rFonts w:ascii="Arial" w:hAnsi="Arial" w:cs="Arial"/>
        </w:rPr>
        <w:t xml:space="preserve">by </w:t>
      </w:r>
      <w:r w:rsidR="00801FC2">
        <w:rPr>
          <w:rFonts w:ascii="Arial" w:hAnsi="Arial" w:cs="Arial"/>
        </w:rPr>
        <w:t>statute</w:t>
      </w:r>
      <w:r w:rsidR="000A157F">
        <w:rPr>
          <w:rFonts w:ascii="Arial" w:hAnsi="Arial" w:cs="Arial"/>
        </w:rPr>
        <w:t xml:space="preserve">. </w:t>
      </w:r>
      <w:r w:rsidR="000A157F">
        <w:rPr>
          <w:rFonts w:ascii="Arial" w:hAnsi="Arial" w:cs="Arial"/>
          <w:i/>
          <w:iCs/>
        </w:rPr>
        <w:t xml:space="preserve">Cf. </w:t>
      </w:r>
      <w:r w:rsidR="00801FC2">
        <w:rPr>
          <w:rFonts w:ascii="Arial" w:hAnsi="Arial" w:cs="Arial"/>
        </w:rPr>
        <w:t xml:space="preserve">State v. Saults, </w:t>
      </w:r>
      <w:r w:rsidR="000A157F">
        <w:rPr>
          <w:rFonts w:ascii="Arial" w:hAnsi="Arial" w:cs="Arial"/>
        </w:rPr>
        <w:t xml:space="preserve">299 N.C. </w:t>
      </w:r>
      <w:r w:rsidR="00801FC2">
        <w:rPr>
          <w:rFonts w:ascii="Arial" w:hAnsi="Arial" w:cs="Arial"/>
        </w:rPr>
        <w:t>319 (1980) (stating general</w:t>
      </w:r>
      <w:r w:rsidR="00EC5FEB">
        <w:rPr>
          <w:rFonts w:ascii="Arial" w:hAnsi="Arial" w:cs="Arial"/>
        </w:rPr>
        <w:t>ly</w:t>
      </w:r>
      <w:r w:rsidR="00801FC2">
        <w:rPr>
          <w:rFonts w:ascii="Arial" w:hAnsi="Arial" w:cs="Arial"/>
        </w:rPr>
        <w:t xml:space="preserve"> that findings of fact must support and justify a conclusion of law)</w:t>
      </w:r>
      <w:r w:rsidR="00EC5FEB">
        <w:rPr>
          <w:rFonts w:ascii="Arial" w:hAnsi="Arial" w:cs="Arial"/>
        </w:rPr>
        <w:t xml:space="preserve">; State v. Norman, 202 N.C. App. 329, 331-32 (noting that G.S. 15A-270 </w:t>
      </w:r>
      <w:r w:rsidR="004C5F69">
        <w:rPr>
          <w:rFonts w:ascii="Arial" w:hAnsi="Arial" w:cs="Arial"/>
        </w:rPr>
        <w:t>lacks</w:t>
      </w:r>
      <w:r w:rsidR="00EC5FEB">
        <w:rPr>
          <w:rFonts w:ascii="Arial" w:hAnsi="Arial" w:cs="Arial"/>
        </w:rPr>
        <w:t xml:space="preserve"> </w:t>
      </w:r>
      <w:r w:rsidR="00594738">
        <w:rPr>
          <w:rFonts w:ascii="Arial" w:hAnsi="Arial" w:cs="Arial"/>
        </w:rPr>
        <w:t xml:space="preserve">procedural </w:t>
      </w:r>
      <w:r w:rsidR="004C5F69">
        <w:rPr>
          <w:rFonts w:ascii="Arial" w:hAnsi="Arial" w:cs="Arial"/>
        </w:rPr>
        <w:t>specificity</w:t>
      </w:r>
      <w:r w:rsidR="00EC5FEB">
        <w:rPr>
          <w:rFonts w:ascii="Arial" w:hAnsi="Arial" w:cs="Arial"/>
        </w:rPr>
        <w:t>)</w:t>
      </w:r>
      <w:r w:rsidR="00801FC2">
        <w:rPr>
          <w:rFonts w:ascii="Arial" w:hAnsi="Arial" w:cs="Arial"/>
        </w:rPr>
        <w:t xml:space="preserve">. </w:t>
      </w:r>
      <w:r w:rsidR="00CC4181">
        <w:rPr>
          <w:rFonts w:ascii="Arial" w:hAnsi="Arial" w:cs="Arial"/>
        </w:rPr>
        <w:t>Note, however, that a defendant has no right to appeal a trial court’s order on the favorability of DNA testing results</w:t>
      </w:r>
      <w:r w:rsidR="00BD74E8">
        <w:rPr>
          <w:rFonts w:ascii="Arial" w:hAnsi="Arial" w:cs="Arial"/>
        </w:rPr>
        <w:t>, as discussed in Section XI. below.</w:t>
      </w:r>
      <w:r w:rsidR="00CC4181">
        <w:rPr>
          <w:rFonts w:ascii="Arial" w:hAnsi="Arial" w:cs="Arial"/>
        </w:rPr>
        <w:t xml:space="preserve">  </w:t>
      </w:r>
    </w:p>
    <w:p w14:paraId="238C0435" w14:textId="77777777" w:rsidR="00B140C1" w:rsidRPr="00C4160B" w:rsidRDefault="00B140C1">
      <w:pPr>
        <w:pStyle w:val="ListParagraph"/>
        <w:spacing w:after="0" w:line="240" w:lineRule="auto"/>
        <w:rPr>
          <w:rFonts w:ascii="Arial" w:hAnsi="Arial" w:cs="Arial"/>
        </w:rPr>
      </w:pPr>
    </w:p>
    <w:p w14:paraId="4D8A3A26" w14:textId="716DDDE0" w:rsidR="00EB7A44" w:rsidRPr="00C4160B" w:rsidRDefault="00794CFD">
      <w:pPr>
        <w:pStyle w:val="ListParagraph"/>
        <w:numPr>
          <w:ilvl w:val="1"/>
          <w:numId w:val="2"/>
        </w:numPr>
        <w:spacing w:after="0" w:line="240" w:lineRule="auto"/>
        <w:rPr>
          <w:rFonts w:ascii="Arial" w:hAnsi="Arial" w:cs="Arial"/>
        </w:rPr>
      </w:pPr>
      <w:bookmarkStart w:id="38" w:name="_Toc416436065"/>
      <w:bookmarkStart w:id="39" w:name="_Toc416436143"/>
      <w:r w:rsidRPr="00C4160B">
        <w:rPr>
          <w:rStyle w:val="Heading2Char"/>
        </w:rPr>
        <w:t>Costs of T</w:t>
      </w:r>
      <w:r w:rsidR="00EB7A44" w:rsidRPr="00C4160B">
        <w:rPr>
          <w:rStyle w:val="Heading2Char"/>
        </w:rPr>
        <w:t>esting</w:t>
      </w:r>
      <w:bookmarkEnd w:id="38"/>
      <w:bookmarkEnd w:id="39"/>
      <w:r w:rsidR="00EB7A44" w:rsidRPr="00C4160B">
        <w:rPr>
          <w:rFonts w:ascii="Arial" w:hAnsi="Arial" w:cs="Arial"/>
          <w:b/>
        </w:rPr>
        <w:t>.</w:t>
      </w:r>
      <w:r w:rsidR="00EB7A44" w:rsidRPr="00C4160B">
        <w:rPr>
          <w:rFonts w:ascii="Arial" w:hAnsi="Arial" w:cs="Arial"/>
        </w:rPr>
        <w:t xml:space="preserve"> </w:t>
      </w:r>
      <w:r w:rsidR="0046421E" w:rsidRPr="00C4160B">
        <w:rPr>
          <w:rFonts w:ascii="Arial" w:hAnsi="Arial" w:cs="Arial"/>
        </w:rPr>
        <w:t>G.S. 15A-269(d)</w:t>
      </w:r>
      <w:r w:rsidR="00EB7A44" w:rsidRPr="00C4160B">
        <w:rPr>
          <w:rFonts w:ascii="Arial" w:hAnsi="Arial" w:cs="Arial"/>
        </w:rPr>
        <w:t xml:space="preserve"> provides that the defendant bears the cost</w:t>
      </w:r>
      <w:r w:rsidR="003071EC">
        <w:rPr>
          <w:rFonts w:ascii="Arial" w:hAnsi="Arial" w:cs="Arial"/>
        </w:rPr>
        <w:t xml:space="preserve"> of</w:t>
      </w:r>
      <w:r w:rsidR="00EB7A44" w:rsidRPr="00C4160B">
        <w:rPr>
          <w:rFonts w:ascii="Arial" w:hAnsi="Arial" w:cs="Arial"/>
        </w:rPr>
        <w:t xml:space="preserve"> any DNA testing that is ordered unless the defendant is indigent</w:t>
      </w:r>
      <w:r w:rsidR="00B36F3A">
        <w:rPr>
          <w:rFonts w:ascii="Arial" w:hAnsi="Arial" w:cs="Arial"/>
        </w:rPr>
        <w:t>,</w:t>
      </w:r>
      <w:r w:rsidR="00A64DEC">
        <w:rPr>
          <w:rFonts w:ascii="Arial" w:hAnsi="Arial" w:cs="Arial"/>
        </w:rPr>
        <w:t xml:space="preserve"> in which event the State bears the cost</w:t>
      </w:r>
      <w:r w:rsidR="00EB7A44" w:rsidRPr="00C4160B">
        <w:rPr>
          <w:rFonts w:ascii="Arial" w:hAnsi="Arial" w:cs="Arial"/>
        </w:rPr>
        <w:t xml:space="preserve">. </w:t>
      </w:r>
      <w:r w:rsidR="00A64DEC">
        <w:rPr>
          <w:rFonts w:ascii="Arial" w:hAnsi="Arial" w:cs="Arial"/>
        </w:rPr>
        <w:t xml:space="preserve">In </w:t>
      </w:r>
      <w:r w:rsidR="006D7426">
        <w:rPr>
          <w:rFonts w:ascii="Arial" w:hAnsi="Arial" w:cs="Arial"/>
        </w:rPr>
        <w:t xml:space="preserve">clear </w:t>
      </w:r>
      <w:r w:rsidR="00A64DEC">
        <w:rPr>
          <w:rFonts w:ascii="Arial" w:hAnsi="Arial" w:cs="Arial"/>
        </w:rPr>
        <w:t xml:space="preserve">harmony with this general directive, </w:t>
      </w:r>
      <w:r w:rsidR="006D7426">
        <w:rPr>
          <w:rFonts w:ascii="Arial" w:hAnsi="Arial" w:cs="Arial"/>
        </w:rPr>
        <w:t>in cases where the court finds test results to be unfavorable to the defendant</w:t>
      </w:r>
      <w:r w:rsidR="00AC1901">
        <w:rPr>
          <w:rFonts w:ascii="Arial" w:hAnsi="Arial" w:cs="Arial"/>
        </w:rPr>
        <w:t>,</w:t>
      </w:r>
      <w:r w:rsidR="006D7426">
        <w:rPr>
          <w:rFonts w:ascii="Arial" w:hAnsi="Arial" w:cs="Arial"/>
        </w:rPr>
        <w:t xml:space="preserve"> </w:t>
      </w:r>
      <w:r w:rsidR="00A64DEC">
        <w:rPr>
          <w:rFonts w:ascii="Arial" w:hAnsi="Arial" w:cs="Arial"/>
        </w:rPr>
        <w:t xml:space="preserve">G.S. 15A-270(b) mandates that </w:t>
      </w:r>
      <w:r w:rsidR="006D7426">
        <w:rPr>
          <w:rFonts w:ascii="Arial" w:hAnsi="Arial" w:cs="Arial"/>
        </w:rPr>
        <w:t xml:space="preserve">the </w:t>
      </w:r>
      <w:r w:rsidR="00A64DEC">
        <w:rPr>
          <w:rFonts w:ascii="Arial" w:hAnsi="Arial" w:cs="Arial"/>
        </w:rPr>
        <w:t xml:space="preserve">cost of testing </w:t>
      </w:r>
      <w:r w:rsidR="006D7426">
        <w:rPr>
          <w:rFonts w:ascii="Arial" w:hAnsi="Arial" w:cs="Arial"/>
        </w:rPr>
        <w:t xml:space="preserve">be assessed </w:t>
      </w:r>
      <w:r w:rsidR="00A64DEC">
        <w:rPr>
          <w:rFonts w:ascii="Arial" w:hAnsi="Arial" w:cs="Arial"/>
        </w:rPr>
        <w:t xml:space="preserve">to the defendant </w:t>
      </w:r>
      <w:r w:rsidR="00885DFC">
        <w:rPr>
          <w:rFonts w:ascii="Arial" w:hAnsi="Arial" w:cs="Arial"/>
        </w:rPr>
        <w:t>unless</w:t>
      </w:r>
      <w:r w:rsidR="00A64DEC">
        <w:rPr>
          <w:rFonts w:ascii="Arial" w:hAnsi="Arial" w:cs="Arial"/>
        </w:rPr>
        <w:t xml:space="preserve"> he </w:t>
      </w:r>
      <w:r w:rsidR="00A64DEC">
        <w:rPr>
          <w:rFonts w:ascii="Arial" w:hAnsi="Arial" w:cs="Arial"/>
        </w:rPr>
        <w:lastRenderedPageBreak/>
        <w:t>or she i</w:t>
      </w:r>
      <w:r w:rsidR="00885DFC">
        <w:rPr>
          <w:rFonts w:ascii="Arial" w:hAnsi="Arial" w:cs="Arial"/>
        </w:rPr>
        <w:t>s</w:t>
      </w:r>
      <w:r w:rsidR="00A64DEC">
        <w:rPr>
          <w:rFonts w:ascii="Arial" w:hAnsi="Arial" w:cs="Arial"/>
        </w:rPr>
        <w:t xml:space="preserve"> indigent. </w:t>
      </w:r>
      <w:r w:rsidR="006D7426">
        <w:rPr>
          <w:rFonts w:ascii="Arial" w:hAnsi="Arial" w:cs="Arial"/>
        </w:rPr>
        <w:t xml:space="preserve">However, in cases where the court finds test results to be favorable to the defendant, G.S. 15A-270(c) authorizes the court to enter “any order that serves the interests of justice” and does not explicitly require that such an order assess the cost of testing to the defendant, regardless of the defendant’s indigency status. </w:t>
      </w:r>
      <w:r w:rsidR="005C5B94">
        <w:rPr>
          <w:rFonts w:ascii="Arial" w:hAnsi="Arial" w:cs="Arial"/>
        </w:rPr>
        <w:t>Given that broad authority to enter an order serving the interests of justice, it is arguable that a court has discretion to waive the imposition of testing costs for a non-indigent defendant when the results are favorable</w:t>
      </w:r>
      <w:r w:rsidR="005F22A9">
        <w:rPr>
          <w:rFonts w:ascii="Arial" w:hAnsi="Arial" w:cs="Arial"/>
        </w:rPr>
        <w:t xml:space="preserve"> to him or her</w:t>
      </w:r>
      <w:r w:rsidR="005C5B94">
        <w:rPr>
          <w:rFonts w:ascii="Arial" w:hAnsi="Arial" w:cs="Arial"/>
        </w:rPr>
        <w:t>.</w:t>
      </w:r>
    </w:p>
    <w:p w14:paraId="4AE595ED" w14:textId="77777777" w:rsidR="00FB6E7F" w:rsidRPr="00C4160B" w:rsidRDefault="00FB6E7F">
      <w:pPr>
        <w:spacing w:after="0" w:line="240" w:lineRule="auto"/>
        <w:ind w:left="1440" w:hanging="720"/>
        <w:rPr>
          <w:rFonts w:ascii="Arial" w:hAnsi="Arial" w:cs="Arial"/>
        </w:rPr>
      </w:pPr>
    </w:p>
    <w:p w14:paraId="64B581EF" w14:textId="1FEC7D6A" w:rsidR="00CC2985" w:rsidRPr="00C4160B" w:rsidRDefault="00490F28" w:rsidP="00A2284D">
      <w:pPr>
        <w:pStyle w:val="ListParagraph"/>
        <w:numPr>
          <w:ilvl w:val="0"/>
          <w:numId w:val="2"/>
        </w:numPr>
        <w:spacing w:after="0" w:line="240" w:lineRule="auto"/>
        <w:ind w:left="720"/>
        <w:rPr>
          <w:rFonts w:ascii="Arial" w:hAnsi="Arial" w:cs="Arial"/>
        </w:rPr>
      </w:pPr>
      <w:bookmarkStart w:id="40" w:name="_Toc384048567"/>
      <w:bookmarkStart w:id="41" w:name="_Toc416436066"/>
      <w:bookmarkStart w:id="42" w:name="_Toc416436144"/>
      <w:r w:rsidRPr="00C4160B">
        <w:rPr>
          <w:rStyle w:val="Heading1Char"/>
        </w:rPr>
        <w:t>Responsibilities of Custodial A</w:t>
      </w:r>
      <w:r w:rsidR="00EB7A44" w:rsidRPr="00C4160B">
        <w:rPr>
          <w:rStyle w:val="Heading1Char"/>
        </w:rPr>
        <w:t>gency</w:t>
      </w:r>
      <w:bookmarkEnd w:id="40"/>
      <w:bookmarkEnd w:id="41"/>
      <w:bookmarkEnd w:id="42"/>
      <w:r w:rsidR="00EB7A44" w:rsidRPr="00C4160B">
        <w:rPr>
          <w:rFonts w:ascii="Arial" w:hAnsi="Arial" w:cs="Arial"/>
          <w:b/>
        </w:rPr>
        <w:t xml:space="preserve">. </w:t>
      </w:r>
      <w:r w:rsidRPr="00C4160B">
        <w:rPr>
          <w:rFonts w:ascii="Arial" w:hAnsi="Arial" w:cs="Arial"/>
        </w:rPr>
        <w:t>U</w:t>
      </w:r>
      <w:r w:rsidR="00EB7A44" w:rsidRPr="00C4160B">
        <w:rPr>
          <w:rFonts w:ascii="Arial" w:hAnsi="Arial" w:cs="Arial"/>
        </w:rPr>
        <w:t xml:space="preserve">pon receiving a motion for post-conviction DNA testing, the custodial agency must </w:t>
      </w:r>
      <w:r w:rsidR="00961990" w:rsidRPr="00C4160B">
        <w:rPr>
          <w:rFonts w:ascii="Arial" w:hAnsi="Arial" w:cs="Arial"/>
        </w:rPr>
        <w:t>“</w:t>
      </w:r>
      <w:r w:rsidR="00EB7A44" w:rsidRPr="00C4160B">
        <w:rPr>
          <w:rFonts w:ascii="Arial" w:hAnsi="Arial" w:cs="Arial"/>
        </w:rPr>
        <w:t xml:space="preserve">inventory the evidence pertaining to </w:t>
      </w:r>
      <w:r w:rsidR="00961990" w:rsidRPr="00C4160B">
        <w:rPr>
          <w:rFonts w:ascii="Arial" w:hAnsi="Arial" w:cs="Arial"/>
        </w:rPr>
        <w:t>[</w:t>
      </w:r>
      <w:r w:rsidR="00EB7A44" w:rsidRPr="00C4160B">
        <w:rPr>
          <w:rFonts w:ascii="Arial" w:hAnsi="Arial" w:cs="Arial"/>
        </w:rPr>
        <w:t>the</w:t>
      </w:r>
      <w:r w:rsidR="00961990" w:rsidRPr="00C4160B">
        <w:rPr>
          <w:rFonts w:ascii="Arial" w:hAnsi="Arial" w:cs="Arial"/>
        </w:rPr>
        <w:t>]</w:t>
      </w:r>
      <w:r w:rsidR="00EB7A44" w:rsidRPr="00C4160B">
        <w:rPr>
          <w:rFonts w:ascii="Arial" w:hAnsi="Arial" w:cs="Arial"/>
        </w:rPr>
        <w:t xml:space="preserve"> case and provide the inventory list, as well as any documents, notes, logs, or reports relating to the items of physical evidence, to the prosecution, the </w:t>
      </w:r>
      <w:r w:rsidR="00961990" w:rsidRPr="00C4160B">
        <w:rPr>
          <w:rFonts w:ascii="Arial" w:hAnsi="Arial" w:cs="Arial"/>
        </w:rPr>
        <w:t>[</w:t>
      </w:r>
      <w:r w:rsidR="00CC2985" w:rsidRPr="00C4160B">
        <w:rPr>
          <w:rFonts w:ascii="Arial" w:hAnsi="Arial" w:cs="Arial"/>
        </w:rPr>
        <w:t>defendant</w:t>
      </w:r>
      <w:r w:rsidR="00961990" w:rsidRPr="00C4160B">
        <w:rPr>
          <w:rFonts w:ascii="Arial" w:hAnsi="Arial" w:cs="Arial"/>
        </w:rPr>
        <w:t>]</w:t>
      </w:r>
      <w:r w:rsidR="00EB7A44" w:rsidRPr="00C4160B">
        <w:rPr>
          <w:rFonts w:ascii="Arial" w:hAnsi="Arial" w:cs="Arial"/>
        </w:rPr>
        <w:t>, and the court.</w:t>
      </w:r>
      <w:r w:rsidR="00961990" w:rsidRPr="00C4160B">
        <w:rPr>
          <w:rFonts w:ascii="Arial" w:hAnsi="Arial" w:cs="Arial"/>
        </w:rPr>
        <w:t>”</w:t>
      </w:r>
      <w:r w:rsidR="00EB7A44" w:rsidRPr="00C4160B">
        <w:rPr>
          <w:rFonts w:ascii="Arial" w:hAnsi="Arial" w:cs="Arial"/>
        </w:rPr>
        <w:t xml:space="preserve"> </w:t>
      </w:r>
      <w:r w:rsidR="0046421E" w:rsidRPr="00C4160B">
        <w:rPr>
          <w:rFonts w:ascii="Arial" w:hAnsi="Arial" w:cs="Arial"/>
        </w:rPr>
        <w:t>G.S. 15A-269(f)</w:t>
      </w:r>
      <w:r w:rsidR="001F7FDC" w:rsidRPr="00C4160B">
        <w:rPr>
          <w:rFonts w:ascii="Arial" w:hAnsi="Arial" w:cs="Arial"/>
        </w:rPr>
        <w:t xml:space="preserve">; </w:t>
      </w:r>
      <w:r w:rsidR="0046421E" w:rsidRPr="00C4160B">
        <w:rPr>
          <w:rFonts w:ascii="Arial" w:hAnsi="Arial" w:cs="Arial"/>
        </w:rPr>
        <w:t xml:space="preserve">State v. </w:t>
      </w:r>
      <w:proofErr w:type="spellStart"/>
      <w:r w:rsidR="0046421E" w:rsidRPr="00C4160B">
        <w:rPr>
          <w:rFonts w:ascii="Arial" w:hAnsi="Arial" w:cs="Arial"/>
        </w:rPr>
        <w:t>Doisey</w:t>
      </w:r>
      <w:proofErr w:type="spellEnd"/>
      <w:r w:rsidR="0046421E" w:rsidRPr="00C4160B">
        <w:rPr>
          <w:rFonts w:ascii="Arial" w:hAnsi="Arial" w:cs="Arial"/>
        </w:rPr>
        <w:t xml:space="preserve">, </w:t>
      </w:r>
      <w:r w:rsidR="008A66B8">
        <w:rPr>
          <w:rFonts w:ascii="Arial" w:hAnsi="Arial" w:cs="Arial"/>
        </w:rPr>
        <w:t>240</w:t>
      </w:r>
      <w:r w:rsidR="0046421E" w:rsidRPr="00C4160B">
        <w:rPr>
          <w:rFonts w:ascii="Arial" w:hAnsi="Arial" w:cs="Arial"/>
        </w:rPr>
        <w:t xml:space="preserve"> N.C. App. </w:t>
      </w:r>
      <w:r w:rsidR="008A66B8">
        <w:rPr>
          <w:rFonts w:ascii="Arial" w:hAnsi="Arial" w:cs="Arial"/>
        </w:rPr>
        <w:t>441, 445</w:t>
      </w:r>
      <w:r w:rsidR="0046421E" w:rsidRPr="00C4160B">
        <w:rPr>
          <w:rFonts w:ascii="Arial" w:hAnsi="Arial" w:cs="Arial"/>
        </w:rPr>
        <w:t xml:space="preserve"> (2015) (a request for post-conviction DNA testing triggers an obligation for the custodial agency to inventory relevant biological evidence; a defendant who requests DNA testing under G.S. 15A-269 need not make any additional written request for an inventory of biological evidence)</w:t>
      </w:r>
      <w:r w:rsidR="00982CC3">
        <w:rPr>
          <w:rFonts w:ascii="Arial" w:hAnsi="Arial" w:cs="Arial"/>
        </w:rPr>
        <w:t>; State v. Randall, 259 N.C</w:t>
      </w:r>
      <w:r w:rsidR="00E470BA">
        <w:rPr>
          <w:rFonts w:ascii="Arial" w:hAnsi="Arial" w:cs="Arial"/>
        </w:rPr>
        <w:t>.</w:t>
      </w:r>
      <w:r w:rsidR="00982CC3">
        <w:rPr>
          <w:rFonts w:ascii="Arial" w:hAnsi="Arial" w:cs="Arial"/>
        </w:rPr>
        <w:t xml:space="preserve"> App. 885, 890 (2018)</w:t>
      </w:r>
      <w:r w:rsidR="00856B49">
        <w:rPr>
          <w:rFonts w:ascii="Arial" w:hAnsi="Arial" w:cs="Arial"/>
        </w:rPr>
        <w:t xml:space="preserve"> (same; </w:t>
      </w:r>
      <w:r w:rsidR="00856B49">
        <w:rPr>
          <w:rFonts w:ascii="Arial" w:hAnsi="Arial" w:cs="Arial"/>
          <w:i/>
          <w:iCs/>
        </w:rPr>
        <w:t xml:space="preserve">citing </w:t>
      </w:r>
      <w:proofErr w:type="spellStart"/>
      <w:r w:rsidR="00856B49">
        <w:rPr>
          <w:rFonts w:ascii="Arial" w:hAnsi="Arial" w:cs="Arial"/>
          <w:i/>
          <w:iCs/>
        </w:rPr>
        <w:t>Doisey</w:t>
      </w:r>
      <w:proofErr w:type="spellEnd"/>
      <w:r w:rsidR="00856B49">
        <w:rPr>
          <w:rFonts w:ascii="Arial" w:hAnsi="Arial" w:cs="Arial"/>
        </w:rPr>
        <w:t>)</w:t>
      </w:r>
      <w:r w:rsidR="001F7FDC" w:rsidRPr="00C4160B">
        <w:rPr>
          <w:rFonts w:ascii="Arial" w:hAnsi="Arial" w:cs="Arial"/>
        </w:rPr>
        <w:t xml:space="preserve">. </w:t>
      </w:r>
      <w:r w:rsidR="00EB7A44" w:rsidRPr="00C4160B">
        <w:rPr>
          <w:rFonts w:ascii="Arial" w:hAnsi="Arial" w:cs="Arial"/>
        </w:rPr>
        <w:t>However, because the statute does not require service of the motion on the custodial agency, it is not clear how that agency will receive the motion</w:t>
      </w:r>
      <w:r w:rsidR="00965317">
        <w:rPr>
          <w:rFonts w:ascii="Arial" w:hAnsi="Arial" w:cs="Arial"/>
        </w:rPr>
        <w:t xml:space="preserve"> that</w:t>
      </w:r>
      <w:r w:rsidR="00C15475">
        <w:rPr>
          <w:rFonts w:ascii="Arial" w:hAnsi="Arial" w:cs="Arial"/>
        </w:rPr>
        <w:t xml:space="preserve"> </w:t>
      </w:r>
      <w:r w:rsidR="00EB7A44" w:rsidRPr="00C4160B">
        <w:rPr>
          <w:rFonts w:ascii="Arial" w:hAnsi="Arial" w:cs="Arial"/>
        </w:rPr>
        <w:t>triggers its obligation to undertake these actions.</w:t>
      </w:r>
      <w:r w:rsidR="002251A8">
        <w:rPr>
          <w:rFonts w:ascii="Arial" w:hAnsi="Arial" w:cs="Arial"/>
        </w:rPr>
        <w:t xml:space="preserve"> </w:t>
      </w:r>
      <w:r w:rsidR="00DF57F2">
        <w:rPr>
          <w:rFonts w:ascii="Arial" w:hAnsi="Arial" w:cs="Arial"/>
          <w:i/>
          <w:iCs/>
        </w:rPr>
        <w:t>Cf.</w:t>
      </w:r>
      <w:r w:rsidR="002251A8">
        <w:rPr>
          <w:rFonts w:ascii="Arial" w:hAnsi="Arial" w:cs="Arial"/>
        </w:rPr>
        <w:t xml:space="preserve"> </w:t>
      </w:r>
      <w:r w:rsidR="006F6C62">
        <w:rPr>
          <w:rFonts w:ascii="Arial" w:hAnsi="Arial" w:cs="Arial"/>
        </w:rPr>
        <w:t xml:space="preserve">State v. Tilghman, 261 N.C. App. 716, 723 (2018) (statute is silent as to who bears the burden of serving the motion on the custodial agency); </w:t>
      </w:r>
      <w:r w:rsidR="002251A8">
        <w:rPr>
          <w:rFonts w:ascii="Arial" w:hAnsi="Arial" w:cs="Arial"/>
          <w:i/>
          <w:iCs/>
        </w:rPr>
        <w:t>Randall</w:t>
      </w:r>
      <w:r w:rsidR="00E470BA">
        <w:rPr>
          <w:rFonts w:ascii="Arial" w:hAnsi="Arial" w:cs="Arial"/>
        </w:rPr>
        <w:t xml:space="preserve"> 259 N.C. App. at 890 (noting that the State contacted the re</w:t>
      </w:r>
      <w:r w:rsidR="006F6C62">
        <w:rPr>
          <w:rFonts w:ascii="Arial" w:hAnsi="Arial" w:cs="Arial"/>
        </w:rPr>
        <w:t xml:space="preserve">levant </w:t>
      </w:r>
      <w:r w:rsidR="00E470BA">
        <w:rPr>
          <w:rFonts w:ascii="Arial" w:hAnsi="Arial" w:cs="Arial"/>
        </w:rPr>
        <w:t>law enforcement agency to notify the agency of the defendant’s motion).</w:t>
      </w:r>
    </w:p>
    <w:p w14:paraId="224689B0" w14:textId="77777777" w:rsidR="00CC2985" w:rsidRPr="00C4160B" w:rsidRDefault="00CC2985">
      <w:pPr>
        <w:pStyle w:val="ListParagraph"/>
        <w:spacing w:after="0" w:line="240" w:lineRule="auto"/>
        <w:rPr>
          <w:rFonts w:ascii="Arial" w:hAnsi="Arial" w:cs="Arial"/>
        </w:rPr>
      </w:pPr>
    </w:p>
    <w:p w14:paraId="071CF2F1" w14:textId="77777777" w:rsidR="00CC2985" w:rsidRPr="00C4160B" w:rsidRDefault="00EB7A44" w:rsidP="00A2284D">
      <w:pPr>
        <w:pStyle w:val="ListParagraph"/>
        <w:numPr>
          <w:ilvl w:val="0"/>
          <w:numId w:val="2"/>
        </w:numPr>
        <w:spacing w:after="0" w:line="240" w:lineRule="auto"/>
        <w:ind w:left="720"/>
        <w:rPr>
          <w:rFonts w:ascii="Arial" w:hAnsi="Arial" w:cs="Arial"/>
        </w:rPr>
      </w:pPr>
      <w:bookmarkStart w:id="43" w:name="_Toc384048568"/>
      <w:bookmarkStart w:id="44" w:name="_Toc416436067"/>
      <w:bookmarkStart w:id="45" w:name="_Toc416436145"/>
      <w:r w:rsidRPr="00C4160B">
        <w:rPr>
          <w:rStyle w:val="Heading1Char"/>
        </w:rPr>
        <w:t xml:space="preserve">State’s </w:t>
      </w:r>
      <w:r w:rsidR="00490F28" w:rsidRPr="00C4160B">
        <w:rPr>
          <w:rStyle w:val="Heading1Char"/>
        </w:rPr>
        <w:t>Responsibilities to V</w:t>
      </w:r>
      <w:r w:rsidRPr="00C4160B">
        <w:rPr>
          <w:rStyle w:val="Heading1Char"/>
        </w:rPr>
        <w:t>ictims</w:t>
      </w:r>
      <w:bookmarkEnd w:id="43"/>
      <w:bookmarkEnd w:id="44"/>
      <w:bookmarkEnd w:id="45"/>
      <w:r w:rsidRPr="00C4160B">
        <w:rPr>
          <w:rFonts w:ascii="Arial" w:hAnsi="Arial" w:cs="Arial"/>
          <w:b/>
        </w:rPr>
        <w:t xml:space="preserve">. </w:t>
      </w:r>
      <w:r w:rsidR="00490F28" w:rsidRPr="00C4160B">
        <w:rPr>
          <w:rFonts w:ascii="Arial" w:hAnsi="Arial" w:cs="Arial"/>
        </w:rPr>
        <w:t>U</w:t>
      </w:r>
      <w:r w:rsidRPr="00C4160B">
        <w:rPr>
          <w:rFonts w:ascii="Arial" w:hAnsi="Arial" w:cs="Arial"/>
        </w:rPr>
        <w:t xml:space="preserve">pon receiving a motion for post-conviction DNA testing, the State must, “upon request, reactivate any victim services for the victim of the crime being investigated during the reinvestigation of the case and pendency of the proceedings.” </w:t>
      </w:r>
      <w:r w:rsidR="0046421E" w:rsidRPr="00C4160B">
        <w:rPr>
          <w:rFonts w:ascii="Arial" w:hAnsi="Arial" w:cs="Arial"/>
        </w:rPr>
        <w:t>G.S. 15A-269(g)</w:t>
      </w:r>
      <w:r w:rsidR="00490F28" w:rsidRPr="00C4160B">
        <w:rPr>
          <w:rFonts w:ascii="Arial" w:hAnsi="Arial" w:cs="Arial"/>
        </w:rPr>
        <w:t xml:space="preserve">. </w:t>
      </w:r>
      <w:r w:rsidRPr="00C4160B">
        <w:rPr>
          <w:rFonts w:ascii="Arial" w:hAnsi="Arial" w:cs="Arial"/>
        </w:rPr>
        <w:t xml:space="preserve">The provision does not specify who may make the request. </w:t>
      </w:r>
    </w:p>
    <w:p w14:paraId="7CA0BE65" w14:textId="77777777" w:rsidR="00CC2985" w:rsidRPr="00C4160B" w:rsidRDefault="00CC2985" w:rsidP="00A2284D">
      <w:pPr>
        <w:pStyle w:val="ListParagraph"/>
        <w:spacing w:line="240" w:lineRule="auto"/>
        <w:rPr>
          <w:rFonts w:ascii="Arial" w:hAnsi="Arial" w:cs="Arial"/>
          <w:b/>
        </w:rPr>
      </w:pPr>
    </w:p>
    <w:p w14:paraId="3DB52765" w14:textId="4FBD145F" w:rsidR="007C49B9" w:rsidRPr="00C4160B" w:rsidRDefault="00EB7A44" w:rsidP="00A2284D">
      <w:pPr>
        <w:pStyle w:val="ListParagraph"/>
        <w:numPr>
          <w:ilvl w:val="0"/>
          <w:numId w:val="2"/>
        </w:numPr>
        <w:spacing w:after="0" w:line="240" w:lineRule="auto"/>
        <w:ind w:left="720"/>
        <w:rPr>
          <w:rFonts w:ascii="Arial" w:hAnsi="Arial" w:cs="Arial"/>
        </w:rPr>
      </w:pPr>
      <w:bookmarkStart w:id="46" w:name="_Toc384048569"/>
      <w:bookmarkStart w:id="47" w:name="_Toc416436068"/>
      <w:bookmarkStart w:id="48" w:name="_Toc416436146"/>
      <w:r w:rsidRPr="00C4160B">
        <w:rPr>
          <w:rStyle w:val="Heading1Char"/>
        </w:rPr>
        <w:t>Appeal</w:t>
      </w:r>
      <w:bookmarkEnd w:id="46"/>
      <w:bookmarkEnd w:id="47"/>
      <w:bookmarkEnd w:id="48"/>
      <w:r w:rsidRPr="00C4160B">
        <w:rPr>
          <w:rFonts w:ascii="Arial" w:hAnsi="Arial" w:cs="Arial"/>
          <w:b/>
        </w:rPr>
        <w:t xml:space="preserve">. </w:t>
      </w:r>
      <w:r w:rsidR="0046421E" w:rsidRPr="00C4160B">
        <w:rPr>
          <w:rFonts w:ascii="Arial" w:hAnsi="Arial" w:cs="Arial"/>
        </w:rPr>
        <w:t>G.S. 15A-270.1</w:t>
      </w:r>
      <w:r w:rsidRPr="00C4160B">
        <w:rPr>
          <w:rFonts w:ascii="Arial" w:hAnsi="Arial" w:cs="Arial"/>
        </w:rPr>
        <w:t xml:space="preserve"> provides that a defendant may appeal an order denying a motion for testing. </w:t>
      </w:r>
      <w:r w:rsidR="00CC2985" w:rsidRPr="00C4160B">
        <w:rPr>
          <w:rFonts w:ascii="Arial" w:hAnsi="Arial" w:cs="Arial"/>
          <w:i/>
        </w:rPr>
        <w:t xml:space="preserve">See </w:t>
      </w:r>
      <w:r w:rsidR="0046421E" w:rsidRPr="00C4160B">
        <w:rPr>
          <w:rFonts w:ascii="Arial" w:hAnsi="Arial" w:cs="Arial"/>
          <w:i/>
        </w:rPr>
        <w:t xml:space="preserve">Hewson, </w:t>
      </w:r>
      <w:r w:rsidR="0046421E" w:rsidRPr="00C4160B">
        <w:rPr>
          <w:rFonts w:ascii="Arial" w:hAnsi="Arial" w:cs="Arial"/>
        </w:rPr>
        <w:t>220 N.C. App. at 121 (recognizing the defendant’s right to appeal)</w:t>
      </w:r>
      <w:r w:rsidR="00CC2985" w:rsidRPr="00C4160B">
        <w:rPr>
          <w:rFonts w:ascii="Arial" w:hAnsi="Arial" w:cs="Arial"/>
        </w:rPr>
        <w:t xml:space="preserve">. </w:t>
      </w:r>
      <w:r w:rsidR="00490F28" w:rsidRPr="00C4160B">
        <w:rPr>
          <w:rFonts w:ascii="Arial" w:hAnsi="Arial" w:cs="Arial"/>
        </w:rPr>
        <w:t>T</w:t>
      </w:r>
      <w:r w:rsidRPr="00C4160B">
        <w:rPr>
          <w:rFonts w:ascii="Arial" w:hAnsi="Arial" w:cs="Arial"/>
        </w:rPr>
        <w:t>he court must appoint counsel for the appeal</w:t>
      </w:r>
      <w:r w:rsidR="00490F28" w:rsidRPr="00C4160B">
        <w:rPr>
          <w:rFonts w:ascii="Arial" w:hAnsi="Arial" w:cs="Arial"/>
        </w:rPr>
        <w:t xml:space="preserve"> in accordance with IDS rules</w:t>
      </w:r>
      <w:r w:rsidRPr="00C4160B">
        <w:rPr>
          <w:rFonts w:ascii="Arial" w:hAnsi="Arial" w:cs="Arial"/>
        </w:rPr>
        <w:t xml:space="preserve">, upon a finding of indigency. </w:t>
      </w:r>
      <w:r w:rsidR="0046421E" w:rsidRPr="00C4160B">
        <w:rPr>
          <w:rFonts w:ascii="Arial" w:hAnsi="Arial" w:cs="Arial"/>
        </w:rPr>
        <w:t>G.S. 15A-270.1</w:t>
      </w:r>
      <w:r w:rsidR="00CC2985" w:rsidRPr="00C4160B">
        <w:rPr>
          <w:rFonts w:ascii="Arial" w:hAnsi="Arial" w:cs="Arial"/>
        </w:rPr>
        <w:t xml:space="preserve">. On appeal of an order denying a motion for DNA testing, the trial court’s findings of fact </w:t>
      </w:r>
      <w:r w:rsidR="00EF4B5E">
        <w:rPr>
          <w:rFonts w:ascii="Arial" w:hAnsi="Arial" w:cs="Arial"/>
        </w:rPr>
        <w:t xml:space="preserve">(if made) </w:t>
      </w:r>
      <w:r w:rsidR="00CC2985" w:rsidRPr="00C4160B">
        <w:rPr>
          <w:rFonts w:ascii="Arial" w:hAnsi="Arial" w:cs="Arial"/>
        </w:rPr>
        <w:t>are binding if supported by competent evidence and may not be disturbed absent an abuse of discretion; conclusions of law are reviewed de novo.</w:t>
      </w:r>
      <w:r w:rsidR="00886D1C">
        <w:rPr>
          <w:rFonts w:ascii="Arial" w:hAnsi="Arial" w:cs="Arial"/>
        </w:rPr>
        <w:t xml:space="preserve"> State v. Lane, 370 N.C. 508, 517 (2018)</w:t>
      </w:r>
      <w:r w:rsidR="00DF57F2">
        <w:rPr>
          <w:rFonts w:ascii="Arial" w:hAnsi="Arial" w:cs="Arial"/>
        </w:rPr>
        <w:t>; State v. Alexander, 380 N.C.  572, 582 (2022)</w:t>
      </w:r>
      <w:r w:rsidR="00886D1C">
        <w:rPr>
          <w:rFonts w:ascii="Arial" w:hAnsi="Arial" w:cs="Arial"/>
        </w:rPr>
        <w:t>.</w:t>
      </w:r>
      <w:r w:rsidR="00CC2985" w:rsidRPr="00C4160B">
        <w:rPr>
          <w:rFonts w:ascii="Arial" w:hAnsi="Arial" w:cs="Arial"/>
        </w:rPr>
        <w:t xml:space="preserve"> </w:t>
      </w:r>
      <w:r w:rsidR="00E33A68">
        <w:rPr>
          <w:rFonts w:ascii="Arial" w:hAnsi="Arial" w:cs="Arial"/>
        </w:rPr>
        <w:t xml:space="preserve">The Court of Appeals has held that the procedures of </w:t>
      </w:r>
      <w:r w:rsidR="00E33A68">
        <w:rPr>
          <w:rFonts w:ascii="Arial" w:hAnsi="Arial" w:cs="Arial"/>
          <w:i/>
          <w:iCs/>
        </w:rPr>
        <w:t>Anders v. California</w:t>
      </w:r>
      <w:r w:rsidR="00E33A68">
        <w:rPr>
          <w:rFonts w:ascii="Arial" w:hAnsi="Arial" w:cs="Arial"/>
        </w:rPr>
        <w:t>, 386 U.S. 738 (1967)</w:t>
      </w:r>
      <w:r w:rsidR="002D2944">
        <w:rPr>
          <w:rFonts w:ascii="Arial" w:hAnsi="Arial" w:cs="Arial"/>
        </w:rPr>
        <w:t xml:space="preserve"> (describing appellate counsel’s duties upon making a determination that meritorious arguments for relief on appeal </w:t>
      </w:r>
      <w:r w:rsidR="004D56AF">
        <w:rPr>
          <w:rFonts w:ascii="Arial" w:hAnsi="Arial" w:cs="Arial"/>
        </w:rPr>
        <w:t xml:space="preserve">do not </w:t>
      </w:r>
      <w:r w:rsidR="002D2944">
        <w:rPr>
          <w:rFonts w:ascii="Arial" w:hAnsi="Arial" w:cs="Arial"/>
        </w:rPr>
        <w:t xml:space="preserve">exist) apply to appeals pursuant to G.S. 15A-270.1 notwithstanding the fact that the right to appeal is a statutory rather than constitutional right. State v. Velasquez-Cardenas, 259 N.C. App. 211, 225 (2018). </w:t>
      </w:r>
    </w:p>
    <w:p w14:paraId="69B52D86" w14:textId="77777777" w:rsidR="00CC2985" w:rsidRPr="00C4160B" w:rsidRDefault="007C49B9">
      <w:pPr>
        <w:pStyle w:val="ListParagraph"/>
        <w:spacing w:after="0" w:line="240" w:lineRule="auto"/>
        <w:ind w:firstLine="360"/>
        <w:rPr>
          <w:rFonts w:ascii="Arial" w:hAnsi="Arial" w:cs="Arial"/>
        </w:rPr>
      </w:pPr>
      <w:r w:rsidRPr="00C4160B">
        <w:rPr>
          <w:rFonts w:ascii="Arial" w:hAnsi="Arial" w:cs="Arial"/>
        </w:rPr>
        <w:t xml:space="preserve">A </w:t>
      </w:r>
      <w:r w:rsidR="00EB7A44" w:rsidRPr="00C4160B">
        <w:rPr>
          <w:rFonts w:ascii="Arial" w:hAnsi="Arial" w:cs="Arial"/>
        </w:rPr>
        <w:t xml:space="preserve">defendant has no right to appeal the trial court’s order denying relief following a hearing to evaluate the results of any testing ordered. </w:t>
      </w:r>
      <w:r w:rsidR="0046421E" w:rsidRPr="00C4160B">
        <w:rPr>
          <w:rFonts w:ascii="Arial" w:hAnsi="Arial" w:cs="Arial"/>
        </w:rPr>
        <w:t>State v. Norman, 202 N.C. App. 329, 334 (2010)</w:t>
      </w:r>
      <w:r w:rsidR="00EB7A44" w:rsidRPr="00C4160B">
        <w:rPr>
          <w:rFonts w:ascii="Arial" w:hAnsi="Arial" w:cs="Arial"/>
        </w:rPr>
        <w:t>.</w:t>
      </w:r>
      <w:r w:rsidR="000B6C91" w:rsidRPr="00C4160B">
        <w:rPr>
          <w:rFonts w:ascii="Arial" w:hAnsi="Arial" w:cs="Arial"/>
        </w:rPr>
        <w:t xml:space="preserve"> </w:t>
      </w:r>
    </w:p>
    <w:p w14:paraId="62732F12" w14:textId="77777777" w:rsidR="00852B40" w:rsidRDefault="00852B40" w:rsidP="00DC2900">
      <w:pPr>
        <w:spacing w:after="0" w:line="240" w:lineRule="auto"/>
        <w:rPr>
          <w:rFonts w:ascii="Arial" w:hAnsi="Arial" w:cs="Arial"/>
          <w:sz w:val="18"/>
          <w:szCs w:val="18"/>
        </w:rPr>
      </w:pPr>
    </w:p>
    <w:p w14:paraId="0B568AEC" w14:textId="77777777" w:rsidR="00DC2900" w:rsidRDefault="00DC2900" w:rsidP="00DC2900">
      <w:pPr>
        <w:spacing w:after="0" w:line="240" w:lineRule="auto"/>
        <w:rPr>
          <w:rFonts w:ascii="Arial" w:hAnsi="Arial" w:cs="Arial"/>
          <w:sz w:val="18"/>
          <w:szCs w:val="18"/>
        </w:rPr>
      </w:pPr>
    </w:p>
    <w:p w14:paraId="6021A210" w14:textId="77777777" w:rsidR="00DC2900" w:rsidRDefault="00DC2900" w:rsidP="00DC2900">
      <w:pPr>
        <w:spacing w:after="0" w:line="240" w:lineRule="auto"/>
        <w:rPr>
          <w:rFonts w:ascii="Arial" w:hAnsi="Arial" w:cs="Arial"/>
          <w:sz w:val="18"/>
          <w:szCs w:val="18"/>
        </w:rPr>
      </w:pPr>
    </w:p>
    <w:p w14:paraId="6108E1F5" w14:textId="77777777" w:rsidR="00DC2900" w:rsidRDefault="00DC2900" w:rsidP="00DC2900">
      <w:pPr>
        <w:spacing w:after="0" w:line="240" w:lineRule="auto"/>
        <w:rPr>
          <w:rFonts w:ascii="Arial" w:hAnsi="Arial" w:cs="Arial"/>
          <w:sz w:val="18"/>
          <w:szCs w:val="18"/>
        </w:rPr>
      </w:pPr>
    </w:p>
    <w:p w14:paraId="77B7C5B4" w14:textId="77777777" w:rsidR="00DC2900" w:rsidRDefault="00DC2900" w:rsidP="00DC2900">
      <w:pPr>
        <w:spacing w:after="0" w:line="240" w:lineRule="auto"/>
        <w:rPr>
          <w:rFonts w:ascii="Arial" w:hAnsi="Arial" w:cs="Arial"/>
          <w:sz w:val="18"/>
          <w:szCs w:val="18"/>
        </w:rPr>
      </w:pPr>
    </w:p>
    <w:p w14:paraId="0BCA5875" w14:textId="77777777" w:rsidR="00DC2900" w:rsidRDefault="00DC2900" w:rsidP="00DC2900">
      <w:pPr>
        <w:spacing w:after="0" w:line="240" w:lineRule="auto"/>
        <w:rPr>
          <w:rFonts w:ascii="Arial" w:hAnsi="Arial" w:cs="Arial"/>
          <w:sz w:val="18"/>
          <w:szCs w:val="18"/>
        </w:rPr>
      </w:pPr>
    </w:p>
    <w:p w14:paraId="3CD5AC3B" w14:textId="77777777" w:rsidR="00DC2900" w:rsidRDefault="00DC2900" w:rsidP="00DC2900">
      <w:pPr>
        <w:spacing w:after="0" w:line="240" w:lineRule="auto"/>
        <w:rPr>
          <w:rFonts w:ascii="Arial" w:hAnsi="Arial" w:cs="Arial"/>
          <w:sz w:val="18"/>
          <w:szCs w:val="18"/>
        </w:rPr>
      </w:pPr>
    </w:p>
    <w:p w14:paraId="7F8C044A" w14:textId="77777777" w:rsidR="00DC2900" w:rsidRDefault="00DC2900" w:rsidP="00DC2900">
      <w:pPr>
        <w:spacing w:after="0" w:line="240" w:lineRule="auto"/>
        <w:rPr>
          <w:rFonts w:ascii="Arial" w:hAnsi="Arial" w:cs="Arial"/>
          <w:sz w:val="18"/>
          <w:szCs w:val="18"/>
        </w:rPr>
      </w:pPr>
    </w:p>
    <w:p w14:paraId="087381D8" w14:textId="77777777" w:rsidR="00DC2900" w:rsidRDefault="00DC2900" w:rsidP="00DC2900">
      <w:pPr>
        <w:spacing w:after="0" w:line="240" w:lineRule="auto"/>
        <w:rPr>
          <w:rFonts w:ascii="Arial" w:hAnsi="Arial" w:cs="Arial"/>
          <w:sz w:val="18"/>
          <w:szCs w:val="18"/>
        </w:rPr>
      </w:pPr>
    </w:p>
    <w:p w14:paraId="5203B718" w14:textId="77777777" w:rsidR="00DC2900" w:rsidRDefault="00DC2900" w:rsidP="00DC2900">
      <w:pPr>
        <w:spacing w:after="0" w:line="240" w:lineRule="auto"/>
        <w:rPr>
          <w:rFonts w:ascii="Arial" w:hAnsi="Arial" w:cs="Arial"/>
          <w:sz w:val="18"/>
          <w:szCs w:val="18"/>
        </w:rPr>
      </w:pPr>
    </w:p>
    <w:p w14:paraId="10351449" w14:textId="77777777" w:rsidR="00DC2900" w:rsidRDefault="00DC2900" w:rsidP="00DC2900">
      <w:pPr>
        <w:spacing w:after="0" w:line="240" w:lineRule="auto"/>
        <w:rPr>
          <w:rFonts w:ascii="Arial" w:hAnsi="Arial" w:cs="Arial"/>
          <w:sz w:val="18"/>
          <w:szCs w:val="18"/>
        </w:rPr>
      </w:pPr>
    </w:p>
    <w:p w14:paraId="494C803E" w14:textId="77777777" w:rsidR="00DC2900" w:rsidRDefault="00DC2900" w:rsidP="00DC2900">
      <w:pPr>
        <w:spacing w:after="0" w:line="240" w:lineRule="auto"/>
        <w:rPr>
          <w:rFonts w:ascii="Arial" w:hAnsi="Arial" w:cs="Arial"/>
          <w:sz w:val="18"/>
          <w:szCs w:val="18"/>
        </w:rPr>
      </w:pPr>
    </w:p>
    <w:p w14:paraId="4181A74E" w14:textId="77777777" w:rsidR="00DC2900" w:rsidRDefault="00DC2900" w:rsidP="00DC2900">
      <w:pPr>
        <w:spacing w:after="0" w:line="240" w:lineRule="auto"/>
        <w:rPr>
          <w:rFonts w:ascii="Arial" w:hAnsi="Arial" w:cs="Arial"/>
          <w:sz w:val="18"/>
          <w:szCs w:val="18"/>
        </w:rPr>
      </w:pPr>
    </w:p>
    <w:p w14:paraId="567CDD6F" w14:textId="77777777" w:rsidR="00DC2900" w:rsidRDefault="00DC2900" w:rsidP="00DC2900">
      <w:pPr>
        <w:spacing w:after="0" w:line="240" w:lineRule="auto"/>
        <w:rPr>
          <w:rFonts w:ascii="Arial" w:hAnsi="Arial" w:cs="Arial"/>
          <w:sz w:val="18"/>
          <w:szCs w:val="18"/>
        </w:rPr>
      </w:pPr>
    </w:p>
    <w:p w14:paraId="511E5A03" w14:textId="77777777" w:rsidR="00DC2900" w:rsidRDefault="00DC2900" w:rsidP="00DC2900">
      <w:pPr>
        <w:spacing w:after="0" w:line="240" w:lineRule="auto"/>
        <w:rPr>
          <w:rFonts w:ascii="Arial" w:hAnsi="Arial" w:cs="Arial"/>
          <w:sz w:val="18"/>
          <w:szCs w:val="18"/>
        </w:rPr>
      </w:pPr>
    </w:p>
    <w:p w14:paraId="2A2324A6" w14:textId="77777777" w:rsidR="00DC2900" w:rsidRDefault="00DC2900" w:rsidP="00DC2900">
      <w:pPr>
        <w:spacing w:after="0" w:line="240" w:lineRule="auto"/>
        <w:rPr>
          <w:rFonts w:ascii="Arial" w:hAnsi="Arial" w:cs="Arial"/>
          <w:sz w:val="18"/>
          <w:szCs w:val="18"/>
        </w:rPr>
      </w:pPr>
    </w:p>
    <w:p w14:paraId="71A8947A" w14:textId="77777777" w:rsidR="00DC2900" w:rsidRDefault="00DC2900" w:rsidP="00DC2900">
      <w:pPr>
        <w:spacing w:after="0" w:line="240" w:lineRule="auto"/>
        <w:rPr>
          <w:rFonts w:ascii="Arial" w:hAnsi="Arial" w:cs="Arial"/>
          <w:sz w:val="18"/>
          <w:szCs w:val="18"/>
        </w:rPr>
      </w:pPr>
    </w:p>
    <w:p w14:paraId="37195616" w14:textId="77777777" w:rsidR="00DC2900" w:rsidRDefault="00DC2900" w:rsidP="00DC2900">
      <w:pPr>
        <w:spacing w:after="0" w:line="240" w:lineRule="auto"/>
        <w:rPr>
          <w:rFonts w:ascii="Arial" w:hAnsi="Arial" w:cs="Arial"/>
          <w:sz w:val="18"/>
          <w:szCs w:val="18"/>
        </w:rPr>
      </w:pPr>
    </w:p>
    <w:p w14:paraId="740AD528" w14:textId="77777777" w:rsidR="00DC2900" w:rsidRDefault="00DC2900" w:rsidP="00DC2900">
      <w:pPr>
        <w:spacing w:after="0" w:line="240" w:lineRule="auto"/>
        <w:rPr>
          <w:rFonts w:ascii="Arial" w:hAnsi="Arial" w:cs="Arial"/>
          <w:sz w:val="18"/>
          <w:szCs w:val="18"/>
        </w:rPr>
      </w:pPr>
    </w:p>
    <w:p w14:paraId="469462ED" w14:textId="77777777" w:rsidR="00DC2900" w:rsidRDefault="00DC2900" w:rsidP="00DC2900">
      <w:pPr>
        <w:spacing w:after="0" w:line="240" w:lineRule="auto"/>
        <w:rPr>
          <w:rFonts w:ascii="Arial" w:hAnsi="Arial" w:cs="Arial"/>
          <w:sz w:val="18"/>
          <w:szCs w:val="18"/>
        </w:rPr>
      </w:pPr>
    </w:p>
    <w:p w14:paraId="403A4F0A" w14:textId="77777777" w:rsidR="00DC2900" w:rsidRDefault="00DC2900" w:rsidP="00DC2900">
      <w:pPr>
        <w:spacing w:after="0" w:line="240" w:lineRule="auto"/>
        <w:rPr>
          <w:rFonts w:ascii="Arial" w:hAnsi="Arial" w:cs="Arial"/>
          <w:sz w:val="18"/>
          <w:szCs w:val="18"/>
        </w:rPr>
      </w:pPr>
    </w:p>
    <w:p w14:paraId="79E303EE" w14:textId="77777777" w:rsidR="00DC2900" w:rsidRDefault="00DC2900" w:rsidP="00DC2900">
      <w:pPr>
        <w:spacing w:after="0" w:line="240" w:lineRule="auto"/>
        <w:rPr>
          <w:rFonts w:ascii="Arial" w:hAnsi="Arial" w:cs="Arial"/>
          <w:sz w:val="18"/>
          <w:szCs w:val="18"/>
        </w:rPr>
      </w:pPr>
    </w:p>
    <w:p w14:paraId="3DACD221" w14:textId="77777777" w:rsidR="00DC2900" w:rsidRDefault="00DC2900" w:rsidP="00DC2900">
      <w:pPr>
        <w:spacing w:after="0" w:line="240" w:lineRule="auto"/>
        <w:rPr>
          <w:rFonts w:ascii="Arial" w:hAnsi="Arial" w:cs="Arial"/>
          <w:sz w:val="18"/>
          <w:szCs w:val="18"/>
        </w:rPr>
      </w:pPr>
    </w:p>
    <w:p w14:paraId="46C254B6" w14:textId="77777777" w:rsidR="00DC2900" w:rsidRDefault="00DC2900" w:rsidP="00DC2900">
      <w:pPr>
        <w:spacing w:after="0" w:line="240" w:lineRule="auto"/>
        <w:rPr>
          <w:rFonts w:ascii="Arial" w:hAnsi="Arial" w:cs="Arial"/>
          <w:sz w:val="18"/>
          <w:szCs w:val="18"/>
        </w:rPr>
      </w:pPr>
    </w:p>
    <w:p w14:paraId="22F07D68" w14:textId="77777777" w:rsidR="00DC2900" w:rsidRDefault="00DC2900" w:rsidP="00DC2900">
      <w:pPr>
        <w:spacing w:after="0" w:line="240" w:lineRule="auto"/>
        <w:rPr>
          <w:rFonts w:ascii="Arial" w:hAnsi="Arial" w:cs="Arial"/>
          <w:sz w:val="18"/>
          <w:szCs w:val="18"/>
        </w:rPr>
      </w:pPr>
    </w:p>
    <w:p w14:paraId="684DDD1E" w14:textId="77777777" w:rsidR="00DC2900" w:rsidRDefault="00DC2900" w:rsidP="00DC2900">
      <w:pPr>
        <w:spacing w:after="0" w:line="240" w:lineRule="auto"/>
        <w:rPr>
          <w:rFonts w:ascii="Arial" w:hAnsi="Arial" w:cs="Arial"/>
          <w:sz w:val="18"/>
          <w:szCs w:val="18"/>
        </w:rPr>
      </w:pPr>
    </w:p>
    <w:p w14:paraId="4997CCE6" w14:textId="77777777" w:rsidR="00DC2900" w:rsidRDefault="00DC2900" w:rsidP="00DC2900">
      <w:pPr>
        <w:spacing w:after="0" w:line="240" w:lineRule="auto"/>
        <w:rPr>
          <w:rFonts w:ascii="Arial" w:hAnsi="Arial" w:cs="Arial"/>
          <w:sz w:val="18"/>
          <w:szCs w:val="18"/>
        </w:rPr>
      </w:pPr>
    </w:p>
    <w:p w14:paraId="0F348C55" w14:textId="77777777" w:rsidR="00DC2900" w:rsidRDefault="00DC2900" w:rsidP="00DC2900">
      <w:pPr>
        <w:spacing w:after="0" w:line="240" w:lineRule="auto"/>
        <w:rPr>
          <w:rFonts w:ascii="Arial" w:hAnsi="Arial" w:cs="Arial"/>
          <w:sz w:val="18"/>
          <w:szCs w:val="18"/>
        </w:rPr>
      </w:pPr>
    </w:p>
    <w:p w14:paraId="6A53C831" w14:textId="77777777" w:rsidR="00DC2900" w:rsidRDefault="00DC2900" w:rsidP="00DC2900">
      <w:pPr>
        <w:spacing w:after="0" w:line="240" w:lineRule="auto"/>
        <w:rPr>
          <w:rFonts w:ascii="Arial" w:hAnsi="Arial" w:cs="Arial"/>
          <w:sz w:val="18"/>
          <w:szCs w:val="18"/>
        </w:rPr>
      </w:pPr>
    </w:p>
    <w:p w14:paraId="045B7EC4" w14:textId="77777777" w:rsidR="00DC2900" w:rsidRDefault="00DC2900" w:rsidP="00DC2900">
      <w:pPr>
        <w:spacing w:after="0" w:line="240" w:lineRule="auto"/>
        <w:rPr>
          <w:rFonts w:ascii="Arial" w:hAnsi="Arial" w:cs="Arial"/>
          <w:sz w:val="18"/>
          <w:szCs w:val="18"/>
        </w:rPr>
      </w:pPr>
    </w:p>
    <w:p w14:paraId="2F84B914" w14:textId="77777777" w:rsidR="00DC2900" w:rsidRDefault="00DC2900" w:rsidP="00DC2900">
      <w:pPr>
        <w:spacing w:after="0" w:line="240" w:lineRule="auto"/>
        <w:rPr>
          <w:rFonts w:ascii="Arial" w:hAnsi="Arial" w:cs="Arial"/>
          <w:sz w:val="18"/>
          <w:szCs w:val="18"/>
        </w:rPr>
      </w:pPr>
    </w:p>
    <w:p w14:paraId="19691ACC" w14:textId="77777777" w:rsidR="00DC2900" w:rsidRDefault="00DC2900" w:rsidP="00DC2900">
      <w:pPr>
        <w:spacing w:after="0" w:line="240" w:lineRule="auto"/>
        <w:rPr>
          <w:rFonts w:ascii="Arial" w:hAnsi="Arial" w:cs="Arial"/>
          <w:sz w:val="18"/>
          <w:szCs w:val="18"/>
        </w:rPr>
      </w:pPr>
    </w:p>
    <w:p w14:paraId="5B855C7C" w14:textId="77777777" w:rsidR="00DC2900" w:rsidRDefault="00DC2900" w:rsidP="00DC2900">
      <w:pPr>
        <w:spacing w:after="0" w:line="240" w:lineRule="auto"/>
        <w:rPr>
          <w:rFonts w:ascii="Arial" w:hAnsi="Arial" w:cs="Arial"/>
          <w:sz w:val="18"/>
          <w:szCs w:val="18"/>
        </w:rPr>
      </w:pPr>
    </w:p>
    <w:p w14:paraId="17A86472" w14:textId="77777777" w:rsidR="00DC2900" w:rsidRDefault="00DC2900" w:rsidP="00DC2900">
      <w:pPr>
        <w:spacing w:after="0" w:line="240" w:lineRule="auto"/>
        <w:rPr>
          <w:rFonts w:ascii="Arial" w:hAnsi="Arial" w:cs="Arial"/>
          <w:sz w:val="18"/>
          <w:szCs w:val="18"/>
        </w:rPr>
      </w:pPr>
    </w:p>
    <w:p w14:paraId="63AF51FF" w14:textId="77777777" w:rsidR="00DC2900" w:rsidRDefault="00DC2900" w:rsidP="00DC2900">
      <w:pPr>
        <w:spacing w:after="0" w:line="240" w:lineRule="auto"/>
        <w:rPr>
          <w:rFonts w:ascii="Arial" w:hAnsi="Arial" w:cs="Arial"/>
          <w:sz w:val="18"/>
          <w:szCs w:val="18"/>
        </w:rPr>
      </w:pPr>
    </w:p>
    <w:p w14:paraId="35346F56" w14:textId="77777777" w:rsidR="00DC2900" w:rsidRDefault="00DC2900" w:rsidP="00DC2900">
      <w:pPr>
        <w:spacing w:after="0" w:line="240" w:lineRule="auto"/>
        <w:rPr>
          <w:rFonts w:ascii="Arial" w:hAnsi="Arial" w:cs="Arial"/>
          <w:sz w:val="18"/>
          <w:szCs w:val="18"/>
        </w:rPr>
      </w:pPr>
    </w:p>
    <w:p w14:paraId="10A19DCF" w14:textId="77777777" w:rsidR="00DC2900" w:rsidRDefault="00DC2900" w:rsidP="00DC2900">
      <w:pPr>
        <w:spacing w:after="0" w:line="240" w:lineRule="auto"/>
        <w:rPr>
          <w:rFonts w:ascii="Arial" w:hAnsi="Arial" w:cs="Arial"/>
          <w:sz w:val="18"/>
          <w:szCs w:val="18"/>
        </w:rPr>
      </w:pPr>
    </w:p>
    <w:p w14:paraId="784E70BA" w14:textId="77777777" w:rsidR="00DC2900" w:rsidRDefault="00DC2900" w:rsidP="00DC2900">
      <w:pPr>
        <w:spacing w:after="0" w:line="240" w:lineRule="auto"/>
        <w:rPr>
          <w:rFonts w:ascii="Arial" w:hAnsi="Arial" w:cs="Arial"/>
          <w:sz w:val="18"/>
          <w:szCs w:val="18"/>
        </w:rPr>
      </w:pPr>
    </w:p>
    <w:p w14:paraId="761ECACC" w14:textId="77777777" w:rsidR="00DC2900" w:rsidRDefault="00DC2900" w:rsidP="00DC2900">
      <w:pPr>
        <w:spacing w:after="0" w:line="240" w:lineRule="auto"/>
        <w:rPr>
          <w:rFonts w:ascii="Arial" w:hAnsi="Arial" w:cs="Arial"/>
          <w:sz w:val="18"/>
          <w:szCs w:val="18"/>
        </w:rPr>
      </w:pPr>
    </w:p>
    <w:p w14:paraId="2029BB59" w14:textId="77777777" w:rsidR="00DC2900" w:rsidRDefault="00DC2900" w:rsidP="00DC2900">
      <w:pPr>
        <w:spacing w:after="0" w:line="240" w:lineRule="auto"/>
        <w:rPr>
          <w:rFonts w:ascii="Arial" w:hAnsi="Arial" w:cs="Arial"/>
          <w:sz w:val="18"/>
          <w:szCs w:val="18"/>
        </w:rPr>
      </w:pPr>
    </w:p>
    <w:p w14:paraId="67483DAB" w14:textId="77777777" w:rsidR="00DC2900" w:rsidRDefault="00DC2900" w:rsidP="00DC2900">
      <w:pPr>
        <w:spacing w:after="0" w:line="240" w:lineRule="auto"/>
        <w:rPr>
          <w:rFonts w:ascii="Arial" w:hAnsi="Arial" w:cs="Arial"/>
          <w:sz w:val="18"/>
          <w:szCs w:val="18"/>
        </w:rPr>
      </w:pPr>
    </w:p>
    <w:p w14:paraId="21ED5A7C" w14:textId="77777777" w:rsidR="00DC2900" w:rsidRDefault="00DC2900" w:rsidP="00DC2900">
      <w:pPr>
        <w:spacing w:after="0" w:line="240" w:lineRule="auto"/>
        <w:rPr>
          <w:rFonts w:ascii="Arial" w:hAnsi="Arial" w:cs="Arial"/>
          <w:sz w:val="18"/>
          <w:szCs w:val="18"/>
        </w:rPr>
      </w:pPr>
    </w:p>
    <w:p w14:paraId="20CD6367" w14:textId="77777777" w:rsidR="00DC2900" w:rsidRDefault="00DC2900" w:rsidP="00DC2900">
      <w:pPr>
        <w:spacing w:after="0" w:line="240" w:lineRule="auto"/>
        <w:rPr>
          <w:rFonts w:ascii="Arial" w:hAnsi="Arial" w:cs="Arial"/>
          <w:sz w:val="18"/>
          <w:szCs w:val="18"/>
        </w:rPr>
      </w:pPr>
    </w:p>
    <w:p w14:paraId="652B9110" w14:textId="77777777" w:rsidR="00DC2900" w:rsidRDefault="00DC2900" w:rsidP="00DC2900">
      <w:pPr>
        <w:spacing w:after="0" w:line="240" w:lineRule="auto"/>
        <w:rPr>
          <w:rFonts w:ascii="Arial" w:hAnsi="Arial" w:cs="Arial"/>
          <w:sz w:val="18"/>
          <w:szCs w:val="18"/>
        </w:rPr>
      </w:pPr>
    </w:p>
    <w:p w14:paraId="7FACB8E7" w14:textId="77777777" w:rsidR="00DC2900" w:rsidRDefault="00DC2900" w:rsidP="00DC2900">
      <w:pPr>
        <w:spacing w:after="0" w:line="240" w:lineRule="auto"/>
        <w:rPr>
          <w:rFonts w:ascii="Arial" w:hAnsi="Arial" w:cs="Arial"/>
          <w:sz w:val="18"/>
          <w:szCs w:val="18"/>
        </w:rPr>
      </w:pPr>
    </w:p>
    <w:p w14:paraId="16747E87" w14:textId="77777777" w:rsidR="00DC2900" w:rsidRDefault="00DC2900" w:rsidP="00DC2900">
      <w:pPr>
        <w:spacing w:after="0" w:line="240" w:lineRule="auto"/>
        <w:rPr>
          <w:rFonts w:ascii="Arial" w:hAnsi="Arial" w:cs="Arial"/>
          <w:sz w:val="18"/>
          <w:szCs w:val="18"/>
        </w:rPr>
      </w:pPr>
    </w:p>
    <w:p w14:paraId="7F04B72E" w14:textId="77777777" w:rsidR="00DC2900" w:rsidRDefault="00DC2900" w:rsidP="00DC2900">
      <w:pPr>
        <w:spacing w:after="0" w:line="240" w:lineRule="auto"/>
        <w:rPr>
          <w:rFonts w:ascii="Arial" w:hAnsi="Arial" w:cs="Arial"/>
          <w:sz w:val="18"/>
          <w:szCs w:val="18"/>
        </w:rPr>
      </w:pPr>
    </w:p>
    <w:p w14:paraId="2618AE46" w14:textId="77777777" w:rsidR="00DC2900" w:rsidRDefault="00DC2900" w:rsidP="00DC2900">
      <w:pPr>
        <w:spacing w:after="0" w:line="240" w:lineRule="auto"/>
        <w:rPr>
          <w:rFonts w:ascii="Arial" w:hAnsi="Arial" w:cs="Arial"/>
          <w:sz w:val="18"/>
          <w:szCs w:val="18"/>
        </w:rPr>
      </w:pPr>
    </w:p>
    <w:p w14:paraId="5AB77FBE" w14:textId="77777777" w:rsidR="00DC2900" w:rsidRDefault="00DC2900" w:rsidP="00DC2900">
      <w:pPr>
        <w:spacing w:after="0" w:line="240" w:lineRule="auto"/>
        <w:rPr>
          <w:rFonts w:ascii="Arial" w:hAnsi="Arial" w:cs="Arial"/>
          <w:sz w:val="18"/>
          <w:szCs w:val="18"/>
        </w:rPr>
      </w:pPr>
    </w:p>
    <w:p w14:paraId="0EAE36E9" w14:textId="77777777" w:rsidR="00DC2900" w:rsidRDefault="00DC2900" w:rsidP="00DC2900">
      <w:pPr>
        <w:spacing w:after="0" w:line="240" w:lineRule="auto"/>
        <w:rPr>
          <w:rFonts w:ascii="Arial" w:hAnsi="Arial" w:cs="Arial"/>
          <w:sz w:val="18"/>
          <w:szCs w:val="18"/>
        </w:rPr>
      </w:pPr>
    </w:p>
    <w:p w14:paraId="7B10C796" w14:textId="77777777" w:rsidR="00DC2900" w:rsidRDefault="00DC2900" w:rsidP="00DC2900">
      <w:pPr>
        <w:spacing w:after="0" w:line="240" w:lineRule="auto"/>
        <w:rPr>
          <w:rFonts w:ascii="Arial" w:hAnsi="Arial" w:cs="Arial"/>
          <w:sz w:val="18"/>
          <w:szCs w:val="18"/>
        </w:rPr>
      </w:pPr>
    </w:p>
    <w:p w14:paraId="366958FB" w14:textId="77777777" w:rsidR="00DC2900" w:rsidRDefault="00DC2900" w:rsidP="00DC2900">
      <w:pPr>
        <w:spacing w:after="0" w:line="240" w:lineRule="auto"/>
        <w:rPr>
          <w:rFonts w:ascii="Arial" w:hAnsi="Arial" w:cs="Arial"/>
          <w:sz w:val="18"/>
          <w:szCs w:val="18"/>
        </w:rPr>
      </w:pPr>
    </w:p>
    <w:p w14:paraId="216A62F7" w14:textId="77777777" w:rsidR="00DC2900" w:rsidRDefault="00DC2900" w:rsidP="00DC2900">
      <w:pPr>
        <w:spacing w:after="0" w:line="240" w:lineRule="auto"/>
        <w:rPr>
          <w:rFonts w:ascii="Arial" w:hAnsi="Arial" w:cs="Arial"/>
          <w:sz w:val="18"/>
          <w:szCs w:val="18"/>
        </w:rPr>
      </w:pPr>
    </w:p>
    <w:p w14:paraId="44B04A17" w14:textId="77777777" w:rsidR="00DC2900" w:rsidRDefault="00DC2900" w:rsidP="00DC2900">
      <w:pPr>
        <w:spacing w:after="0" w:line="240" w:lineRule="auto"/>
        <w:rPr>
          <w:rFonts w:ascii="Arial" w:hAnsi="Arial" w:cs="Arial"/>
          <w:sz w:val="18"/>
          <w:szCs w:val="18"/>
        </w:rPr>
      </w:pPr>
    </w:p>
    <w:p w14:paraId="2529134A" w14:textId="77777777" w:rsidR="00DC2900" w:rsidRDefault="00DC2900" w:rsidP="00DC2900">
      <w:pPr>
        <w:spacing w:after="0" w:line="240" w:lineRule="auto"/>
        <w:rPr>
          <w:rFonts w:ascii="Arial" w:hAnsi="Arial" w:cs="Arial"/>
          <w:sz w:val="18"/>
          <w:szCs w:val="18"/>
        </w:rPr>
      </w:pPr>
    </w:p>
    <w:p w14:paraId="28ED9D7E" w14:textId="77777777" w:rsidR="00DC2900" w:rsidRDefault="00DC2900" w:rsidP="00DC2900">
      <w:pPr>
        <w:spacing w:after="0" w:line="240" w:lineRule="auto"/>
        <w:rPr>
          <w:rFonts w:ascii="Arial" w:hAnsi="Arial" w:cs="Arial"/>
          <w:sz w:val="18"/>
          <w:szCs w:val="18"/>
        </w:rPr>
      </w:pPr>
    </w:p>
    <w:p w14:paraId="592F4306" w14:textId="77777777" w:rsidR="00DC2900" w:rsidRDefault="00DC2900" w:rsidP="00DC2900">
      <w:pPr>
        <w:spacing w:after="0" w:line="240" w:lineRule="auto"/>
        <w:rPr>
          <w:rFonts w:ascii="Arial" w:hAnsi="Arial" w:cs="Arial"/>
          <w:sz w:val="18"/>
          <w:szCs w:val="18"/>
        </w:rPr>
      </w:pPr>
    </w:p>
    <w:p w14:paraId="61BA2581" w14:textId="77777777" w:rsidR="00DC2900" w:rsidRDefault="00DC2900" w:rsidP="00DC2900">
      <w:pPr>
        <w:spacing w:after="0" w:line="240" w:lineRule="auto"/>
        <w:rPr>
          <w:rFonts w:ascii="Arial" w:hAnsi="Arial" w:cs="Arial"/>
          <w:sz w:val="18"/>
          <w:szCs w:val="18"/>
        </w:rPr>
      </w:pPr>
    </w:p>
    <w:p w14:paraId="013881A7" w14:textId="77777777" w:rsidR="00DC2900" w:rsidRDefault="00DC2900" w:rsidP="00DC2900">
      <w:pPr>
        <w:spacing w:after="0" w:line="240" w:lineRule="auto"/>
        <w:rPr>
          <w:rFonts w:ascii="Arial" w:hAnsi="Arial" w:cs="Arial"/>
          <w:sz w:val="18"/>
          <w:szCs w:val="18"/>
        </w:rPr>
      </w:pPr>
    </w:p>
    <w:p w14:paraId="7B200D94" w14:textId="77777777" w:rsidR="00DC2900" w:rsidRDefault="00DC2900" w:rsidP="00DC2900">
      <w:pPr>
        <w:spacing w:after="0" w:line="240" w:lineRule="auto"/>
        <w:rPr>
          <w:rFonts w:ascii="Arial" w:hAnsi="Arial" w:cs="Arial"/>
          <w:sz w:val="18"/>
          <w:szCs w:val="18"/>
        </w:rPr>
      </w:pPr>
    </w:p>
    <w:p w14:paraId="6DE56D68" w14:textId="4A8B2B0E" w:rsidR="00EB7A44" w:rsidRPr="00DC2900" w:rsidRDefault="0018578A" w:rsidP="00DF57F2">
      <w:pPr>
        <w:spacing w:after="0" w:line="240" w:lineRule="auto"/>
        <w:jc w:val="center"/>
        <w:rPr>
          <w:rFonts w:ascii="Arial" w:hAnsi="Arial" w:cs="Arial"/>
          <w:sz w:val="18"/>
          <w:szCs w:val="18"/>
        </w:rPr>
      </w:pPr>
      <w:r w:rsidRPr="00D44957">
        <w:rPr>
          <w:rFonts w:ascii="Arial" w:hAnsi="Arial" w:cs="Arial"/>
          <w:sz w:val="18"/>
          <w:szCs w:val="18"/>
        </w:rPr>
        <w:t xml:space="preserve">© 2023 School of Government. The University of North Carolina at Chapel Hill Use of this publication for commercial purposes or without acknowledgment of its source is prohibited. Reproducing, distributing, or otherwise making available to a </w:t>
      </w:r>
      <w:proofErr w:type="spellStart"/>
      <w:r w:rsidRPr="00D44957">
        <w:rPr>
          <w:rFonts w:ascii="Arial" w:hAnsi="Arial" w:cs="Arial"/>
          <w:sz w:val="18"/>
          <w:szCs w:val="18"/>
        </w:rPr>
        <w:t>nonpurchaser</w:t>
      </w:r>
      <w:proofErr w:type="spellEnd"/>
      <w:r w:rsidRPr="00D44957">
        <w:rPr>
          <w:rFonts w:ascii="Arial" w:hAnsi="Arial" w:cs="Arial"/>
          <w:sz w:val="18"/>
          <w:szCs w:val="18"/>
        </w:rPr>
        <w:t xml:space="preserve"> the entire publication, or a substantial portion of it, without express permission, is prohibited. For permissions questions or requests, email the School of Government at copyright_permissions@sog.unc.</w:t>
      </w:r>
      <w:r>
        <w:rPr>
          <w:rFonts w:ascii="Arial" w:hAnsi="Arial" w:cs="Arial"/>
          <w:sz w:val="18"/>
          <w:szCs w:val="18"/>
        </w:rPr>
        <w:t>edu.</w:t>
      </w:r>
    </w:p>
    <w:sectPr w:rsidR="00EB7A44" w:rsidRPr="00DC2900" w:rsidSect="00A677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679E" w14:textId="77777777" w:rsidR="007C3948" w:rsidRDefault="007C3948" w:rsidP="00DE2D35">
      <w:pPr>
        <w:spacing w:after="0" w:line="240" w:lineRule="auto"/>
      </w:pPr>
      <w:r>
        <w:separator/>
      </w:r>
    </w:p>
  </w:endnote>
  <w:endnote w:type="continuationSeparator" w:id="0">
    <w:p w14:paraId="550D792E" w14:textId="77777777" w:rsidR="007C3948" w:rsidRDefault="007C3948" w:rsidP="00DE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B1CC" w14:textId="77777777" w:rsidR="003A1E2F" w:rsidRPr="00E85CBE" w:rsidRDefault="003A1E2F">
    <w:pPr>
      <w:pStyle w:val="Footer"/>
      <w:jc w:val="center"/>
      <w:rPr>
        <w:rFonts w:ascii="Arial" w:hAnsi="Arial" w:cs="Arial"/>
        <w:sz w:val="20"/>
        <w:szCs w:val="20"/>
      </w:rPr>
    </w:pPr>
    <w:r>
      <w:rPr>
        <w:rFonts w:ascii="Arial" w:hAnsi="Arial" w:cs="Arial"/>
        <w:sz w:val="20"/>
        <w:szCs w:val="20"/>
      </w:rPr>
      <w:t>Post-Conviction DNA Testing</w:t>
    </w:r>
    <w:r w:rsidRPr="00E85CBE">
      <w:rPr>
        <w:rFonts w:ascii="Arial" w:hAnsi="Arial" w:cs="Arial"/>
        <w:sz w:val="20"/>
        <w:szCs w:val="20"/>
      </w:rPr>
      <w:t xml:space="preserve"> - </w:t>
    </w:r>
    <w:r w:rsidR="0046421E" w:rsidRPr="00E85CBE">
      <w:rPr>
        <w:rFonts w:ascii="Arial" w:hAnsi="Arial" w:cs="Arial"/>
        <w:sz w:val="20"/>
        <w:szCs w:val="20"/>
      </w:rPr>
      <w:fldChar w:fldCharType="begin"/>
    </w:r>
    <w:r w:rsidRPr="00E85CBE">
      <w:rPr>
        <w:rFonts w:ascii="Arial" w:hAnsi="Arial" w:cs="Arial"/>
        <w:sz w:val="20"/>
        <w:szCs w:val="20"/>
      </w:rPr>
      <w:instrText xml:space="preserve"> PAGE   \* MERGEFORMAT </w:instrText>
    </w:r>
    <w:r w:rsidR="0046421E" w:rsidRPr="00E85CBE">
      <w:rPr>
        <w:rFonts w:ascii="Arial" w:hAnsi="Arial" w:cs="Arial"/>
        <w:sz w:val="20"/>
        <w:szCs w:val="20"/>
      </w:rPr>
      <w:fldChar w:fldCharType="separate"/>
    </w:r>
    <w:r w:rsidR="00D505B8">
      <w:rPr>
        <w:rFonts w:ascii="Arial" w:hAnsi="Arial" w:cs="Arial"/>
        <w:noProof/>
        <w:sz w:val="20"/>
        <w:szCs w:val="20"/>
      </w:rPr>
      <w:t>1</w:t>
    </w:r>
    <w:r w:rsidR="0046421E" w:rsidRPr="00E85CB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0046" w14:textId="77777777" w:rsidR="007C3948" w:rsidRDefault="007C3948" w:rsidP="00DE2D35">
      <w:pPr>
        <w:spacing w:after="0" w:line="240" w:lineRule="auto"/>
      </w:pPr>
      <w:r>
        <w:separator/>
      </w:r>
    </w:p>
  </w:footnote>
  <w:footnote w:type="continuationSeparator" w:id="0">
    <w:p w14:paraId="643BE3DE" w14:textId="77777777" w:rsidR="007C3948" w:rsidRDefault="007C3948" w:rsidP="00DE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923" w14:textId="77777777" w:rsidR="003A1E2F" w:rsidRDefault="003A1E2F">
    <w:pPr>
      <w:pStyle w:val="Header"/>
    </w:pPr>
    <w:r w:rsidRPr="00A74610">
      <w:rPr>
        <w:noProof/>
      </w:rPr>
      <w:drawing>
        <wp:anchor distT="0" distB="0" distL="114300" distR="114300" simplePos="0" relativeHeight="251659264" behindDoc="0" locked="0" layoutInCell="1" allowOverlap="0" wp14:anchorId="2C928455" wp14:editId="0BEB6D0D">
          <wp:simplePos x="0" y="0"/>
          <wp:positionH relativeFrom="page">
            <wp:posOffset>154379</wp:posOffset>
          </wp:positionH>
          <wp:positionV relativeFrom="page">
            <wp:posOffset>154379</wp:posOffset>
          </wp:positionV>
          <wp:extent cx="7778338" cy="343560"/>
          <wp:effectExtent l="0" t="0" r="0" b="1270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SOG  NC Superior Court Judges' Benchbook title page masthead UNC BLACK.pdf"/>
                  <pic:cNvPicPr/>
                </pic:nvPicPr>
                <pic:blipFill>
                  <a:blip r:embed="rId1">
                    <a:extLst>
                      <a:ext uri="{28A0092B-C50C-407E-A947-70E740481C1C}">
                        <a14:useLocalDpi xmlns:a14="http://schemas.microsoft.com/office/drawing/2010/main" val="0"/>
                      </a:ext>
                    </a:extLst>
                  </a:blip>
                  <a:stretch>
                    <a:fillRect/>
                  </a:stretch>
                </pic:blipFill>
                <pic:spPr>
                  <a:xfrm>
                    <a:off x="0" y="0"/>
                    <a:ext cx="777240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76C96A2" w14:textId="77777777" w:rsidR="003A1E2F" w:rsidRDefault="003A1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872"/>
    <w:multiLevelType w:val="hybridMultilevel"/>
    <w:tmpl w:val="9C8AE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F86079"/>
    <w:multiLevelType w:val="hybridMultilevel"/>
    <w:tmpl w:val="4920E0AC"/>
    <w:lvl w:ilvl="0" w:tplc="02D4D8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AC5C59"/>
    <w:multiLevelType w:val="hybridMultilevel"/>
    <w:tmpl w:val="60CE2BC4"/>
    <w:lvl w:ilvl="0" w:tplc="619ADF28">
      <w:start w:val="1"/>
      <w:numFmt w:val="decimal"/>
      <w:lvlText w:val="(%1)"/>
      <w:lvlJc w:val="left"/>
      <w:pPr>
        <w:ind w:left="2520" w:hanging="360"/>
      </w:pPr>
      <w:rPr>
        <w:rFonts w:ascii="Arial" w:eastAsia="Calibri" w:hAnsi="Arial" w:cs="Arial"/>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0073C31"/>
    <w:multiLevelType w:val="hybridMultilevel"/>
    <w:tmpl w:val="694C0ABA"/>
    <w:lvl w:ilvl="0" w:tplc="2BC22E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8B11A1"/>
    <w:multiLevelType w:val="hybridMultilevel"/>
    <w:tmpl w:val="81A6398A"/>
    <w:lvl w:ilvl="0" w:tplc="E1CAA94E">
      <w:start w:val="1"/>
      <w:numFmt w:val="decimal"/>
      <w:lvlText w:val="%1."/>
      <w:lvlJc w:val="left"/>
      <w:pPr>
        <w:ind w:left="2160" w:hanging="360"/>
      </w:pPr>
      <w:rPr>
        <w:rFonts w:ascii="Arial" w:eastAsia="Times New Roman" w:hAnsi="Arial" w:cs="Arial" w:hint="default"/>
        <w:b/>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6556520A"/>
    <w:multiLevelType w:val="hybridMultilevel"/>
    <w:tmpl w:val="CF98AB2A"/>
    <w:lvl w:ilvl="0" w:tplc="025E4906">
      <w:start w:val="1"/>
      <w:numFmt w:val="upperRoman"/>
      <w:pStyle w:val="Heading1"/>
      <w:lvlText w:val="%1."/>
      <w:lvlJc w:val="left"/>
      <w:pPr>
        <w:ind w:left="1080" w:hanging="720"/>
      </w:pPr>
      <w:rPr>
        <w:rFonts w:cs="Times New Roman" w:hint="default"/>
        <w:b/>
      </w:rPr>
    </w:lvl>
    <w:lvl w:ilvl="1" w:tplc="F9E2D9A4">
      <w:start w:val="1"/>
      <w:numFmt w:val="upperLetter"/>
      <w:pStyle w:val="Heading2"/>
      <w:lvlText w:val="%2."/>
      <w:lvlJc w:val="left"/>
      <w:pPr>
        <w:ind w:left="1440" w:hanging="720"/>
      </w:pPr>
      <w:rPr>
        <w:rFonts w:ascii="Arial" w:eastAsia="Times New Roman" w:hAnsi="Arial" w:cs="Arial" w:hint="default"/>
        <w:b/>
      </w:rPr>
    </w:lvl>
    <w:lvl w:ilvl="2" w:tplc="E9AC07D6">
      <w:start w:val="1"/>
      <w:numFmt w:val="upperLetter"/>
      <w:lvlText w:val="%3."/>
      <w:lvlJc w:val="right"/>
      <w:pPr>
        <w:ind w:left="1440" w:hanging="720"/>
      </w:pPr>
      <w:rPr>
        <w:rFonts w:ascii="Arial" w:eastAsia="Calibri" w:hAnsi="Arial" w:cs="Arial" w:hint="default"/>
        <w:b/>
      </w:rPr>
    </w:lvl>
    <w:lvl w:ilvl="3" w:tplc="BC163D6C">
      <w:start w:val="1"/>
      <w:numFmt w:val="decimal"/>
      <w:lvlText w:val="%4."/>
      <w:lvlJc w:val="left"/>
      <w:pPr>
        <w:ind w:left="2880" w:hanging="360"/>
      </w:pPr>
      <w:rPr>
        <w:rFonts w:ascii="Arial" w:eastAsia="Times New Roman" w:hAnsi="Arial" w:cs="Arial" w:hint="default"/>
        <w:b/>
      </w:rPr>
    </w:lvl>
    <w:lvl w:ilvl="4" w:tplc="E946C8CA">
      <w:start w:val="1"/>
      <w:numFmt w:val="lowerLetter"/>
      <w:lvlText w:val="%5."/>
      <w:lvlJc w:val="left"/>
      <w:pPr>
        <w:ind w:left="3600" w:hanging="360"/>
      </w:pPr>
      <w:rPr>
        <w:rFonts w:cs="Times New Roman"/>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9C2150F"/>
    <w:multiLevelType w:val="hybridMultilevel"/>
    <w:tmpl w:val="3D92532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num w:numId="1" w16cid:durableId="123543302">
    <w:abstractNumId w:val="1"/>
  </w:num>
  <w:num w:numId="2" w16cid:durableId="1712026957">
    <w:abstractNumId w:val="5"/>
  </w:num>
  <w:num w:numId="3" w16cid:durableId="2013529518">
    <w:abstractNumId w:val="6"/>
  </w:num>
  <w:num w:numId="4" w16cid:durableId="636689208">
    <w:abstractNumId w:val="2"/>
  </w:num>
  <w:num w:numId="5" w16cid:durableId="1103527057">
    <w:abstractNumId w:val="4"/>
  </w:num>
  <w:num w:numId="6" w16cid:durableId="1079791941">
    <w:abstractNumId w:val="3"/>
  </w:num>
  <w:num w:numId="7" w16cid:durableId="121060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DB"/>
    <w:rsid w:val="000026E5"/>
    <w:rsid w:val="00005F13"/>
    <w:rsid w:val="0002395E"/>
    <w:rsid w:val="000412CD"/>
    <w:rsid w:val="00051F42"/>
    <w:rsid w:val="0005526F"/>
    <w:rsid w:val="00072714"/>
    <w:rsid w:val="00084E22"/>
    <w:rsid w:val="00085A33"/>
    <w:rsid w:val="0009754E"/>
    <w:rsid w:val="000A157F"/>
    <w:rsid w:val="000A64E4"/>
    <w:rsid w:val="000A6BE2"/>
    <w:rsid w:val="000B453E"/>
    <w:rsid w:val="000B6C91"/>
    <w:rsid w:val="000B72C6"/>
    <w:rsid w:val="000C0664"/>
    <w:rsid w:val="000C2EE1"/>
    <w:rsid w:val="000C33CB"/>
    <w:rsid w:val="000D6863"/>
    <w:rsid w:val="000E4E3B"/>
    <w:rsid w:val="000F3239"/>
    <w:rsid w:val="000F3420"/>
    <w:rsid w:val="000F5095"/>
    <w:rsid w:val="00100EDF"/>
    <w:rsid w:val="00114217"/>
    <w:rsid w:val="00116110"/>
    <w:rsid w:val="001218F1"/>
    <w:rsid w:val="00161977"/>
    <w:rsid w:val="001677F3"/>
    <w:rsid w:val="00176F24"/>
    <w:rsid w:val="0018578A"/>
    <w:rsid w:val="0019052C"/>
    <w:rsid w:val="00192C4A"/>
    <w:rsid w:val="001B6DE9"/>
    <w:rsid w:val="001C2736"/>
    <w:rsid w:val="001C3E69"/>
    <w:rsid w:val="001D18DB"/>
    <w:rsid w:val="001E244A"/>
    <w:rsid w:val="001E47E9"/>
    <w:rsid w:val="001E7D25"/>
    <w:rsid w:val="001F4490"/>
    <w:rsid w:val="001F6916"/>
    <w:rsid w:val="001F7FDC"/>
    <w:rsid w:val="00201D6F"/>
    <w:rsid w:val="00207122"/>
    <w:rsid w:val="002251A8"/>
    <w:rsid w:val="002254F0"/>
    <w:rsid w:val="0023028E"/>
    <w:rsid w:val="00232A6E"/>
    <w:rsid w:val="00232C4C"/>
    <w:rsid w:val="00232D79"/>
    <w:rsid w:val="002340B6"/>
    <w:rsid w:val="002345D3"/>
    <w:rsid w:val="0026281C"/>
    <w:rsid w:val="002655EB"/>
    <w:rsid w:val="00271694"/>
    <w:rsid w:val="002A511A"/>
    <w:rsid w:val="002A553C"/>
    <w:rsid w:val="002B3960"/>
    <w:rsid w:val="002D2944"/>
    <w:rsid w:val="002D419A"/>
    <w:rsid w:val="002E0FEF"/>
    <w:rsid w:val="002E2CDE"/>
    <w:rsid w:val="002F0B0E"/>
    <w:rsid w:val="00300333"/>
    <w:rsid w:val="003071EC"/>
    <w:rsid w:val="00314F0E"/>
    <w:rsid w:val="00323F34"/>
    <w:rsid w:val="00330065"/>
    <w:rsid w:val="003315A7"/>
    <w:rsid w:val="00332EFB"/>
    <w:rsid w:val="00344633"/>
    <w:rsid w:val="0035199A"/>
    <w:rsid w:val="00360737"/>
    <w:rsid w:val="0036120A"/>
    <w:rsid w:val="00361D0C"/>
    <w:rsid w:val="00372F56"/>
    <w:rsid w:val="003829FE"/>
    <w:rsid w:val="00383B42"/>
    <w:rsid w:val="00390AE4"/>
    <w:rsid w:val="003A1E2F"/>
    <w:rsid w:val="003A57BF"/>
    <w:rsid w:val="003A7A44"/>
    <w:rsid w:val="003C0777"/>
    <w:rsid w:val="003C35B3"/>
    <w:rsid w:val="003C4C47"/>
    <w:rsid w:val="003D5573"/>
    <w:rsid w:val="003D6507"/>
    <w:rsid w:val="003D7F31"/>
    <w:rsid w:val="003F4D78"/>
    <w:rsid w:val="00405008"/>
    <w:rsid w:val="00407CCE"/>
    <w:rsid w:val="004242B9"/>
    <w:rsid w:val="00444049"/>
    <w:rsid w:val="00451D56"/>
    <w:rsid w:val="00457A78"/>
    <w:rsid w:val="00460856"/>
    <w:rsid w:val="00462F66"/>
    <w:rsid w:val="00462FF8"/>
    <w:rsid w:val="004641E5"/>
    <w:rsid w:val="0046421E"/>
    <w:rsid w:val="00465125"/>
    <w:rsid w:val="0047171D"/>
    <w:rsid w:val="00477D96"/>
    <w:rsid w:val="004801D6"/>
    <w:rsid w:val="00481C84"/>
    <w:rsid w:val="004821AA"/>
    <w:rsid w:val="00490F28"/>
    <w:rsid w:val="00493B37"/>
    <w:rsid w:val="004A6F5B"/>
    <w:rsid w:val="004B515A"/>
    <w:rsid w:val="004C5F69"/>
    <w:rsid w:val="004C78DD"/>
    <w:rsid w:val="004D40E5"/>
    <w:rsid w:val="004D56AF"/>
    <w:rsid w:val="004E47AF"/>
    <w:rsid w:val="004E4EF0"/>
    <w:rsid w:val="004F1415"/>
    <w:rsid w:val="004F5498"/>
    <w:rsid w:val="00505C6A"/>
    <w:rsid w:val="00506823"/>
    <w:rsid w:val="005213B4"/>
    <w:rsid w:val="0052373B"/>
    <w:rsid w:val="00526224"/>
    <w:rsid w:val="005303B2"/>
    <w:rsid w:val="00536E1E"/>
    <w:rsid w:val="00542362"/>
    <w:rsid w:val="00545836"/>
    <w:rsid w:val="0058172A"/>
    <w:rsid w:val="005828C3"/>
    <w:rsid w:val="00594738"/>
    <w:rsid w:val="005A0C42"/>
    <w:rsid w:val="005A5CFB"/>
    <w:rsid w:val="005C46F9"/>
    <w:rsid w:val="005C5B94"/>
    <w:rsid w:val="005C6CB8"/>
    <w:rsid w:val="005D233C"/>
    <w:rsid w:val="005D3EBF"/>
    <w:rsid w:val="005E022B"/>
    <w:rsid w:val="005E0774"/>
    <w:rsid w:val="005E2048"/>
    <w:rsid w:val="005E5F72"/>
    <w:rsid w:val="005E66F7"/>
    <w:rsid w:val="005F11EA"/>
    <w:rsid w:val="005F22A9"/>
    <w:rsid w:val="00606260"/>
    <w:rsid w:val="006228A8"/>
    <w:rsid w:val="00624EFA"/>
    <w:rsid w:val="00627948"/>
    <w:rsid w:val="00631846"/>
    <w:rsid w:val="006332AE"/>
    <w:rsid w:val="00636CC6"/>
    <w:rsid w:val="006409AF"/>
    <w:rsid w:val="00646131"/>
    <w:rsid w:val="00646F37"/>
    <w:rsid w:val="00672FA3"/>
    <w:rsid w:val="006866B7"/>
    <w:rsid w:val="00686DA6"/>
    <w:rsid w:val="0069642F"/>
    <w:rsid w:val="006973BC"/>
    <w:rsid w:val="006A662B"/>
    <w:rsid w:val="006B627C"/>
    <w:rsid w:val="006B64E2"/>
    <w:rsid w:val="006C2A12"/>
    <w:rsid w:val="006D57D6"/>
    <w:rsid w:val="006D7426"/>
    <w:rsid w:val="006E41C1"/>
    <w:rsid w:val="006E7697"/>
    <w:rsid w:val="006E7FC6"/>
    <w:rsid w:val="006F5AFA"/>
    <w:rsid w:val="006F6C62"/>
    <w:rsid w:val="006F7392"/>
    <w:rsid w:val="0070549F"/>
    <w:rsid w:val="007137AD"/>
    <w:rsid w:val="00726A5C"/>
    <w:rsid w:val="007428CC"/>
    <w:rsid w:val="00743AF9"/>
    <w:rsid w:val="00750778"/>
    <w:rsid w:val="0075154E"/>
    <w:rsid w:val="007527AF"/>
    <w:rsid w:val="00757895"/>
    <w:rsid w:val="00763837"/>
    <w:rsid w:val="007652B3"/>
    <w:rsid w:val="00765574"/>
    <w:rsid w:val="0076741A"/>
    <w:rsid w:val="00774D05"/>
    <w:rsid w:val="00777329"/>
    <w:rsid w:val="00790FC3"/>
    <w:rsid w:val="00794CFD"/>
    <w:rsid w:val="007B70E2"/>
    <w:rsid w:val="007C056F"/>
    <w:rsid w:val="007C10BD"/>
    <w:rsid w:val="007C3948"/>
    <w:rsid w:val="007C49B9"/>
    <w:rsid w:val="007E101A"/>
    <w:rsid w:val="007E75C2"/>
    <w:rsid w:val="007F71EF"/>
    <w:rsid w:val="007F75CE"/>
    <w:rsid w:val="00801FC2"/>
    <w:rsid w:val="0081271A"/>
    <w:rsid w:val="00834DA5"/>
    <w:rsid w:val="008406EE"/>
    <w:rsid w:val="00841947"/>
    <w:rsid w:val="00847812"/>
    <w:rsid w:val="00850C02"/>
    <w:rsid w:val="00852767"/>
    <w:rsid w:val="00852AD5"/>
    <w:rsid w:val="00852B40"/>
    <w:rsid w:val="008564E4"/>
    <w:rsid w:val="00856B49"/>
    <w:rsid w:val="00861690"/>
    <w:rsid w:val="00870847"/>
    <w:rsid w:val="00882F31"/>
    <w:rsid w:val="00883362"/>
    <w:rsid w:val="00885445"/>
    <w:rsid w:val="00885DFC"/>
    <w:rsid w:val="00886D1C"/>
    <w:rsid w:val="008934AE"/>
    <w:rsid w:val="008942FB"/>
    <w:rsid w:val="008A66B8"/>
    <w:rsid w:val="008B10AD"/>
    <w:rsid w:val="008B36CC"/>
    <w:rsid w:val="008C6312"/>
    <w:rsid w:val="008D005E"/>
    <w:rsid w:val="008D35FF"/>
    <w:rsid w:val="008D4BCC"/>
    <w:rsid w:val="008F3311"/>
    <w:rsid w:val="0091570A"/>
    <w:rsid w:val="00920BD7"/>
    <w:rsid w:val="009212D0"/>
    <w:rsid w:val="00933EED"/>
    <w:rsid w:val="009373DA"/>
    <w:rsid w:val="00954953"/>
    <w:rsid w:val="00961990"/>
    <w:rsid w:val="009630E4"/>
    <w:rsid w:val="00965317"/>
    <w:rsid w:val="00975649"/>
    <w:rsid w:val="009828D8"/>
    <w:rsid w:val="00982CC3"/>
    <w:rsid w:val="009844B3"/>
    <w:rsid w:val="00994A38"/>
    <w:rsid w:val="00995598"/>
    <w:rsid w:val="009A0277"/>
    <w:rsid w:val="009A0F8E"/>
    <w:rsid w:val="009B17C0"/>
    <w:rsid w:val="009D049C"/>
    <w:rsid w:val="009D245E"/>
    <w:rsid w:val="009E3279"/>
    <w:rsid w:val="009E6CB9"/>
    <w:rsid w:val="009F5236"/>
    <w:rsid w:val="009F79C3"/>
    <w:rsid w:val="00A065C0"/>
    <w:rsid w:val="00A12EC7"/>
    <w:rsid w:val="00A21F23"/>
    <w:rsid w:val="00A2284D"/>
    <w:rsid w:val="00A30A1F"/>
    <w:rsid w:val="00A31F90"/>
    <w:rsid w:val="00A32BDC"/>
    <w:rsid w:val="00A4307B"/>
    <w:rsid w:val="00A47249"/>
    <w:rsid w:val="00A4772A"/>
    <w:rsid w:val="00A50424"/>
    <w:rsid w:val="00A50C83"/>
    <w:rsid w:val="00A55BFB"/>
    <w:rsid w:val="00A625DB"/>
    <w:rsid w:val="00A629B6"/>
    <w:rsid w:val="00A62EB8"/>
    <w:rsid w:val="00A64971"/>
    <w:rsid w:val="00A64DEC"/>
    <w:rsid w:val="00A67710"/>
    <w:rsid w:val="00A74610"/>
    <w:rsid w:val="00A755AC"/>
    <w:rsid w:val="00AC1901"/>
    <w:rsid w:val="00AC4DB2"/>
    <w:rsid w:val="00AC4FBA"/>
    <w:rsid w:val="00AD71AE"/>
    <w:rsid w:val="00AE1235"/>
    <w:rsid w:val="00AE18BA"/>
    <w:rsid w:val="00AF2A1C"/>
    <w:rsid w:val="00AF5754"/>
    <w:rsid w:val="00B10344"/>
    <w:rsid w:val="00B140C1"/>
    <w:rsid w:val="00B227A6"/>
    <w:rsid w:val="00B328F4"/>
    <w:rsid w:val="00B33F1D"/>
    <w:rsid w:val="00B342B3"/>
    <w:rsid w:val="00B36F3A"/>
    <w:rsid w:val="00B42B43"/>
    <w:rsid w:val="00B441D7"/>
    <w:rsid w:val="00B51BA9"/>
    <w:rsid w:val="00B53D1A"/>
    <w:rsid w:val="00B63E3B"/>
    <w:rsid w:val="00B6430B"/>
    <w:rsid w:val="00B84A1F"/>
    <w:rsid w:val="00BA0D6C"/>
    <w:rsid w:val="00BA1070"/>
    <w:rsid w:val="00BA2C77"/>
    <w:rsid w:val="00BA5989"/>
    <w:rsid w:val="00BB5D2F"/>
    <w:rsid w:val="00BC2351"/>
    <w:rsid w:val="00BC528F"/>
    <w:rsid w:val="00BC66E9"/>
    <w:rsid w:val="00BD5CC4"/>
    <w:rsid w:val="00BD74E8"/>
    <w:rsid w:val="00BE0CA0"/>
    <w:rsid w:val="00BE12E2"/>
    <w:rsid w:val="00BF32C1"/>
    <w:rsid w:val="00BF74E2"/>
    <w:rsid w:val="00C12834"/>
    <w:rsid w:val="00C15475"/>
    <w:rsid w:val="00C24C9F"/>
    <w:rsid w:val="00C353FD"/>
    <w:rsid w:val="00C40ABA"/>
    <w:rsid w:val="00C4160B"/>
    <w:rsid w:val="00C44F16"/>
    <w:rsid w:val="00C45F2E"/>
    <w:rsid w:val="00C564CD"/>
    <w:rsid w:val="00C61110"/>
    <w:rsid w:val="00C74F65"/>
    <w:rsid w:val="00CA1121"/>
    <w:rsid w:val="00CB5AFE"/>
    <w:rsid w:val="00CB61E2"/>
    <w:rsid w:val="00CC2985"/>
    <w:rsid w:val="00CC4181"/>
    <w:rsid w:val="00CE56F5"/>
    <w:rsid w:val="00CF18B2"/>
    <w:rsid w:val="00CF20A6"/>
    <w:rsid w:val="00CF4ED2"/>
    <w:rsid w:val="00D00125"/>
    <w:rsid w:val="00D050DC"/>
    <w:rsid w:val="00D14700"/>
    <w:rsid w:val="00D17789"/>
    <w:rsid w:val="00D20B78"/>
    <w:rsid w:val="00D234D0"/>
    <w:rsid w:val="00D239C0"/>
    <w:rsid w:val="00D24F0D"/>
    <w:rsid w:val="00D3307C"/>
    <w:rsid w:val="00D416D1"/>
    <w:rsid w:val="00D445D8"/>
    <w:rsid w:val="00D505B8"/>
    <w:rsid w:val="00D51EC7"/>
    <w:rsid w:val="00D5426D"/>
    <w:rsid w:val="00D6163A"/>
    <w:rsid w:val="00D64C5E"/>
    <w:rsid w:val="00D728D0"/>
    <w:rsid w:val="00D81CC5"/>
    <w:rsid w:val="00D843E2"/>
    <w:rsid w:val="00D84598"/>
    <w:rsid w:val="00D9180C"/>
    <w:rsid w:val="00DA2190"/>
    <w:rsid w:val="00DA391D"/>
    <w:rsid w:val="00DB0586"/>
    <w:rsid w:val="00DB2010"/>
    <w:rsid w:val="00DB26BC"/>
    <w:rsid w:val="00DB37F7"/>
    <w:rsid w:val="00DB662D"/>
    <w:rsid w:val="00DB76C3"/>
    <w:rsid w:val="00DC0594"/>
    <w:rsid w:val="00DC11B9"/>
    <w:rsid w:val="00DC2900"/>
    <w:rsid w:val="00DC3429"/>
    <w:rsid w:val="00DD1D28"/>
    <w:rsid w:val="00DD3E1B"/>
    <w:rsid w:val="00DE2D35"/>
    <w:rsid w:val="00DF57F2"/>
    <w:rsid w:val="00E06BE7"/>
    <w:rsid w:val="00E07437"/>
    <w:rsid w:val="00E07867"/>
    <w:rsid w:val="00E10042"/>
    <w:rsid w:val="00E11873"/>
    <w:rsid w:val="00E13D9A"/>
    <w:rsid w:val="00E17D63"/>
    <w:rsid w:val="00E30E7C"/>
    <w:rsid w:val="00E33A68"/>
    <w:rsid w:val="00E33CC4"/>
    <w:rsid w:val="00E36AAD"/>
    <w:rsid w:val="00E470BA"/>
    <w:rsid w:val="00E52BAB"/>
    <w:rsid w:val="00E60143"/>
    <w:rsid w:val="00E66643"/>
    <w:rsid w:val="00E75414"/>
    <w:rsid w:val="00E83CF6"/>
    <w:rsid w:val="00E84D2D"/>
    <w:rsid w:val="00E85CBE"/>
    <w:rsid w:val="00E87C12"/>
    <w:rsid w:val="00EA2611"/>
    <w:rsid w:val="00EB3F87"/>
    <w:rsid w:val="00EB4B7B"/>
    <w:rsid w:val="00EB7887"/>
    <w:rsid w:val="00EB7A44"/>
    <w:rsid w:val="00EC4372"/>
    <w:rsid w:val="00EC5D5F"/>
    <w:rsid w:val="00EC5FEB"/>
    <w:rsid w:val="00ED2E6A"/>
    <w:rsid w:val="00EE2BA2"/>
    <w:rsid w:val="00EF24BE"/>
    <w:rsid w:val="00EF4B5E"/>
    <w:rsid w:val="00EF5E87"/>
    <w:rsid w:val="00F001CD"/>
    <w:rsid w:val="00F10181"/>
    <w:rsid w:val="00F121EF"/>
    <w:rsid w:val="00F17A60"/>
    <w:rsid w:val="00F30784"/>
    <w:rsid w:val="00F309E7"/>
    <w:rsid w:val="00F67DB7"/>
    <w:rsid w:val="00F67E6C"/>
    <w:rsid w:val="00F745C5"/>
    <w:rsid w:val="00F82958"/>
    <w:rsid w:val="00F9259C"/>
    <w:rsid w:val="00FA73DB"/>
    <w:rsid w:val="00FB28CD"/>
    <w:rsid w:val="00FB6E7F"/>
    <w:rsid w:val="00FD07FF"/>
    <w:rsid w:val="00FE4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A82A5"/>
  <w15:docId w15:val="{FCEBB4C2-54DF-8846-B15C-2ABED88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0E"/>
    <w:pPr>
      <w:spacing w:after="200" w:line="276" w:lineRule="auto"/>
    </w:pPr>
    <w:rPr>
      <w:rFonts w:ascii="Times New Roman" w:hAnsi="Times New Roman"/>
    </w:rPr>
  </w:style>
  <w:style w:type="paragraph" w:styleId="Heading1">
    <w:name w:val="heading 1"/>
    <w:basedOn w:val="ListParagraph"/>
    <w:next w:val="Normal"/>
    <w:link w:val="Heading1Char"/>
    <w:qFormat/>
    <w:locked/>
    <w:rsid w:val="00D445D8"/>
    <w:pPr>
      <w:numPr>
        <w:numId w:val="2"/>
      </w:numPr>
      <w:spacing w:after="0" w:line="240" w:lineRule="auto"/>
      <w:ind w:left="720"/>
      <w:outlineLvl w:val="0"/>
    </w:pPr>
    <w:rPr>
      <w:rFonts w:ascii="Arial" w:hAnsi="Arial" w:cs="Arial"/>
      <w:b/>
    </w:rPr>
  </w:style>
  <w:style w:type="paragraph" w:styleId="Heading2">
    <w:name w:val="heading 2"/>
    <w:basedOn w:val="ListParagraph"/>
    <w:next w:val="Normal"/>
    <w:link w:val="Heading2Char"/>
    <w:unhideWhenUsed/>
    <w:qFormat/>
    <w:locked/>
    <w:rsid w:val="004242B9"/>
    <w:pPr>
      <w:numPr>
        <w:ilvl w:val="1"/>
        <w:numId w:val="2"/>
      </w:numPr>
      <w:spacing w:after="0" w:line="240" w:lineRule="auto"/>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18DB"/>
    <w:pPr>
      <w:ind w:left="720"/>
      <w:contextualSpacing/>
    </w:pPr>
  </w:style>
  <w:style w:type="paragraph" w:customStyle="1" w:styleId="ablock1">
    <w:name w:val="ablock1"/>
    <w:basedOn w:val="Normal"/>
    <w:uiPriority w:val="99"/>
    <w:rsid w:val="001D18DB"/>
    <w:pPr>
      <w:spacing w:after="0" w:line="240" w:lineRule="auto"/>
      <w:ind w:left="1800" w:hanging="720"/>
      <w:jc w:val="both"/>
    </w:pPr>
    <w:rPr>
      <w:rFonts w:eastAsia="Times New Roman"/>
      <w:sz w:val="26"/>
      <w:szCs w:val="26"/>
    </w:rPr>
  </w:style>
  <w:style w:type="paragraph" w:customStyle="1" w:styleId="ablock2">
    <w:name w:val="ablock2"/>
    <w:basedOn w:val="Normal"/>
    <w:uiPriority w:val="99"/>
    <w:rsid w:val="00BB5D2F"/>
    <w:pPr>
      <w:spacing w:after="0" w:line="240" w:lineRule="auto"/>
      <w:ind w:left="2520" w:hanging="720"/>
      <w:jc w:val="both"/>
    </w:pPr>
    <w:rPr>
      <w:rFonts w:eastAsia="Times New Roman"/>
      <w:sz w:val="26"/>
      <w:szCs w:val="26"/>
    </w:rPr>
  </w:style>
  <w:style w:type="paragraph" w:customStyle="1" w:styleId="amargin1">
    <w:name w:val="amargin1"/>
    <w:basedOn w:val="Normal"/>
    <w:uiPriority w:val="99"/>
    <w:rsid w:val="000F3239"/>
    <w:pPr>
      <w:spacing w:after="0" w:line="240" w:lineRule="auto"/>
      <w:ind w:firstLine="360"/>
      <w:jc w:val="both"/>
    </w:pPr>
    <w:rPr>
      <w:rFonts w:eastAsia="Times New Roman"/>
      <w:sz w:val="26"/>
      <w:szCs w:val="26"/>
    </w:rPr>
  </w:style>
  <w:style w:type="paragraph" w:styleId="Header">
    <w:name w:val="header"/>
    <w:basedOn w:val="Normal"/>
    <w:link w:val="HeaderChar"/>
    <w:uiPriority w:val="99"/>
    <w:rsid w:val="00DE2D3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2D35"/>
    <w:rPr>
      <w:rFonts w:ascii="Times New Roman" w:hAnsi="Times New Roman" w:cs="Times New Roman"/>
    </w:rPr>
  </w:style>
  <w:style w:type="paragraph" w:styleId="Footer">
    <w:name w:val="footer"/>
    <w:basedOn w:val="Normal"/>
    <w:link w:val="FooterChar"/>
    <w:uiPriority w:val="99"/>
    <w:rsid w:val="00DE2D3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2D35"/>
    <w:rPr>
      <w:rFonts w:ascii="Times New Roman" w:hAnsi="Times New Roman" w:cs="Times New Roman"/>
    </w:rPr>
  </w:style>
  <w:style w:type="paragraph" w:styleId="BalloonText">
    <w:name w:val="Balloon Text"/>
    <w:basedOn w:val="Normal"/>
    <w:link w:val="BalloonTextChar"/>
    <w:uiPriority w:val="99"/>
    <w:semiHidden/>
    <w:rsid w:val="007428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4490"/>
    <w:rPr>
      <w:rFonts w:ascii="Times New Roman" w:hAnsi="Times New Roman" w:cs="Times New Roman"/>
      <w:sz w:val="2"/>
    </w:rPr>
  </w:style>
  <w:style w:type="character" w:styleId="CommentReference">
    <w:name w:val="annotation reference"/>
    <w:basedOn w:val="DefaultParagraphFont"/>
    <w:uiPriority w:val="99"/>
    <w:semiHidden/>
    <w:rsid w:val="00390AE4"/>
    <w:rPr>
      <w:rFonts w:cs="Times New Roman"/>
      <w:sz w:val="16"/>
      <w:szCs w:val="16"/>
    </w:rPr>
  </w:style>
  <w:style w:type="paragraph" w:styleId="CommentText">
    <w:name w:val="annotation text"/>
    <w:basedOn w:val="Normal"/>
    <w:link w:val="CommentTextChar"/>
    <w:uiPriority w:val="99"/>
    <w:semiHidden/>
    <w:rsid w:val="00390AE4"/>
    <w:rPr>
      <w:sz w:val="20"/>
      <w:szCs w:val="20"/>
    </w:rPr>
  </w:style>
  <w:style w:type="character" w:customStyle="1" w:styleId="CommentTextChar">
    <w:name w:val="Comment Text Char"/>
    <w:basedOn w:val="DefaultParagraphFont"/>
    <w:link w:val="CommentText"/>
    <w:uiPriority w:val="99"/>
    <w:semiHidden/>
    <w:locked/>
    <w:rsid w:val="001F44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90AE4"/>
    <w:rPr>
      <w:b/>
      <w:bCs/>
    </w:rPr>
  </w:style>
  <w:style w:type="character" w:customStyle="1" w:styleId="CommentSubjectChar">
    <w:name w:val="Comment Subject Char"/>
    <w:basedOn w:val="CommentTextChar"/>
    <w:link w:val="CommentSubject"/>
    <w:uiPriority w:val="99"/>
    <w:semiHidden/>
    <w:locked/>
    <w:rsid w:val="001F4490"/>
    <w:rPr>
      <w:rFonts w:ascii="Times New Roman" w:hAnsi="Times New Roman" w:cs="Times New Roman"/>
      <w:b/>
      <w:bCs/>
      <w:sz w:val="20"/>
      <w:szCs w:val="20"/>
    </w:rPr>
  </w:style>
  <w:style w:type="character" w:styleId="Hyperlink">
    <w:name w:val="Hyperlink"/>
    <w:uiPriority w:val="99"/>
    <w:unhideWhenUsed/>
    <w:rsid w:val="00372F56"/>
    <w:rPr>
      <w:color w:val="0000FF"/>
      <w:u w:val="single"/>
    </w:rPr>
  </w:style>
  <w:style w:type="character" w:customStyle="1" w:styleId="Heading1Char">
    <w:name w:val="Heading 1 Char"/>
    <w:basedOn w:val="DefaultParagraphFont"/>
    <w:link w:val="Heading1"/>
    <w:rsid w:val="00D445D8"/>
    <w:rPr>
      <w:rFonts w:ascii="Arial" w:hAnsi="Arial" w:cs="Arial"/>
      <w:b/>
    </w:rPr>
  </w:style>
  <w:style w:type="character" w:customStyle="1" w:styleId="Heading2Char">
    <w:name w:val="Heading 2 Char"/>
    <w:basedOn w:val="DefaultParagraphFont"/>
    <w:link w:val="Heading2"/>
    <w:rsid w:val="004242B9"/>
    <w:rPr>
      <w:rFonts w:ascii="Arial" w:hAnsi="Arial" w:cs="Arial"/>
      <w:b/>
    </w:rPr>
  </w:style>
  <w:style w:type="paragraph" w:styleId="TOCHeading">
    <w:name w:val="TOC Heading"/>
    <w:basedOn w:val="Heading1"/>
    <w:next w:val="Normal"/>
    <w:uiPriority w:val="39"/>
    <w:unhideWhenUsed/>
    <w:qFormat/>
    <w:rsid w:val="007137AD"/>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locked/>
    <w:rsid w:val="004242B9"/>
    <w:pPr>
      <w:tabs>
        <w:tab w:val="left" w:pos="720"/>
        <w:tab w:val="right" w:leader="dot" w:pos="9350"/>
      </w:tabs>
      <w:spacing w:after="0" w:line="240" w:lineRule="auto"/>
    </w:pPr>
    <w:rPr>
      <w:rFonts w:ascii="Arial" w:hAnsi="Arial"/>
    </w:rPr>
  </w:style>
  <w:style w:type="paragraph" w:styleId="TOC2">
    <w:name w:val="toc 2"/>
    <w:basedOn w:val="Normal"/>
    <w:next w:val="Normal"/>
    <w:autoRedefine/>
    <w:uiPriority w:val="39"/>
    <w:locked/>
    <w:rsid w:val="004242B9"/>
    <w:pPr>
      <w:spacing w:after="0" w:line="240" w:lineRule="auto"/>
      <w:ind w:left="720"/>
    </w:pPr>
    <w:rPr>
      <w:rFonts w:ascii="Arial" w:hAnsi="Arial"/>
    </w:rPr>
  </w:style>
  <w:style w:type="paragraph" w:styleId="Revision">
    <w:name w:val="Revision"/>
    <w:hidden/>
    <w:uiPriority w:val="99"/>
    <w:semiHidden/>
    <w:rsid w:val="009157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40050">
      <w:marLeft w:val="0"/>
      <w:marRight w:val="0"/>
      <w:marTop w:val="0"/>
      <w:marBottom w:val="0"/>
      <w:divBdr>
        <w:top w:val="none" w:sz="0" w:space="0" w:color="auto"/>
        <w:left w:val="none" w:sz="0" w:space="0" w:color="auto"/>
        <w:bottom w:val="none" w:sz="0" w:space="0" w:color="auto"/>
        <w:right w:val="none" w:sz="0" w:space="0" w:color="auto"/>
      </w:divBdr>
    </w:div>
    <w:div w:id="1753040051">
      <w:marLeft w:val="0"/>
      <w:marRight w:val="0"/>
      <w:marTop w:val="0"/>
      <w:marBottom w:val="0"/>
      <w:divBdr>
        <w:top w:val="none" w:sz="0" w:space="0" w:color="auto"/>
        <w:left w:val="none" w:sz="0" w:space="0" w:color="auto"/>
        <w:bottom w:val="none" w:sz="0" w:space="0" w:color="auto"/>
        <w:right w:val="none" w:sz="0" w:space="0" w:color="auto"/>
      </w:divBdr>
    </w:div>
    <w:div w:id="1753040052">
      <w:marLeft w:val="0"/>
      <w:marRight w:val="0"/>
      <w:marTop w:val="0"/>
      <w:marBottom w:val="0"/>
      <w:divBdr>
        <w:top w:val="none" w:sz="0" w:space="0" w:color="auto"/>
        <w:left w:val="none" w:sz="0" w:space="0" w:color="auto"/>
        <w:bottom w:val="none" w:sz="0" w:space="0" w:color="auto"/>
        <w:right w:val="none" w:sz="0" w:space="0" w:color="auto"/>
      </w:divBdr>
    </w:div>
    <w:div w:id="1753040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1dd9b365-2dee-445a-8029-dd3730e20e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C23B7A315D434A8072106EED37CA6B" ma:contentTypeVersion="14" ma:contentTypeDescription="Create a new document." ma:contentTypeScope="" ma:versionID="4ad767e3dc5e4f5dc2b3a68a5796d4e9">
  <xsd:schema xmlns:xsd="http://www.w3.org/2001/XMLSchema" xmlns:xs="http://www.w3.org/2001/XMLSchema" xmlns:p="http://schemas.microsoft.com/office/2006/metadata/properties" xmlns:ns3="047c0153-4877-46d5-b392-4dc4097c5831" xmlns:ns4="1dd9b365-2dee-445a-8029-dd3730e20ecb" targetNamespace="http://schemas.microsoft.com/office/2006/metadata/properties" ma:root="true" ma:fieldsID="74e00a3406ed21c8e60d390fde0d6229" ns3:_="" ns4:_="">
    <xsd:import namespace="047c0153-4877-46d5-b392-4dc4097c5831"/>
    <xsd:import namespace="1dd9b365-2dee-445a-8029-dd3730e20e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0153-4877-46d5-b392-4dc4097c58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9b365-2dee-445a-8029-dd3730e20e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85773-1112-4736-A478-BF045B52DC2C}">
  <ds:schemaRefs>
    <ds:schemaRef ds:uri="http://schemas.openxmlformats.org/officeDocument/2006/bibliography"/>
  </ds:schemaRefs>
</ds:datastoreItem>
</file>

<file path=customXml/itemProps2.xml><?xml version="1.0" encoding="utf-8"?>
<ds:datastoreItem xmlns:ds="http://schemas.openxmlformats.org/officeDocument/2006/customXml" ds:itemID="{8F5794F5-E1D7-4FB8-A73F-865BC837CEA3}">
  <ds:schemaRefs>
    <ds:schemaRef ds:uri="http://schemas.microsoft.com/office/2006/metadata/properties"/>
    <ds:schemaRef ds:uri="http://schemas.microsoft.com/office/infopath/2007/PartnerControls"/>
    <ds:schemaRef ds:uri="1dd9b365-2dee-445a-8029-dd3730e20ecb"/>
  </ds:schemaRefs>
</ds:datastoreItem>
</file>

<file path=customXml/itemProps3.xml><?xml version="1.0" encoding="utf-8"?>
<ds:datastoreItem xmlns:ds="http://schemas.openxmlformats.org/officeDocument/2006/customXml" ds:itemID="{2264AF20-1094-4678-8B57-FC963EBFA292}">
  <ds:schemaRefs>
    <ds:schemaRef ds:uri="http://schemas.microsoft.com/sharepoint/v3/contenttype/forms"/>
  </ds:schemaRefs>
</ds:datastoreItem>
</file>

<file path=customXml/itemProps4.xml><?xml version="1.0" encoding="utf-8"?>
<ds:datastoreItem xmlns:ds="http://schemas.openxmlformats.org/officeDocument/2006/customXml" ds:itemID="{8B71170C-68CF-4291-80BE-639EF64D7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0153-4877-46d5-b392-4dc4097c5831"/>
    <ds:schemaRef ds:uri="1dd9b365-2dee-445a-8029-dd3730e20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Smith</dc:creator>
  <cp:lastModifiedBy>Christopher Tyner</cp:lastModifiedBy>
  <cp:revision>3</cp:revision>
  <cp:lastPrinted>2015-04-07T20:52:00Z</cp:lastPrinted>
  <dcterms:created xsi:type="dcterms:W3CDTF">2023-04-17T21:03:00Z</dcterms:created>
  <dcterms:modified xsi:type="dcterms:W3CDTF">2023-04-17T21:03:00Z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0x01010083C23B7A315D434A8072106EED37CA6B</vt:lpwstr>
  </property>
</Properties>
</file>