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8D27C" w14:textId="0F4D7127" w:rsidR="00C02561" w:rsidRPr="00A95FBB" w:rsidRDefault="00C02561" w:rsidP="00C02561">
      <w:pPr>
        <w:tabs>
          <w:tab w:val="center" w:pos="4680"/>
          <w:tab w:val="left" w:pos="7213"/>
        </w:tabs>
        <w:spacing w:after="0" w:line="240" w:lineRule="auto"/>
        <w:rPr>
          <w:rFonts w:ascii="Arial" w:hAnsi="Arial" w:cs="Arial"/>
        </w:rPr>
      </w:pPr>
      <w:r w:rsidRPr="00FA6251">
        <w:rPr>
          <w:rFonts w:ascii="Arial" w:hAnsi="Arial" w:cs="Arial"/>
          <w:b/>
        </w:rPr>
        <w:tab/>
      </w:r>
      <w:r>
        <w:rPr>
          <w:rFonts w:ascii="Arial" w:hAnsi="Arial" w:cs="Arial"/>
          <w:b/>
        </w:rPr>
        <w:t>RECUSAL OF PROSECUTOR</w:t>
      </w:r>
      <w:r w:rsidRPr="00A95FBB">
        <w:rPr>
          <w:rFonts w:ascii="Arial" w:hAnsi="Arial" w:cs="Arial"/>
          <w:b/>
        </w:rPr>
        <w:tab/>
      </w:r>
    </w:p>
    <w:p w14:paraId="612F9E49" w14:textId="77777777" w:rsidR="00C02561" w:rsidRPr="00A95FBB" w:rsidRDefault="00C02561" w:rsidP="00C02561">
      <w:pPr>
        <w:spacing w:after="0" w:line="240" w:lineRule="auto"/>
        <w:jc w:val="center"/>
        <w:rPr>
          <w:rFonts w:ascii="Arial" w:hAnsi="Arial" w:cs="Arial"/>
        </w:rPr>
      </w:pPr>
    </w:p>
    <w:p w14:paraId="5ED7E3C3" w14:textId="0E62C246" w:rsidR="00C02561" w:rsidRPr="00A95FBB" w:rsidRDefault="00C02561" w:rsidP="00C02561">
      <w:pPr>
        <w:spacing w:after="0" w:line="240" w:lineRule="auto"/>
        <w:jc w:val="both"/>
        <w:rPr>
          <w:rFonts w:ascii="Arial" w:hAnsi="Arial" w:cs="Arial"/>
        </w:rPr>
      </w:pPr>
      <w:r w:rsidRPr="00A95FBB">
        <w:rPr>
          <w:rFonts w:ascii="Arial" w:hAnsi="Arial" w:cs="Arial"/>
        </w:rPr>
        <w:t xml:space="preserve">Joseph </w:t>
      </w:r>
      <w:r w:rsidR="00195653">
        <w:rPr>
          <w:rFonts w:ascii="Arial" w:hAnsi="Arial" w:cs="Arial"/>
        </w:rPr>
        <w:t xml:space="preserve">L. </w:t>
      </w:r>
      <w:r w:rsidRPr="00A95FBB">
        <w:rPr>
          <w:rFonts w:ascii="Arial" w:hAnsi="Arial" w:cs="Arial"/>
        </w:rPr>
        <w:t>Hyde, UNC School of Government (</w:t>
      </w:r>
      <w:r w:rsidR="003A250B">
        <w:rPr>
          <w:rFonts w:ascii="Arial" w:hAnsi="Arial" w:cs="Arial"/>
        </w:rPr>
        <w:t>August 2025</w:t>
      </w:r>
      <w:r w:rsidRPr="00A95FBB">
        <w:rPr>
          <w:rFonts w:ascii="Arial" w:hAnsi="Arial" w:cs="Arial"/>
        </w:rPr>
        <w:t>)</w:t>
      </w:r>
    </w:p>
    <w:p w14:paraId="1B49A209" w14:textId="77777777" w:rsidR="00C02561" w:rsidRPr="00A95FBB" w:rsidRDefault="00C02561" w:rsidP="00C02561">
      <w:pPr>
        <w:spacing w:after="0" w:line="240" w:lineRule="auto"/>
        <w:jc w:val="both"/>
        <w:rPr>
          <w:rFonts w:ascii="Arial" w:hAnsi="Arial" w:cs="Arial"/>
        </w:rPr>
      </w:pPr>
    </w:p>
    <w:sdt>
      <w:sdtPr>
        <w:rPr>
          <w:rFonts w:ascii="Times New Roman" w:eastAsia="Calibri" w:hAnsi="Times New Roman" w:cs="Times New Roman"/>
          <w:b w:val="0"/>
          <w:szCs w:val="22"/>
        </w:rPr>
        <w:id w:val="-2032799707"/>
        <w:docPartObj>
          <w:docPartGallery w:val="Table of Contents"/>
          <w:docPartUnique/>
        </w:docPartObj>
      </w:sdtPr>
      <w:sdtEndPr>
        <w:rPr>
          <w:bCs/>
          <w:noProof/>
        </w:rPr>
      </w:sdtEndPr>
      <w:sdtContent>
        <w:p w14:paraId="0E52D84F" w14:textId="2E0C728D" w:rsidR="003A250B" w:rsidRDefault="003A250B">
          <w:pPr>
            <w:pStyle w:val="TOCHeading"/>
          </w:pPr>
          <w:r>
            <w:t>Contents</w:t>
          </w:r>
        </w:p>
        <w:p w14:paraId="6B6C3929" w14:textId="44B270C5" w:rsidR="003A250B" w:rsidRDefault="003A250B">
          <w:pPr>
            <w:pStyle w:val="TOC1"/>
            <w:rPr>
              <w:rFonts w:asciiTheme="minorHAnsi" w:eastAsiaTheme="minorEastAsia" w:hAnsiTheme="minorHAnsi" w:cstheme="minorBidi"/>
              <w:noProof/>
            </w:rPr>
          </w:pPr>
          <w:r>
            <w:fldChar w:fldCharType="begin"/>
          </w:r>
          <w:r>
            <w:instrText xml:space="preserve"> TOC \o "1-2" \u </w:instrText>
          </w:r>
          <w:r>
            <w:fldChar w:fldCharType="separate"/>
          </w:r>
          <w:r>
            <w:rPr>
              <w:noProof/>
              <w:specVanish/>
            </w:rPr>
            <w:t>I.</w:t>
          </w:r>
          <w:r>
            <w:rPr>
              <w:rFonts w:asciiTheme="minorHAnsi" w:eastAsiaTheme="minorEastAsia" w:hAnsiTheme="minorHAnsi" w:cstheme="minorBidi"/>
              <w:noProof/>
            </w:rPr>
            <w:tab/>
          </w:r>
          <w:r>
            <w:rPr>
              <w:noProof/>
            </w:rPr>
            <w:t>Introduction.</w:t>
          </w:r>
          <w:r>
            <w:rPr>
              <w:noProof/>
            </w:rPr>
            <w:tab/>
          </w:r>
          <w:r>
            <w:rPr>
              <w:noProof/>
            </w:rPr>
            <w:fldChar w:fldCharType="begin"/>
          </w:r>
          <w:r>
            <w:rPr>
              <w:noProof/>
            </w:rPr>
            <w:instrText xml:space="preserve"> PAGEREF _Toc205915173 \h </w:instrText>
          </w:r>
          <w:r>
            <w:rPr>
              <w:noProof/>
            </w:rPr>
          </w:r>
          <w:r>
            <w:rPr>
              <w:noProof/>
            </w:rPr>
            <w:fldChar w:fldCharType="separate"/>
          </w:r>
          <w:r>
            <w:rPr>
              <w:noProof/>
            </w:rPr>
            <w:t>1</w:t>
          </w:r>
          <w:r>
            <w:rPr>
              <w:noProof/>
            </w:rPr>
            <w:fldChar w:fldCharType="end"/>
          </w:r>
        </w:p>
        <w:p w14:paraId="31D9C8A4" w14:textId="2869D898" w:rsidR="003A250B" w:rsidRDefault="003A250B">
          <w:pPr>
            <w:pStyle w:val="TOC1"/>
            <w:rPr>
              <w:rFonts w:asciiTheme="minorHAnsi" w:eastAsiaTheme="minorEastAsia" w:hAnsiTheme="minorHAnsi" w:cstheme="minorBidi"/>
              <w:noProof/>
            </w:rPr>
          </w:pPr>
          <w:r>
            <w:rPr>
              <w:noProof/>
              <w:specVanish/>
            </w:rPr>
            <w:t>II.</w:t>
          </w:r>
          <w:r>
            <w:rPr>
              <w:rFonts w:asciiTheme="minorHAnsi" w:eastAsiaTheme="minorEastAsia" w:hAnsiTheme="minorHAnsi" w:cstheme="minorBidi"/>
              <w:noProof/>
            </w:rPr>
            <w:tab/>
          </w:r>
          <w:r>
            <w:rPr>
              <w:noProof/>
            </w:rPr>
            <w:t>Impartiality Not Required.</w:t>
          </w:r>
          <w:r>
            <w:rPr>
              <w:noProof/>
            </w:rPr>
            <w:tab/>
          </w:r>
          <w:r>
            <w:rPr>
              <w:noProof/>
            </w:rPr>
            <w:fldChar w:fldCharType="begin"/>
          </w:r>
          <w:r>
            <w:rPr>
              <w:noProof/>
            </w:rPr>
            <w:instrText xml:space="preserve"> PAGEREF _Toc205915174 \h </w:instrText>
          </w:r>
          <w:r>
            <w:rPr>
              <w:noProof/>
            </w:rPr>
          </w:r>
          <w:r>
            <w:rPr>
              <w:noProof/>
            </w:rPr>
            <w:fldChar w:fldCharType="separate"/>
          </w:r>
          <w:r>
            <w:rPr>
              <w:noProof/>
            </w:rPr>
            <w:t>1</w:t>
          </w:r>
          <w:r>
            <w:rPr>
              <w:noProof/>
            </w:rPr>
            <w:fldChar w:fldCharType="end"/>
          </w:r>
        </w:p>
        <w:p w14:paraId="0AF3010A" w14:textId="599F6F71" w:rsidR="003A250B" w:rsidRDefault="003A250B">
          <w:pPr>
            <w:pStyle w:val="TOC1"/>
            <w:rPr>
              <w:rFonts w:asciiTheme="minorHAnsi" w:eastAsiaTheme="minorEastAsia" w:hAnsiTheme="minorHAnsi" w:cstheme="minorBidi"/>
              <w:noProof/>
            </w:rPr>
          </w:pPr>
          <w:r>
            <w:rPr>
              <w:noProof/>
              <w:specVanish/>
            </w:rPr>
            <w:t>III.</w:t>
          </w:r>
          <w:r>
            <w:rPr>
              <w:rFonts w:asciiTheme="minorHAnsi" w:eastAsiaTheme="minorEastAsia" w:hAnsiTheme="minorHAnsi" w:cstheme="minorBidi"/>
              <w:noProof/>
            </w:rPr>
            <w:tab/>
          </w:r>
          <w:r>
            <w:rPr>
              <w:noProof/>
            </w:rPr>
            <w:t>Constitutional Officers.</w:t>
          </w:r>
          <w:r>
            <w:rPr>
              <w:noProof/>
            </w:rPr>
            <w:tab/>
          </w:r>
          <w:r>
            <w:rPr>
              <w:noProof/>
            </w:rPr>
            <w:fldChar w:fldCharType="begin"/>
          </w:r>
          <w:r>
            <w:rPr>
              <w:noProof/>
            </w:rPr>
            <w:instrText xml:space="preserve"> PAGEREF _Toc205915175 \h </w:instrText>
          </w:r>
          <w:r>
            <w:rPr>
              <w:noProof/>
            </w:rPr>
          </w:r>
          <w:r>
            <w:rPr>
              <w:noProof/>
            </w:rPr>
            <w:fldChar w:fldCharType="separate"/>
          </w:r>
          <w:r>
            <w:rPr>
              <w:noProof/>
            </w:rPr>
            <w:t>1</w:t>
          </w:r>
          <w:r>
            <w:rPr>
              <w:noProof/>
            </w:rPr>
            <w:fldChar w:fldCharType="end"/>
          </w:r>
        </w:p>
        <w:p w14:paraId="277B9EB9" w14:textId="64757FD9" w:rsidR="003A250B" w:rsidRDefault="003A250B">
          <w:pPr>
            <w:pStyle w:val="TOC2"/>
            <w:rPr>
              <w:rFonts w:asciiTheme="minorHAnsi" w:eastAsiaTheme="minorEastAsia" w:hAnsiTheme="minorHAnsi" w:cstheme="minorBidi"/>
              <w:noProof/>
            </w:rPr>
          </w:pPr>
          <w:r>
            <w:rPr>
              <w:noProof/>
              <w:specVanish/>
            </w:rPr>
            <w:t>A.</w:t>
          </w:r>
          <w:r>
            <w:rPr>
              <w:rFonts w:asciiTheme="minorHAnsi" w:eastAsiaTheme="minorEastAsia" w:hAnsiTheme="minorHAnsi" w:cstheme="minorBidi"/>
              <w:noProof/>
            </w:rPr>
            <w:tab/>
          </w:r>
          <w:r>
            <w:rPr>
              <w:noProof/>
            </w:rPr>
            <w:t>Constitutional Duties.</w:t>
          </w:r>
          <w:r>
            <w:rPr>
              <w:noProof/>
            </w:rPr>
            <w:tab/>
          </w:r>
          <w:r>
            <w:rPr>
              <w:noProof/>
            </w:rPr>
            <w:fldChar w:fldCharType="begin"/>
          </w:r>
          <w:r>
            <w:rPr>
              <w:noProof/>
            </w:rPr>
            <w:instrText xml:space="preserve"> PAGEREF _Toc205915176 \h </w:instrText>
          </w:r>
          <w:r>
            <w:rPr>
              <w:noProof/>
            </w:rPr>
          </w:r>
          <w:r>
            <w:rPr>
              <w:noProof/>
            </w:rPr>
            <w:fldChar w:fldCharType="separate"/>
          </w:r>
          <w:r>
            <w:rPr>
              <w:noProof/>
            </w:rPr>
            <w:t>1</w:t>
          </w:r>
          <w:r>
            <w:rPr>
              <w:noProof/>
            </w:rPr>
            <w:fldChar w:fldCharType="end"/>
          </w:r>
        </w:p>
        <w:p w14:paraId="4C84DAA0" w14:textId="7FAA10A7" w:rsidR="003A250B" w:rsidRDefault="003A250B">
          <w:pPr>
            <w:pStyle w:val="TOC2"/>
            <w:rPr>
              <w:rFonts w:asciiTheme="minorHAnsi" w:eastAsiaTheme="minorEastAsia" w:hAnsiTheme="minorHAnsi" w:cstheme="minorBidi"/>
              <w:noProof/>
            </w:rPr>
          </w:pPr>
          <w:r>
            <w:rPr>
              <w:noProof/>
              <w:specVanish/>
            </w:rPr>
            <w:t>B.</w:t>
          </w:r>
          <w:r>
            <w:rPr>
              <w:rFonts w:asciiTheme="minorHAnsi" w:eastAsiaTheme="minorEastAsia" w:hAnsiTheme="minorHAnsi" w:cstheme="minorBidi"/>
              <w:noProof/>
            </w:rPr>
            <w:tab/>
          </w:r>
          <w:r>
            <w:rPr>
              <w:noProof/>
            </w:rPr>
            <w:t>Statutory Duties.</w:t>
          </w:r>
          <w:r>
            <w:rPr>
              <w:noProof/>
            </w:rPr>
            <w:tab/>
          </w:r>
          <w:r>
            <w:rPr>
              <w:noProof/>
            </w:rPr>
            <w:fldChar w:fldCharType="begin"/>
          </w:r>
          <w:r>
            <w:rPr>
              <w:noProof/>
            </w:rPr>
            <w:instrText xml:space="preserve"> PAGEREF _Toc205915177 \h </w:instrText>
          </w:r>
          <w:r>
            <w:rPr>
              <w:noProof/>
            </w:rPr>
          </w:r>
          <w:r>
            <w:rPr>
              <w:noProof/>
            </w:rPr>
            <w:fldChar w:fldCharType="separate"/>
          </w:r>
          <w:r>
            <w:rPr>
              <w:noProof/>
            </w:rPr>
            <w:t>2</w:t>
          </w:r>
          <w:r>
            <w:rPr>
              <w:noProof/>
            </w:rPr>
            <w:fldChar w:fldCharType="end"/>
          </w:r>
        </w:p>
        <w:p w14:paraId="1FC4078A" w14:textId="4D6AFE42" w:rsidR="003A250B" w:rsidRDefault="003A250B">
          <w:pPr>
            <w:pStyle w:val="TOC2"/>
            <w:rPr>
              <w:rFonts w:asciiTheme="minorHAnsi" w:eastAsiaTheme="minorEastAsia" w:hAnsiTheme="minorHAnsi" w:cstheme="minorBidi"/>
              <w:noProof/>
            </w:rPr>
          </w:pPr>
          <w:r>
            <w:rPr>
              <w:noProof/>
              <w:specVanish/>
            </w:rPr>
            <w:t>C.</w:t>
          </w:r>
          <w:r>
            <w:rPr>
              <w:rFonts w:asciiTheme="minorHAnsi" w:eastAsiaTheme="minorEastAsia" w:hAnsiTheme="minorHAnsi" w:cstheme="minorBidi"/>
              <w:noProof/>
            </w:rPr>
            <w:tab/>
          </w:r>
          <w:r>
            <w:rPr>
              <w:noProof/>
            </w:rPr>
            <w:t>Assistant District Attorneys.</w:t>
          </w:r>
          <w:r>
            <w:rPr>
              <w:noProof/>
            </w:rPr>
            <w:tab/>
          </w:r>
          <w:r>
            <w:rPr>
              <w:noProof/>
            </w:rPr>
            <w:fldChar w:fldCharType="begin"/>
          </w:r>
          <w:r>
            <w:rPr>
              <w:noProof/>
            </w:rPr>
            <w:instrText xml:space="preserve"> PAGEREF _Toc205915178 \h </w:instrText>
          </w:r>
          <w:r>
            <w:rPr>
              <w:noProof/>
            </w:rPr>
          </w:r>
          <w:r>
            <w:rPr>
              <w:noProof/>
            </w:rPr>
            <w:fldChar w:fldCharType="separate"/>
          </w:r>
          <w:r>
            <w:rPr>
              <w:noProof/>
            </w:rPr>
            <w:t>2</w:t>
          </w:r>
          <w:r>
            <w:rPr>
              <w:noProof/>
            </w:rPr>
            <w:fldChar w:fldCharType="end"/>
          </w:r>
        </w:p>
        <w:p w14:paraId="3E6203B0" w14:textId="1BBE33B3" w:rsidR="003A250B" w:rsidRDefault="003A250B">
          <w:pPr>
            <w:pStyle w:val="TOC2"/>
            <w:rPr>
              <w:rFonts w:asciiTheme="minorHAnsi" w:eastAsiaTheme="minorEastAsia" w:hAnsiTheme="minorHAnsi" w:cstheme="minorBidi"/>
              <w:noProof/>
            </w:rPr>
          </w:pPr>
          <w:r>
            <w:rPr>
              <w:noProof/>
              <w:specVanish/>
            </w:rPr>
            <w:t>D.</w:t>
          </w:r>
          <w:r>
            <w:rPr>
              <w:rFonts w:asciiTheme="minorHAnsi" w:eastAsiaTheme="minorEastAsia" w:hAnsiTheme="minorHAnsi" w:cstheme="minorBidi"/>
              <w:noProof/>
            </w:rPr>
            <w:tab/>
          </w:r>
          <w:r>
            <w:rPr>
              <w:noProof/>
            </w:rPr>
            <w:t>Noninterference.</w:t>
          </w:r>
          <w:r>
            <w:rPr>
              <w:noProof/>
            </w:rPr>
            <w:tab/>
          </w:r>
          <w:r>
            <w:rPr>
              <w:noProof/>
            </w:rPr>
            <w:fldChar w:fldCharType="begin"/>
          </w:r>
          <w:r>
            <w:rPr>
              <w:noProof/>
            </w:rPr>
            <w:instrText xml:space="preserve"> PAGEREF _Toc205915179 \h </w:instrText>
          </w:r>
          <w:r>
            <w:rPr>
              <w:noProof/>
            </w:rPr>
          </w:r>
          <w:r>
            <w:rPr>
              <w:noProof/>
            </w:rPr>
            <w:fldChar w:fldCharType="separate"/>
          </w:r>
          <w:r>
            <w:rPr>
              <w:noProof/>
            </w:rPr>
            <w:t>2</w:t>
          </w:r>
          <w:r>
            <w:rPr>
              <w:noProof/>
            </w:rPr>
            <w:fldChar w:fldCharType="end"/>
          </w:r>
        </w:p>
        <w:p w14:paraId="51344683" w14:textId="5CCD44C9" w:rsidR="003A250B" w:rsidRDefault="003A250B">
          <w:pPr>
            <w:pStyle w:val="TOC1"/>
            <w:rPr>
              <w:rFonts w:asciiTheme="minorHAnsi" w:eastAsiaTheme="minorEastAsia" w:hAnsiTheme="minorHAnsi" w:cstheme="minorBidi"/>
              <w:noProof/>
            </w:rPr>
          </w:pPr>
          <w:r>
            <w:rPr>
              <w:noProof/>
            </w:rPr>
            <w:t>IV.</w:t>
          </w:r>
          <w:r>
            <w:rPr>
              <w:rFonts w:asciiTheme="minorHAnsi" w:eastAsiaTheme="minorEastAsia" w:hAnsiTheme="minorHAnsi" w:cstheme="minorBidi"/>
              <w:noProof/>
            </w:rPr>
            <w:tab/>
          </w:r>
          <w:r>
            <w:rPr>
              <w:noProof/>
            </w:rPr>
            <w:t>Actual Conflict of Interest.</w:t>
          </w:r>
          <w:r>
            <w:rPr>
              <w:noProof/>
            </w:rPr>
            <w:tab/>
          </w:r>
          <w:r>
            <w:rPr>
              <w:noProof/>
            </w:rPr>
            <w:fldChar w:fldCharType="begin"/>
          </w:r>
          <w:r>
            <w:rPr>
              <w:noProof/>
            </w:rPr>
            <w:instrText xml:space="preserve"> PAGEREF _Toc205915180 \h </w:instrText>
          </w:r>
          <w:r>
            <w:rPr>
              <w:noProof/>
            </w:rPr>
          </w:r>
          <w:r>
            <w:rPr>
              <w:noProof/>
            </w:rPr>
            <w:fldChar w:fldCharType="separate"/>
          </w:r>
          <w:r>
            <w:rPr>
              <w:noProof/>
            </w:rPr>
            <w:t>2</w:t>
          </w:r>
          <w:r>
            <w:rPr>
              <w:noProof/>
            </w:rPr>
            <w:fldChar w:fldCharType="end"/>
          </w:r>
        </w:p>
        <w:p w14:paraId="5D81E5AE" w14:textId="3ED9A720" w:rsidR="003A250B" w:rsidRDefault="003A250B">
          <w:pPr>
            <w:pStyle w:val="TOC2"/>
            <w:rPr>
              <w:rFonts w:asciiTheme="minorHAnsi" w:eastAsiaTheme="minorEastAsia" w:hAnsiTheme="minorHAnsi" w:cstheme="minorBidi"/>
              <w:noProof/>
            </w:rPr>
          </w:pPr>
          <w:r>
            <w:rPr>
              <w:noProof/>
              <w:specVanish/>
            </w:rPr>
            <w:t>A.</w:t>
          </w:r>
          <w:r>
            <w:rPr>
              <w:rFonts w:asciiTheme="minorHAnsi" w:eastAsiaTheme="minorEastAsia" w:hAnsiTheme="minorHAnsi" w:cstheme="minorBidi"/>
              <w:noProof/>
            </w:rPr>
            <w:tab/>
          </w:r>
          <w:r>
            <w:rPr>
              <w:noProof/>
            </w:rPr>
            <w:t>Exclusive Grounds.</w:t>
          </w:r>
          <w:r>
            <w:rPr>
              <w:noProof/>
            </w:rPr>
            <w:tab/>
          </w:r>
          <w:r>
            <w:rPr>
              <w:noProof/>
            </w:rPr>
            <w:fldChar w:fldCharType="begin"/>
          </w:r>
          <w:r>
            <w:rPr>
              <w:noProof/>
            </w:rPr>
            <w:instrText xml:space="preserve"> PAGEREF _Toc205915181 \h </w:instrText>
          </w:r>
          <w:r>
            <w:rPr>
              <w:noProof/>
            </w:rPr>
          </w:r>
          <w:r>
            <w:rPr>
              <w:noProof/>
            </w:rPr>
            <w:fldChar w:fldCharType="separate"/>
          </w:r>
          <w:r>
            <w:rPr>
              <w:noProof/>
            </w:rPr>
            <w:t>2</w:t>
          </w:r>
          <w:r>
            <w:rPr>
              <w:noProof/>
            </w:rPr>
            <w:fldChar w:fldCharType="end"/>
          </w:r>
        </w:p>
        <w:p w14:paraId="5B553919" w14:textId="34A7179F" w:rsidR="003A250B" w:rsidRDefault="003A250B">
          <w:pPr>
            <w:pStyle w:val="TOC2"/>
            <w:rPr>
              <w:rFonts w:asciiTheme="minorHAnsi" w:eastAsiaTheme="minorEastAsia" w:hAnsiTheme="minorHAnsi" w:cstheme="minorBidi"/>
              <w:noProof/>
            </w:rPr>
          </w:pPr>
          <w:r>
            <w:rPr>
              <w:noProof/>
              <w:specVanish/>
            </w:rPr>
            <w:t>B.</w:t>
          </w:r>
          <w:r>
            <w:rPr>
              <w:rFonts w:asciiTheme="minorHAnsi" w:eastAsiaTheme="minorEastAsia" w:hAnsiTheme="minorHAnsi" w:cstheme="minorBidi"/>
              <w:noProof/>
            </w:rPr>
            <w:tab/>
          </w:r>
          <w:r>
            <w:rPr>
              <w:noProof/>
            </w:rPr>
            <w:t>Procedure.</w:t>
          </w:r>
          <w:r>
            <w:rPr>
              <w:noProof/>
            </w:rPr>
            <w:tab/>
          </w:r>
          <w:r>
            <w:rPr>
              <w:noProof/>
            </w:rPr>
            <w:fldChar w:fldCharType="begin"/>
          </w:r>
          <w:r>
            <w:rPr>
              <w:noProof/>
            </w:rPr>
            <w:instrText xml:space="preserve"> PAGEREF _Toc205915182 \h </w:instrText>
          </w:r>
          <w:r>
            <w:rPr>
              <w:noProof/>
            </w:rPr>
          </w:r>
          <w:r>
            <w:rPr>
              <w:noProof/>
            </w:rPr>
            <w:fldChar w:fldCharType="separate"/>
          </w:r>
          <w:r>
            <w:rPr>
              <w:noProof/>
            </w:rPr>
            <w:t>2</w:t>
          </w:r>
          <w:r>
            <w:rPr>
              <w:noProof/>
            </w:rPr>
            <w:fldChar w:fldCharType="end"/>
          </w:r>
        </w:p>
        <w:p w14:paraId="6F7C5BB5" w14:textId="02CE6E50" w:rsidR="003A250B" w:rsidRDefault="003A250B">
          <w:pPr>
            <w:pStyle w:val="TOC2"/>
            <w:rPr>
              <w:rFonts w:asciiTheme="minorHAnsi" w:eastAsiaTheme="minorEastAsia" w:hAnsiTheme="minorHAnsi" w:cstheme="minorBidi"/>
              <w:noProof/>
            </w:rPr>
          </w:pPr>
          <w:r>
            <w:rPr>
              <w:noProof/>
            </w:rPr>
            <w:t>C.</w:t>
          </w:r>
          <w:r>
            <w:rPr>
              <w:rFonts w:asciiTheme="minorHAnsi" w:eastAsiaTheme="minorEastAsia" w:hAnsiTheme="minorHAnsi" w:cstheme="minorBidi"/>
              <w:noProof/>
            </w:rPr>
            <w:tab/>
          </w:r>
          <w:r>
            <w:rPr>
              <w:noProof/>
            </w:rPr>
            <w:t>Insufficient Grounds.</w:t>
          </w:r>
          <w:r>
            <w:rPr>
              <w:noProof/>
            </w:rPr>
            <w:tab/>
          </w:r>
          <w:r>
            <w:rPr>
              <w:noProof/>
            </w:rPr>
            <w:fldChar w:fldCharType="begin"/>
          </w:r>
          <w:r>
            <w:rPr>
              <w:noProof/>
            </w:rPr>
            <w:instrText xml:space="preserve"> PAGEREF _Toc205915183 \h </w:instrText>
          </w:r>
          <w:r>
            <w:rPr>
              <w:noProof/>
            </w:rPr>
          </w:r>
          <w:r>
            <w:rPr>
              <w:noProof/>
            </w:rPr>
            <w:fldChar w:fldCharType="separate"/>
          </w:r>
          <w:r>
            <w:rPr>
              <w:noProof/>
            </w:rPr>
            <w:t>3</w:t>
          </w:r>
          <w:r>
            <w:rPr>
              <w:noProof/>
            </w:rPr>
            <w:fldChar w:fldCharType="end"/>
          </w:r>
        </w:p>
        <w:p w14:paraId="10D7109D" w14:textId="126C8BC2" w:rsidR="003A250B" w:rsidRDefault="003A250B">
          <w:pPr>
            <w:pStyle w:val="TOC1"/>
            <w:rPr>
              <w:rFonts w:asciiTheme="minorHAnsi" w:eastAsiaTheme="minorEastAsia" w:hAnsiTheme="minorHAnsi" w:cstheme="minorBidi"/>
              <w:noProof/>
            </w:rPr>
          </w:pPr>
          <w:r>
            <w:rPr>
              <w:noProof/>
            </w:rPr>
            <w:t>V.</w:t>
          </w:r>
          <w:r>
            <w:rPr>
              <w:rFonts w:asciiTheme="minorHAnsi" w:eastAsiaTheme="minorEastAsia" w:hAnsiTheme="minorHAnsi" w:cstheme="minorBidi"/>
              <w:noProof/>
            </w:rPr>
            <w:tab/>
          </w:r>
          <w:r>
            <w:rPr>
              <w:noProof/>
            </w:rPr>
            <w:t>Narrowly Tailored.</w:t>
          </w:r>
          <w:r>
            <w:rPr>
              <w:noProof/>
            </w:rPr>
            <w:tab/>
          </w:r>
          <w:r>
            <w:rPr>
              <w:noProof/>
            </w:rPr>
            <w:fldChar w:fldCharType="begin"/>
          </w:r>
          <w:r>
            <w:rPr>
              <w:noProof/>
            </w:rPr>
            <w:instrText xml:space="preserve"> PAGEREF _Toc205915184 \h </w:instrText>
          </w:r>
          <w:r>
            <w:rPr>
              <w:noProof/>
            </w:rPr>
          </w:r>
          <w:r>
            <w:rPr>
              <w:noProof/>
            </w:rPr>
            <w:fldChar w:fldCharType="separate"/>
          </w:r>
          <w:r>
            <w:rPr>
              <w:noProof/>
            </w:rPr>
            <w:t>3</w:t>
          </w:r>
          <w:r>
            <w:rPr>
              <w:noProof/>
            </w:rPr>
            <w:fldChar w:fldCharType="end"/>
          </w:r>
        </w:p>
        <w:p w14:paraId="25A51334" w14:textId="0DFC8C4D" w:rsidR="003A250B" w:rsidRDefault="003A250B">
          <w:pPr>
            <w:pStyle w:val="TOC2"/>
            <w:rPr>
              <w:rFonts w:asciiTheme="minorHAnsi" w:eastAsiaTheme="minorEastAsia" w:hAnsiTheme="minorHAnsi" w:cstheme="minorBidi"/>
              <w:noProof/>
            </w:rPr>
          </w:pPr>
          <w:r>
            <w:rPr>
              <w:noProof/>
              <w:specVanish/>
            </w:rPr>
            <w:t>A.</w:t>
          </w:r>
          <w:r>
            <w:rPr>
              <w:rFonts w:asciiTheme="minorHAnsi" w:eastAsiaTheme="minorEastAsia" w:hAnsiTheme="minorHAnsi" w:cstheme="minorBidi"/>
              <w:noProof/>
            </w:rPr>
            <w:tab/>
          </w:r>
          <w:r>
            <w:rPr>
              <w:noProof/>
            </w:rPr>
            <w:t>Principles.</w:t>
          </w:r>
          <w:r>
            <w:rPr>
              <w:noProof/>
            </w:rPr>
            <w:tab/>
          </w:r>
          <w:r>
            <w:rPr>
              <w:noProof/>
            </w:rPr>
            <w:fldChar w:fldCharType="begin"/>
          </w:r>
          <w:r>
            <w:rPr>
              <w:noProof/>
            </w:rPr>
            <w:instrText xml:space="preserve"> PAGEREF _Toc205915185 \h </w:instrText>
          </w:r>
          <w:r>
            <w:rPr>
              <w:noProof/>
            </w:rPr>
          </w:r>
          <w:r>
            <w:rPr>
              <w:noProof/>
            </w:rPr>
            <w:fldChar w:fldCharType="separate"/>
          </w:r>
          <w:r>
            <w:rPr>
              <w:noProof/>
            </w:rPr>
            <w:t>3</w:t>
          </w:r>
          <w:r>
            <w:rPr>
              <w:noProof/>
            </w:rPr>
            <w:fldChar w:fldCharType="end"/>
          </w:r>
        </w:p>
        <w:p w14:paraId="48DE8642" w14:textId="123D533C" w:rsidR="003A250B" w:rsidRDefault="003A250B">
          <w:pPr>
            <w:pStyle w:val="TOC2"/>
            <w:rPr>
              <w:rFonts w:asciiTheme="minorHAnsi" w:eastAsiaTheme="minorEastAsia" w:hAnsiTheme="minorHAnsi" w:cstheme="minorBidi"/>
              <w:noProof/>
            </w:rPr>
          </w:pPr>
          <w:r>
            <w:rPr>
              <w:noProof/>
              <w:specVanish/>
            </w:rPr>
            <w:t>B.</w:t>
          </w:r>
          <w:r>
            <w:rPr>
              <w:rFonts w:asciiTheme="minorHAnsi" w:eastAsiaTheme="minorEastAsia" w:hAnsiTheme="minorHAnsi" w:cstheme="minorBidi"/>
              <w:noProof/>
            </w:rPr>
            <w:tab/>
          </w:r>
          <w:r>
            <w:rPr>
              <w:noProof/>
            </w:rPr>
            <w:t>Examples.</w:t>
          </w:r>
          <w:r>
            <w:rPr>
              <w:noProof/>
            </w:rPr>
            <w:tab/>
          </w:r>
          <w:r>
            <w:rPr>
              <w:noProof/>
            </w:rPr>
            <w:fldChar w:fldCharType="begin"/>
          </w:r>
          <w:r>
            <w:rPr>
              <w:noProof/>
            </w:rPr>
            <w:instrText xml:space="preserve"> PAGEREF _Toc205915186 \h </w:instrText>
          </w:r>
          <w:r>
            <w:rPr>
              <w:noProof/>
            </w:rPr>
          </w:r>
          <w:r>
            <w:rPr>
              <w:noProof/>
            </w:rPr>
            <w:fldChar w:fldCharType="separate"/>
          </w:r>
          <w:r>
            <w:rPr>
              <w:noProof/>
            </w:rPr>
            <w:t>4</w:t>
          </w:r>
          <w:r>
            <w:rPr>
              <w:noProof/>
            </w:rPr>
            <w:fldChar w:fldCharType="end"/>
          </w:r>
        </w:p>
        <w:p w14:paraId="1B411A4E" w14:textId="1BD1800C" w:rsidR="003A250B" w:rsidRDefault="003A250B">
          <w:r>
            <w:rPr>
              <w:rFonts w:ascii="Arial" w:hAnsi="Arial"/>
            </w:rPr>
            <w:fldChar w:fldCharType="end"/>
          </w:r>
        </w:p>
      </w:sdtContent>
    </w:sdt>
    <w:p w14:paraId="5D1BEFC7" w14:textId="7C0141F9" w:rsidR="00AB2353" w:rsidRPr="009363B8" w:rsidRDefault="00214FB2" w:rsidP="009363B8">
      <w:pPr>
        <w:pStyle w:val="Heading1"/>
        <w:rPr>
          <w:vanish/>
          <w:specVanish/>
        </w:rPr>
      </w:pPr>
      <w:bookmarkStart w:id="0" w:name="_Toc205915173"/>
      <w:r>
        <w:t>Introduction</w:t>
      </w:r>
      <w:r w:rsidR="00AB2353">
        <w:t>.</w:t>
      </w:r>
      <w:bookmarkEnd w:id="0"/>
    </w:p>
    <w:p w14:paraId="2A803967" w14:textId="5967983E" w:rsidR="00256C0D" w:rsidRDefault="009363B8" w:rsidP="009363B8">
      <w:pPr>
        <w:pStyle w:val="BodyH1"/>
        <w:ind w:left="900" w:hanging="900"/>
      </w:pPr>
      <w:r>
        <w:t xml:space="preserve"> </w:t>
      </w:r>
      <w:r w:rsidR="00256C0D">
        <w:t xml:space="preserve">“[T]he primary distinction between recusal and disqualification is the self-imposing nature associated with recusals compared with the directive nature associated with disqualifications.” </w:t>
      </w:r>
      <w:hyperlink r:id="rId7" w:history="1">
        <w:r w:rsidR="00256C0D" w:rsidRPr="0086645D">
          <w:rPr>
            <w:rStyle w:val="Hyperlink"/>
            <w:i/>
            <w:iCs/>
          </w:rPr>
          <w:t>State v. Smith</w:t>
        </w:r>
      </w:hyperlink>
      <w:r w:rsidR="00256C0D">
        <w:t xml:space="preserve">, 258 N.C. App. 682, 685-86 (2018). Strictly speaking, a defendant seeking a court order to </w:t>
      </w:r>
      <w:proofErr w:type="gramStart"/>
      <w:r w:rsidR="00256C0D">
        <w:t>preclude</w:t>
      </w:r>
      <w:proofErr w:type="gramEnd"/>
      <w:r w:rsidR="00256C0D">
        <w:t xml:space="preserve"> a prosecutor from participating in a case is seeking disqualification, not recusal. </w:t>
      </w:r>
      <w:r w:rsidR="007776A7" w:rsidRPr="007776A7">
        <w:rPr>
          <w:i/>
          <w:iCs/>
        </w:rPr>
        <w:t xml:space="preserve">See </w:t>
      </w:r>
      <w:hyperlink r:id="rId8" w:history="1">
        <w:r w:rsidR="007776A7" w:rsidRPr="00222A51">
          <w:rPr>
            <w:rStyle w:val="Hyperlink"/>
            <w:i/>
            <w:iCs/>
          </w:rPr>
          <w:t>State v. Perry</w:t>
        </w:r>
      </w:hyperlink>
      <w:r w:rsidR="007776A7">
        <w:t xml:space="preserve">, 262 N.C. App. 132, 136 (2018). </w:t>
      </w:r>
      <w:r w:rsidR="00214FB2">
        <w:t>This entry</w:t>
      </w:r>
      <w:r w:rsidR="00256C0D">
        <w:t xml:space="preserve"> address</w:t>
      </w:r>
      <w:r w:rsidR="00214FB2">
        <w:t>es the circumstances</w:t>
      </w:r>
      <w:r w:rsidR="00256C0D">
        <w:t xml:space="preserve"> when a defendant may be entitled to such an order.</w:t>
      </w:r>
    </w:p>
    <w:p w14:paraId="53BE1BBD" w14:textId="206520F0" w:rsidR="00AB2353" w:rsidRPr="009363B8" w:rsidRDefault="00256C0D" w:rsidP="009363B8">
      <w:pPr>
        <w:pStyle w:val="Heading1"/>
        <w:rPr>
          <w:vanish/>
          <w:specVanish/>
        </w:rPr>
      </w:pPr>
      <w:bookmarkStart w:id="1" w:name="_Toc205915174"/>
      <w:r>
        <w:t>Impartial</w:t>
      </w:r>
      <w:r w:rsidR="00C14A31">
        <w:t>ity Not Required</w:t>
      </w:r>
      <w:r w:rsidR="00AB2353">
        <w:t>.</w:t>
      </w:r>
      <w:bookmarkEnd w:id="1"/>
    </w:p>
    <w:p w14:paraId="67185468" w14:textId="764861E7" w:rsidR="00256C0D" w:rsidRDefault="009363B8" w:rsidP="00AB2353">
      <w:pPr>
        <w:pStyle w:val="BodyH1"/>
      </w:pPr>
      <w:r>
        <w:t xml:space="preserve"> </w:t>
      </w:r>
      <w:r w:rsidR="00025709" w:rsidRPr="00025709">
        <w:t>While due process entitles a person to an impartial and disinterested tribunal, the same rigid requirements are not applicable to prosecutors. Indeed, prosecutors need not be entirely neutral and detached</w:t>
      </w:r>
      <w:r w:rsidR="00256C0D">
        <w:t>, but “</w:t>
      </w:r>
      <w:r w:rsidR="00256C0D" w:rsidRPr="00025709">
        <w:t>they are necessarily permitted to be zealous in their enforcement of the law</w:t>
      </w:r>
      <w:r w:rsidR="00025709" w:rsidRPr="00025709">
        <w:t>.</w:t>
      </w:r>
      <w:r w:rsidR="00256C0D">
        <w:t>”</w:t>
      </w:r>
      <w:r w:rsidR="00025709" w:rsidRPr="00025709">
        <w:t xml:space="preserve"> </w:t>
      </w:r>
      <w:hyperlink r:id="rId9" w:history="1">
        <w:r w:rsidR="00025709" w:rsidRPr="00B36DB4">
          <w:rPr>
            <w:rStyle w:val="Hyperlink"/>
            <w:i/>
            <w:iCs/>
          </w:rPr>
          <w:t>Marshall v. Jerrico, Inc.</w:t>
        </w:r>
      </w:hyperlink>
      <w:r w:rsidR="00025709" w:rsidRPr="00025709">
        <w:t>, 446 U.S. 238, 248 (1980).</w:t>
      </w:r>
      <w:r w:rsidR="00256C0D">
        <w:t xml:space="preserve"> “In the discharge of his duties the prosecuting attorney is not required to be, and should not be, neutral. He is not the judge, but the advocate of the State’s interest in the matter at </w:t>
      </w:r>
      <w:proofErr w:type="gramStart"/>
      <w:r w:rsidR="00256C0D">
        <w:t>hand.”</w:t>
      </w:r>
      <w:proofErr w:type="gramEnd"/>
      <w:r w:rsidR="00256C0D">
        <w:t xml:space="preserve"> </w:t>
      </w:r>
      <w:hyperlink r:id="rId10" w:history="1">
        <w:r w:rsidR="00256C0D" w:rsidRPr="00B6550A">
          <w:rPr>
            <w:rStyle w:val="Hyperlink"/>
            <w:i/>
            <w:iCs/>
          </w:rPr>
          <w:t>State v. Britt</w:t>
        </w:r>
      </w:hyperlink>
      <w:r w:rsidR="00256C0D">
        <w:t xml:space="preserve">, 291 N.C. 528, 542 (1977) (quoting </w:t>
      </w:r>
      <w:hyperlink r:id="rId11" w:history="1">
        <w:r w:rsidR="00256C0D" w:rsidRPr="00455362">
          <w:rPr>
            <w:rStyle w:val="Hyperlink"/>
            <w:i/>
            <w:iCs/>
          </w:rPr>
          <w:t>State v. Westbrook</w:t>
        </w:r>
      </w:hyperlink>
      <w:r w:rsidR="00256C0D">
        <w:t>, 279 N.C. 18, 37 (1971))</w:t>
      </w:r>
      <w:r w:rsidR="00214FB2">
        <w:t>.</w:t>
      </w:r>
    </w:p>
    <w:p w14:paraId="53791E90" w14:textId="154DD6DC" w:rsidR="00AB2353" w:rsidRPr="009363B8" w:rsidRDefault="001E359C" w:rsidP="009363B8">
      <w:pPr>
        <w:pStyle w:val="Heading1"/>
        <w:rPr>
          <w:vanish/>
          <w:specVanish/>
        </w:rPr>
      </w:pPr>
      <w:bookmarkStart w:id="2" w:name="_Toc205915175"/>
      <w:r>
        <w:t xml:space="preserve">Constitutional </w:t>
      </w:r>
      <w:r w:rsidR="00BD48A2">
        <w:t>Officers</w:t>
      </w:r>
      <w:r w:rsidR="00AB2353">
        <w:t>.</w:t>
      </w:r>
      <w:bookmarkEnd w:id="2"/>
    </w:p>
    <w:p w14:paraId="580A29A6" w14:textId="51E0E3E3" w:rsidR="00AB0540" w:rsidRDefault="009363B8" w:rsidP="00AB2353">
      <w:pPr>
        <w:pStyle w:val="BodyH1"/>
      </w:pPr>
      <w:r>
        <w:t xml:space="preserve"> </w:t>
      </w:r>
      <w:r w:rsidR="000430A6">
        <w:t>“</w:t>
      </w:r>
      <w:r w:rsidR="000C556B">
        <w:t>The several District Attorneys of the State are independent constitutional officers</w:t>
      </w:r>
      <w:r w:rsidR="000430A6">
        <w:t>,</w:t>
      </w:r>
      <w:r w:rsidR="000430A6" w:rsidRPr="000430A6">
        <w:t xml:space="preserve"> elected in their districts by the qualified voters thereof, and their special duties are prescribed by the Constitution of North Carolina and by statutes.</w:t>
      </w:r>
      <w:r w:rsidR="000C556B">
        <w:t xml:space="preserve">” </w:t>
      </w:r>
      <w:hyperlink r:id="rId12" w:history="1">
        <w:r w:rsidR="000C556B" w:rsidRPr="00244137">
          <w:rPr>
            <w:rStyle w:val="Hyperlink"/>
            <w:i/>
            <w:iCs/>
          </w:rPr>
          <w:t>State v. Camacho</w:t>
        </w:r>
      </w:hyperlink>
      <w:r w:rsidR="000C556B">
        <w:t>, 329 N.C. 589, 593 (1991)</w:t>
      </w:r>
      <w:r w:rsidR="008B1E01">
        <w:t xml:space="preserve">; </w:t>
      </w:r>
      <w:r w:rsidR="008B1E01" w:rsidRPr="008F2C5A">
        <w:rPr>
          <w:i/>
          <w:iCs/>
        </w:rPr>
        <w:t xml:space="preserve">cf. </w:t>
      </w:r>
      <w:hyperlink r:id="rId13" w:history="1">
        <w:r w:rsidR="008B1E01" w:rsidRPr="00244137">
          <w:rPr>
            <w:rStyle w:val="Hyperlink"/>
            <w:i/>
            <w:iCs/>
          </w:rPr>
          <w:t>id.</w:t>
        </w:r>
      </w:hyperlink>
      <w:r w:rsidR="008B1E01">
        <w:t xml:space="preserve"> at 595 (</w:t>
      </w:r>
      <w:r w:rsidR="003D7892" w:rsidRPr="003D7892">
        <w:t>constitutional officers</w:t>
      </w:r>
      <w:r w:rsidR="00C050D2">
        <w:t> . . .</w:t>
      </w:r>
      <w:r w:rsidR="003D7892" w:rsidRPr="003D7892">
        <w:t xml:space="preserve"> whose duties and responsibilities are in large part constitutionally and statutorily mandated.</w:t>
      </w:r>
      <w:r w:rsidR="003D7892">
        <w:t>”).</w:t>
      </w:r>
      <w:r w:rsidR="008C08B2">
        <w:t xml:space="preserve"> The office of the district attorney is created in Article IV of the </w:t>
      </w:r>
      <w:r w:rsidR="00333BCC">
        <w:t xml:space="preserve">state </w:t>
      </w:r>
      <w:r w:rsidR="008C08B2">
        <w:t>constitution, the Judicial Article, rather than in Article III, the Executive article.</w:t>
      </w:r>
      <w:r w:rsidR="00456D13">
        <w:t xml:space="preserve"> </w:t>
      </w:r>
      <w:r w:rsidR="007412E9">
        <w:t xml:space="preserve">District Attorneys </w:t>
      </w:r>
      <w:r w:rsidR="00941617">
        <w:t>are officers of the court and in certain situations may be considered judicial or quasi-judicial officers.</w:t>
      </w:r>
      <w:r w:rsidR="00B40E20" w:rsidRPr="00B40E20">
        <w:t xml:space="preserve"> </w:t>
      </w:r>
      <w:hyperlink r:id="rId14" w:history="1">
        <w:r w:rsidR="00B40E20" w:rsidRPr="004E2789">
          <w:rPr>
            <w:rStyle w:val="Hyperlink"/>
            <w:i/>
            <w:iCs/>
          </w:rPr>
          <w:t>Simeon v. Hardin</w:t>
        </w:r>
      </w:hyperlink>
      <w:r w:rsidR="00B40E20">
        <w:t>, 339 N.C. 358, 375 (1994).</w:t>
      </w:r>
    </w:p>
    <w:p w14:paraId="68D6DCF8" w14:textId="797B70E5" w:rsidR="00AB2353" w:rsidRPr="009363B8" w:rsidRDefault="002F7459" w:rsidP="009363B8">
      <w:pPr>
        <w:pStyle w:val="Heading2"/>
        <w:rPr>
          <w:vanish/>
          <w:specVanish/>
        </w:rPr>
      </w:pPr>
      <w:bookmarkStart w:id="3" w:name="_Toc205915176"/>
      <w:r>
        <w:t xml:space="preserve">Constitutional </w:t>
      </w:r>
      <w:r w:rsidR="006F3948">
        <w:t>D</w:t>
      </w:r>
      <w:r>
        <w:t>uties</w:t>
      </w:r>
      <w:r w:rsidR="00AB2353">
        <w:t>.</w:t>
      </w:r>
      <w:bookmarkEnd w:id="3"/>
    </w:p>
    <w:p w14:paraId="2AB4FE24" w14:textId="3B9356CE" w:rsidR="00AB0540" w:rsidRPr="003213A2" w:rsidRDefault="009363B8" w:rsidP="00AB2353">
      <w:pPr>
        <w:pStyle w:val="BodyH2"/>
        <w:rPr>
          <w:i/>
          <w:iCs/>
        </w:rPr>
      </w:pPr>
      <w:r>
        <w:t xml:space="preserve"> </w:t>
      </w:r>
      <w:r w:rsidR="00E73D3A">
        <w:t>“</w:t>
      </w:r>
      <w:r w:rsidR="00E73D3A" w:rsidRPr="00E73D3A">
        <w:t>The District Attorney shall</w:t>
      </w:r>
      <w:r w:rsidR="00C050D2">
        <w:t> . . .</w:t>
      </w:r>
      <w:r w:rsidR="00E73D3A" w:rsidRPr="00E73D3A">
        <w:t xml:space="preserve"> be responsible for the prosecution on behalf of the State of all criminal actions in the Superior Courts of his </w:t>
      </w:r>
      <w:r w:rsidR="00E73D3A" w:rsidRPr="00E73D3A">
        <w:lastRenderedPageBreak/>
        <w:t>district</w:t>
      </w:r>
      <w:r w:rsidR="00E73D3A">
        <w:t xml:space="preserve">.” </w:t>
      </w:r>
      <w:hyperlink r:id="rId15" w:history="1">
        <w:r w:rsidR="00E73D3A" w:rsidRPr="00003947">
          <w:rPr>
            <w:rStyle w:val="Hyperlink"/>
          </w:rPr>
          <w:t>N.C. Const.</w:t>
        </w:r>
      </w:hyperlink>
      <w:r w:rsidR="00E73D3A">
        <w:t xml:space="preserve"> art. </w:t>
      </w:r>
      <w:r w:rsidR="00647CEF">
        <w:t>IV, § 18.</w:t>
      </w:r>
      <w:r w:rsidR="00E73D3A">
        <w:t xml:space="preserve"> </w:t>
      </w:r>
      <w:r w:rsidR="00647CEF">
        <w:t xml:space="preserve">“The clear mandate of that provision is that the responsibility and authority to prosecute all criminal actions in the superior courts is vested solely in the several District Attorneys of the State.” </w:t>
      </w:r>
      <w:hyperlink r:id="rId16" w:history="1">
        <w:r w:rsidR="00647CEF" w:rsidRPr="00244137">
          <w:rPr>
            <w:rStyle w:val="Hyperlink"/>
            <w:i/>
            <w:iCs/>
          </w:rPr>
          <w:t>State v. Camacho</w:t>
        </w:r>
      </w:hyperlink>
      <w:r w:rsidR="00647CEF">
        <w:t>, 329 N.C. 589, 593 (1991);</w:t>
      </w:r>
      <w:r w:rsidR="00E3211B" w:rsidRPr="00E3211B">
        <w:t xml:space="preserve"> </w:t>
      </w:r>
      <w:r w:rsidR="00E3211B" w:rsidRPr="00E3211B">
        <w:rPr>
          <w:i/>
          <w:iCs/>
        </w:rPr>
        <w:t xml:space="preserve">accord </w:t>
      </w:r>
      <w:hyperlink r:id="rId17" w:history="1">
        <w:r w:rsidR="003213A2" w:rsidRPr="0030357F">
          <w:rPr>
            <w:rStyle w:val="Hyperlink"/>
            <w:i/>
            <w:iCs/>
          </w:rPr>
          <w:t>State v. Ward</w:t>
        </w:r>
      </w:hyperlink>
      <w:r w:rsidR="003213A2" w:rsidRPr="003213A2">
        <w:t>, 354 N.C. 231, 243</w:t>
      </w:r>
      <w:r w:rsidR="003213A2">
        <w:t xml:space="preserve"> </w:t>
      </w:r>
      <w:r w:rsidR="003213A2" w:rsidRPr="003213A2">
        <w:t>(2001)</w:t>
      </w:r>
      <w:r w:rsidR="003213A2">
        <w:t xml:space="preserve">; </w:t>
      </w:r>
      <w:hyperlink r:id="rId18" w:history="1">
        <w:r w:rsidR="00E3211B" w:rsidRPr="00CF6002">
          <w:rPr>
            <w:rStyle w:val="Hyperlink"/>
            <w:i/>
            <w:iCs/>
          </w:rPr>
          <w:t>State v. Wilson</w:t>
        </w:r>
      </w:hyperlink>
      <w:r w:rsidR="00E3211B">
        <w:t>, 139 N.C. App. 544, 550 (2000)</w:t>
      </w:r>
      <w:r w:rsidR="00CC33C8">
        <w:t>. District Attorney are “</w:t>
      </w:r>
      <w:r w:rsidR="00CC33C8" w:rsidRPr="004C0746">
        <w:t>constitutional officers expressly vested by our Constitution with the sole and exclusive responsibility for the prosecution on behalf of the State of all criminal actions in the superior courts.</w:t>
      </w:r>
      <w:r w:rsidR="00CC33C8">
        <w:t xml:space="preserve">” </w:t>
      </w:r>
      <w:hyperlink r:id="rId19" w:history="1">
        <w:r w:rsidR="002C13FB" w:rsidRPr="0009429D">
          <w:rPr>
            <w:rStyle w:val="Hyperlink"/>
            <w:i/>
            <w:iCs/>
          </w:rPr>
          <w:t>In re Spivey</w:t>
        </w:r>
      </w:hyperlink>
      <w:r w:rsidR="002C13FB">
        <w:t>, 345 N.C. 404, 409 (1997)</w:t>
      </w:r>
      <w:r w:rsidR="000B7072">
        <w:t>;</w:t>
      </w:r>
      <w:r w:rsidR="004C0746" w:rsidRPr="004C0746">
        <w:t xml:space="preserve"> </w:t>
      </w:r>
      <w:r w:rsidR="001611D1" w:rsidRPr="001611D1">
        <w:rPr>
          <w:i/>
          <w:iCs/>
        </w:rPr>
        <w:t>cf.</w:t>
      </w:r>
      <w:r w:rsidR="001611D1">
        <w:t xml:space="preserve"> </w:t>
      </w:r>
      <w:hyperlink r:id="rId20" w:history="1">
        <w:r w:rsidR="00AB0540" w:rsidRPr="000D2BC2">
          <w:rPr>
            <w:rStyle w:val="Hyperlink"/>
            <w:i/>
            <w:iCs/>
          </w:rPr>
          <w:t>State v. Roseborough</w:t>
        </w:r>
      </w:hyperlink>
      <w:r w:rsidR="00AB0540">
        <w:t>, 344 N.C. 121, 132</w:t>
      </w:r>
      <w:r w:rsidR="00462841">
        <w:t xml:space="preserve"> </w:t>
      </w:r>
      <w:r w:rsidR="00AB0540">
        <w:t xml:space="preserve">(1996). </w:t>
      </w:r>
    </w:p>
    <w:p w14:paraId="011FB0A4" w14:textId="5D1A0434" w:rsidR="00AB2353" w:rsidRPr="009363B8" w:rsidRDefault="002F7459" w:rsidP="009363B8">
      <w:pPr>
        <w:pStyle w:val="Heading2"/>
        <w:rPr>
          <w:vanish/>
          <w:specVanish/>
        </w:rPr>
      </w:pPr>
      <w:bookmarkStart w:id="4" w:name="_Toc205915177"/>
      <w:r>
        <w:t xml:space="preserve">Statutory </w:t>
      </w:r>
      <w:r w:rsidR="006F3948">
        <w:t>D</w:t>
      </w:r>
      <w:r>
        <w:t>uties</w:t>
      </w:r>
      <w:r w:rsidR="00AB2353">
        <w:t>.</w:t>
      </w:r>
      <w:bookmarkEnd w:id="4"/>
    </w:p>
    <w:p w14:paraId="5E88DC6E" w14:textId="2E62CDB8" w:rsidR="00256C0D" w:rsidRDefault="009363B8" w:rsidP="00AB2353">
      <w:pPr>
        <w:pStyle w:val="BodyH2"/>
      </w:pPr>
      <w:r>
        <w:t xml:space="preserve"> </w:t>
      </w:r>
      <w:r w:rsidR="00040FF5">
        <w:t>“</w:t>
      </w:r>
      <w:r w:rsidR="00040FF5" w:rsidRPr="00040FF5">
        <w:t>The district attorney shall</w:t>
      </w:r>
      <w:r w:rsidR="00C050D2">
        <w:t> . . .</w:t>
      </w:r>
      <w:r w:rsidR="00040FF5" w:rsidRPr="00040FF5">
        <w:t xml:space="preserve"> prosecute</w:t>
      </w:r>
      <w:r w:rsidR="00C050D2">
        <w:t> . . .</w:t>
      </w:r>
      <w:r w:rsidR="00040FF5" w:rsidRPr="00040FF5">
        <w:t xml:space="preserve"> in the name of the State all criminal actions and infractions requiring prosecution in the superior and district courts of the district attorney's prosecutorial district</w:t>
      </w:r>
      <w:r w:rsidR="00C050D2">
        <w:t> </w:t>
      </w:r>
      <w:proofErr w:type="gramStart"/>
      <w:r w:rsidR="00C050D2">
        <w:t>. . . .</w:t>
      </w:r>
      <w:proofErr w:type="gramEnd"/>
      <w:r w:rsidR="00040FF5">
        <w:t xml:space="preserve">” G.S. </w:t>
      </w:r>
      <w:hyperlink r:id="rId21" w:history="1">
        <w:r w:rsidR="00040FF5" w:rsidRPr="0085364D">
          <w:rPr>
            <w:rStyle w:val="Hyperlink"/>
          </w:rPr>
          <w:t>7A-61</w:t>
        </w:r>
      </w:hyperlink>
      <w:r w:rsidR="00040FF5">
        <w:t>. Thus, District Attorneys</w:t>
      </w:r>
      <w:r w:rsidR="00D72C93">
        <w:t xml:space="preserve"> </w:t>
      </w:r>
      <w:r w:rsidR="00040FF5">
        <w:t>“</w:t>
      </w:r>
      <w:r w:rsidR="00D72C93">
        <w:t>are vested by statute with responsibility for the prosecution of all criminal actions and infractions in the district courts.</w:t>
      </w:r>
      <w:r w:rsidR="005B2DF8">
        <w:t>”</w:t>
      </w:r>
      <w:r w:rsidR="00D72C93">
        <w:t xml:space="preserve"> </w:t>
      </w:r>
      <w:hyperlink r:id="rId22" w:history="1">
        <w:r w:rsidR="007E57C7" w:rsidRPr="0085364D">
          <w:rPr>
            <w:rStyle w:val="Hyperlink"/>
            <w:i/>
            <w:iCs/>
          </w:rPr>
          <w:t>In re Spivey</w:t>
        </w:r>
      </w:hyperlink>
      <w:r w:rsidR="007E57C7" w:rsidRPr="007E57C7">
        <w:rPr>
          <w:i/>
          <w:iCs/>
        </w:rPr>
        <w:t xml:space="preserve">, </w:t>
      </w:r>
      <w:r w:rsidR="007E57C7" w:rsidRPr="007E57C7">
        <w:t>345 N.C. 404,</w:t>
      </w:r>
      <w:r w:rsidR="007E57C7">
        <w:t xml:space="preserve"> </w:t>
      </w:r>
      <w:r w:rsidR="00D72C93">
        <w:t>409–10</w:t>
      </w:r>
      <w:r w:rsidR="00B51F00">
        <w:t xml:space="preserve"> </w:t>
      </w:r>
      <w:r w:rsidR="007E57C7">
        <w:t>(1997).</w:t>
      </w:r>
    </w:p>
    <w:p w14:paraId="1919ED0F" w14:textId="3E137226" w:rsidR="00AB2353" w:rsidRPr="009363B8" w:rsidRDefault="002F7459" w:rsidP="009363B8">
      <w:pPr>
        <w:pStyle w:val="Heading2"/>
        <w:rPr>
          <w:vanish/>
          <w:specVanish/>
        </w:rPr>
      </w:pPr>
      <w:bookmarkStart w:id="5" w:name="_Toc205915178"/>
      <w:r>
        <w:t>Assistant</w:t>
      </w:r>
      <w:r w:rsidR="00C14A31">
        <w:t xml:space="preserve"> District Attorneys</w:t>
      </w:r>
      <w:r w:rsidR="00AB2353">
        <w:t>.</w:t>
      </w:r>
      <w:bookmarkEnd w:id="5"/>
    </w:p>
    <w:p w14:paraId="629D8959" w14:textId="2B2F62EE" w:rsidR="006F3948" w:rsidRPr="00817F4B" w:rsidRDefault="009363B8" w:rsidP="00AB2353">
      <w:pPr>
        <w:pStyle w:val="BodyH2"/>
      </w:pPr>
      <w:r>
        <w:t xml:space="preserve"> </w:t>
      </w:r>
      <w:r w:rsidR="00214FB2">
        <w:t>The same principles apply to Assistant District Attorneys.</w:t>
      </w:r>
      <w:r w:rsidR="00214FB2" w:rsidRPr="00214FB2">
        <w:t xml:space="preserve"> </w:t>
      </w:r>
      <w:hyperlink r:id="rId23" w:history="1">
        <w:r w:rsidR="00214FB2" w:rsidRPr="008317E6">
          <w:rPr>
            <w:rStyle w:val="Hyperlink"/>
            <w:i/>
            <w:iCs/>
          </w:rPr>
          <w:t>State v. Giese</w:t>
        </w:r>
      </w:hyperlink>
      <w:r w:rsidR="00214FB2">
        <w:t xml:space="preserve">, 386 N.C. 127, 131 n.2 (2024). </w:t>
      </w:r>
      <w:r w:rsidR="00214FB2" w:rsidRPr="00214FB2">
        <w:t xml:space="preserve">As lawful </w:t>
      </w:r>
      <w:proofErr w:type="gramStart"/>
      <w:r w:rsidR="00214FB2" w:rsidRPr="00214FB2">
        <w:t>designees</w:t>
      </w:r>
      <w:proofErr w:type="gramEnd"/>
      <w:r w:rsidR="00214FB2" w:rsidRPr="00214FB2">
        <w:t xml:space="preserve"> of a </w:t>
      </w:r>
      <w:r w:rsidR="00214FB2">
        <w:t>District Attorney’s</w:t>
      </w:r>
      <w:r w:rsidR="00214FB2" w:rsidRPr="00214FB2">
        <w:t xml:space="preserve"> power and responsibility, ADAs enjoy the authority of the DA</w:t>
      </w:r>
      <w:r w:rsidR="00214FB2">
        <w:t>’</w:t>
      </w:r>
      <w:r w:rsidR="00214FB2" w:rsidRPr="00214FB2">
        <w:t xml:space="preserve">s </w:t>
      </w:r>
      <w:r w:rsidR="00214FB2">
        <w:t>o</w:t>
      </w:r>
      <w:r w:rsidR="00214FB2" w:rsidRPr="00214FB2">
        <w:t>ffice and the constitutional and statutory duties</w:t>
      </w:r>
      <w:r w:rsidR="00214FB2">
        <w:t xml:space="preserve"> </w:t>
      </w:r>
      <w:r w:rsidR="00214FB2" w:rsidRPr="00214FB2">
        <w:t>attached to it.</w:t>
      </w:r>
      <w:r w:rsidR="00214FB2">
        <w:t xml:space="preserve"> </w:t>
      </w:r>
      <w:hyperlink r:id="rId24" w:history="1">
        <w:r w:rsidR="00214FB2" w:rsidRPr="008317E6">
          <w:rPr>
            <w:rStyle w:val="Hyperlink"/>
            <w:i/>
            <w:iCs/>
          </w:rPr>
          <w:t>Id.</w:t>
        </w:r>
      </w:hyperlink>
    </w:p>
    <w:p w14:paraId="584AE1D0" w14:textId="425EC5A6" w:rsidR="00AB2353" w:rsidRPr="009363B8" w:rsidRDefault="006F3948" w:rsidP="009363B8">
      <w:pPr>
        <w:pStyle w:val="Heading2"/>
        <w:rPr>
          <w:vanish/>
          <w:specVanish/>
        </w:rPr>
      </w:pPr>
      <w:bookmarkStart w:id="6" w:name="_Toc205915179"/>
      <w:r>
        <w:t>Noninterference</w:t>
      </w:r>
      <w:r w:rsidR="00AB2353">
        <w:t>.</w:t>
      </w:r>
      <w:bookmarkEnd w:id="6"/>
    </w:p>
    <w:p w14:paraId="289EBE64" w14:textId="53F31A2E" w:rsidR="00B51F00" w:rsidRPr="00B51F00" w:rsidRDefault="009363B8" w:rsidP="00AB2353">
      <w:pPr>
        <w:pStyle w:val="BodyH2"/>
      </w:pPr>
      <w:r>
        <w:t xml:space="preserve"> </w:t>
      </w:r>
      <w:r w:rsidR="00B51F00">
        <w:t xml:space="preserve">The </w:t>
      </w:r>
      <w:r w:rsidR="00DB2369">
        <w:t xml:space="preserve">judiciary must make every possible effort to avoid unnecessarily interfering with </w:t>
      </w:r>
      <w:r w:rsidR="00722988">
        <w:t>the District Attorney</w:t>
      </w:r>
      <w:r w:rsidR="00C15349">
        <w:t>s in the</w:t>
      </w:r>
      <w:r w:rsidR="00722988">
        <w:t xml:space="preserve"> performance of </w:t>
      </w:r>
      <w:r w:rsidR="00C15349">
        <w:t xml:space="preserve">their </w:t>
      </w:r>
      <w:r w:rsidR="00722988">
        <w:t>constitutional and statutory duties.</w:t>
      </w:r>
      <w:r w:rsidR="00B51F00">
        <w:t xml:space="preserve"> </w:t>
      </w:r>
      <w:hyperlink r:id="rId25" w:history="1">
        <w:r w:rsidR="00B51F00" w:rsidRPr="00244137">
          <w:rPr>
            <w:rStyle w:val="Hyperlink"/>
          </w:rPr>
          <w:t>State v. Camacho</w:t>
        </w:r>
      </w:hyperlink>
      <w:r w:rsidR="00B51F00">
        <w:t>, 329 N.C. 589, 595 (1991)</w:t>
      </w:r>
      <w:r w:rsidR="00A72DC3">
        <w:t xml:space="preserve">; </w:t>
      </w:r>
      <w:r w:rsidR="00A72DC3" w:rsidRPr="009622AB">
        <w:rPr>
          <w:i/>
          <w:iCs/>
        </w:rPr>
        <w:t xml:space="preserve">accord </w:t>
      </w:r>
      <w:hyperlink r:id="rId26" w:history="1">
        <w:r w:rsidR="00600D2C" w:rsidRPr="008317E6">
          <w:rPr>
            <w:rStyle w:val="Hyperlink"/>
            <w:i/>
            <w:iCs/>
          </w:rPr>
          <w:t>State v. Giese</w:t>
        </w:r>
      </w:hyperlink>
      <w:r w:rsidR="00600D2C">
        <w:t xml:space="preserve">, 386 N.C. 127, 134 (2024); </w:t>
      </w:r>
      <w:hyperlink r:id="rId27" w:history="1">
        <w:r w:rsidR="009622AB" w:rsidRPr="00AF7175">
          <w:rPr>
            <w:rStyle w:val="Hyperlink"/>
            <w:i/>
            <w:iCs/>
          </w:rPr>
          <w:t>State v. Diaz-Tomas</w:t>
        </w:r>
      </w:hyperlink>
      <w:r w:rsidR="009622AB">
        <w:t xml:space="preserve">, 382 N.C. 640, 650 (2022); </w:t>
      </w:r>
      <w:hyperlink r:id="rId28" w:history="1">
        <w:r w:rsidR="0009533C" w:rsidRPr="00086CDA">
          <w:rPr>
            <w:rStyle w:val="Hyperlink"/>
            <w:i/>
            <w:iCs/>
          </w:rPr>
          <w:t>State v. Smith</w:t>
        </w:r>
      </w:hyperlink>
      <w:r w:rsidR="0009533C">
        <w:t>, 258 N.C. App. 682, 688 (2018).</w:t>
      </w:r>
    </w:p>
    <w:p w14:paraId="00910F20" w14:textId="22BBBEF0" w:rsidR="00AB2353" w:rsidRDefault="00BD48A2" w:rsidP="009363B8">
      <w:pPr>
        <w:pStyle w:val="Heading1"/>
      </w:pPr>
      <w:bookmarkStart w:id="7" w:name="_Toc205915180"/>
      <w:r>
        <w:t>Actual Conflict</w:t>
      </w:r>
      <w:r w:rsidR="00025709">
        <w:t xml:space="preserve"> of Interest</w:t>
      </w:r>
      <w:r w:rsidR="00AB2353">
        <w:t>.</w:t>
      </w:r>
      <w:bookmarkEnd w:id="7"/>
    </w:p>
    <w:p w14:paraId="412A048E" w14:textId="1AAA2DA5" w:rsidR="00AB2353" w:rsidRPr="009363B8" w:rsidRDefault="00256C0D" w:rsidP="009363B8">
      <w:pPr>
        <w:pStyle w:val="Heading2"/>
        <w:numPr>
          <w:ilvl w:val="0"/>
          <w:numId w:val="6"/>
        </w:numPr>
        <w:spacing w:before="0"/>
        <w:rPr>
          <w:vanish/>
          <w:specVanish/>
        </w:rPr>
      </w:pPr>
      <w:bookmarkStart w:id="8" w:name="_Toc205915181"/>
      <w:r>
        <w:t>Exclusive Grounds</w:t>
      </w:r>
      <w:r w:rsidR="00AB2353">
        <w:t>.</w:t>
      </w:r>
      <w:bookmarkEnd w:id="8"/>
    </w:p>
    <w:p w14:paraId="491CA2E3" w14:textId="304028C2" w:rsidR="006E0798" w:rsidRPr="00F93BA3" w:rsidRDefault="009363B8" w:rsidP="00AB2353">
      <w:pPr>
        <w:pStyle w:val="BodyH2"/>
      </w:pPr>
      <w:r>
        <w:t xml:space="preserve"> </w:t>
      </w:r>
      <w:r w:rsidR="00F93BA3">
        <w:t xml:space="preserve">The “key precedent” on disqualification is </w:t>
      </w:r>
      <w:hyperlink r:id="rId29" w:history="1">
        <w:r w:rsidR="00F93BA3" w:rsidRPr="00244137">
          <w:rPr>
            <w:rStyle w:val="Hyperlink"/>
            <w:i/>
            <w:iCs/>
          </w:rPr>
          <w:t>State v. Camacho</w:t>
        </w:r>
      </w:hyperlink>
      <w:r w:rsidR="00F93BA3">
        <w:t xml:space="preserve">, </w:t>
      </w:r>
      <w:r w:rsidR="00F93BA3" w:rsidRPr="00F93BA3">
        <w:t xml:space="preserve">329 N.C. 589 (1991). </w:t>
      </w:r>
      <w:hyperlink r:id="rId30" w:history="1">
        <w:r w:rsidR="00F93BA3" w:rsidRPr="00DA07B3">
          <w:rPr>
            <w:rStyle w:val="Hyperlink"/>
            <w:i/>
            <w:iCs/>
          </w:rPr>
          <w:t>State v. Giese</w:t>
        </w:r>
      </w:hyperlink>
      <w:r w:rsidR="00F93BA3">
        <w:t xml:space="preserve">, 386 N.C. 127, 133 (2024). </w:t>
      </w:r>
      <w:r w:rsidR="00BD48A2">
        <w:t xml:space="preserve">Under </w:t>
      </w:r>
      <w:hyperlink r:id="rId31" w:history="1">
        <w:r w:rsidR="00BD48A2" w:rsidRPr="00244137">
          <w:rPr>
            <w:rStyle w:val="Hyperlink"/>
            <w:i/>
            <w:iCs/>
          </w:rPr>
          <w:t>Camacho</w:t>
        </w:r>
      </w:hyperlink>
      <w:r w:rsidR="00BD48A2">
        <w:t>, “a prosecutor may not be disqualified from prosecuting a criminal action in this State unless and until the trial court determines that an actual conflict of interests exists.”</w:t>
      </w:r>
      <w:r w:rsidR="00BD48A2" w:rsidRPr="00BD48A2">
        <w:t xml:space="preserve"> </w:t>
      </w:r>
      <w:hyperlink r:id="rId32" w:history="1">
        <w:r w:rsidR="00BD48A2" w:rsidRPr="00244137">
          <w:rPr>
            <w:rStyle w:val="Hyperlink"/>
            <w:i/>
            <w:iCs/>
          </w:rPr>
          <w:t>State v. Camacho</w:t>
        </w:r>
      </w:hyperlink>
      <w:r w:rsidR="00BD48A2" w:rsidRPr="00BD48A2">
        <w:t>, 329 N.C. 589, 601</w:t>
      </w:r>
      <w:r w:rsidR="00BD48A2">
        <w:t xml:space="preserve"> </w:t>
      </w:r>
      <w:r w:rsidR="00BD48A2" w:rsidRPr="00BD48A2">
        <w:t>(1991)</w:t>
      </w:r>
      <w:r w:rsidR="00BD48A2">
        <w:t xml:space="preserve">. </w:t>
      </w:r>
      <w:r w:rsidR="006E0798">
        <w:t>An actual conflict of interest exists when</w:t>
      </w:r>
      <w:r w:rsidR="00BD48A2">
        <w:t xml:space="preserve"> </w:t>
      </w:r>
      <w:r w:rsidR="006E0798">
        <w:t>a</w:t>
      </w:r>
      <w:r w:rsidR="00BD48A2">
        <w:t xml:space="preserve"> </w:t>
      </w:r>
      <w:r w:rsidR="006E0798">
        <w:t>prosecutor</w:t>
      </w:r>
      <w:r w:rsidR="00BD48A2">
        <w:t xml:space="preserve"> </w:t>
      </w:r>
      <w:r w:rsidR="006E0798">
        <w:t xml:space="preserve">(1) </w:t>
      </w:r>
      <w:r w:rsidR="00BD48A2">
        <w:t xml:space="preserve">has previously represented the defendant </w:t>
      </w:r>
      <w:r w:rsidR="006E0798">
        <w:t xml:space="preserve">(2) </w:t>
      </w:r>
      <w:proofErr w:type="gramStart"/>
      <w:r w:rsidR="00BD48A2">
        <w:t>with regard to</w:t>
      </w:r>
      <w:proofErr w:type="gramEnd"/>
      <w:r w:rsidR="00BD48A2">
        <w:t xml:space="preserve"> the charges</w:t>
      </w:r>
      <w:r w:rsidR="007C2CDC">
        <w:t xml:space="preserve"> to be prosecuted</w:t>
      </w:r>
      <w:r w:rsidR="00BD48A2">
        <w:t xml:space="preserve"> and, </w:t>
      </w:r>
      <w:r w:rsidR="006E0798">
        <w:t xml:space="preserve">(3) </w:t>
      </w:r>
      <w:proofErr w:type="gramStart"/>
      <w:r w:rsidR="00BD48A2">
        <w:t>as a result of</w:t>
      </w:r>
      <w:proofErr w:type="gramEnd"/>
      <w:r w:rsidR="00BD48A2">
        <w:t xml:space="preserve"> </w:t>
      </w:r>
      <w:r w:rsidR="006E0798">
        <w:t>the</w:t>
      </w:r>
      <w:r w:rsidR="00BD48A2">
        <w:t xml:space="preserve"> former </w:t>
      </w:r>
      <w:r w:rsidR="00CA3C2C">
        <w:t xml:space="preserve">attorney-client </w:t>
      </w:r>
      <w:r w:rsidR="00BD48A2">
        <w:t xml:space="preserve">relationship, </w:t>
      </w:r>
      <w:r w:rsidR="00CA3C2C">
        <w:t xml:space="preserve">the prosecution </w:t>
      </w:r>
      <w:r w:rsidR="00BD48A2">
        <w:t>has obtained confidential information which may be used to the defendant</w:t>
      </w:r>
      <w:r w:rsidR="006E0798">
        <w:t>’</w:t>
      </w:r>
      <w:r w:rsidR="00BD48A2">
        <w:t>s detriment at trial.</w:t>
      </w:r>
      <w:r w:rsidR="006E0798">
        <w:t xml:space="preserve"> </w:t>
      </w:r>
      <w:hyperlink r:id="rId33" w:history="1">
        <w:r w:rsidR="00C91FF4" w:rsidRPr="00244137">
          <w:rPr>
            <w:rStyle w:val="Hyperlink"/>
            <w:i/>
            <w:iCs/>
          </w:rPr>
          <w:t>Id</w:t>
        </w:r>
        <w:r w:rsidR="00F93BA3" w:rsidRPr="00244137">
          <w:rPr>
            <w:rStyle w:val="Hyperlink"/>
          </w:rPr>
          <w:t>.</w:t>
        </w:r>
      </w:hyperlink>
    </w:p>
    <w:p w14:paraId="2058AFFF" w14:textId="1804572E" w:rsidR="006E0798" w:rsidRDefault="00025709" w:rsidP="00AB2353">
      <w:pPr>
        <w:pStyle w:val="BodyH2"/>
      </w:pPr>
      <w:r>
        <w:t>A prosecutor may be disqualified “only when the trial court has found the existence of a conflict of interests as defined by [</w:t>
      </w:r>
      <w:hyperlink r:id="rId34" w:history="1">
        <w:r w:rsidRPr="00244137">
          <w:rPr>
            <w:rStyle w:val="Hyperlink"/>
            <w:i/>
            <w:iCs/>
          </w:rPr>
          <w:t>Camacho</w:t>
        </w:r>
      </w:hyperlink>
      <w:r>
        <w:t>]—a prior representation of [the d]</w:t>
      </w:r>
      <w:proofErr w:type="spellStart"/>
      <w:r>
        <w:t>efendant</w:t>
      </w:r>
      <w:proofErr w:type="spellEnd"/>
      <w:r>
        <w:t xml:space="preserve"> by the prosecutor in the matter sought to be prosecuted, in which that prosecutor has obtained confidential information detrimental to [the d]</w:t>
      </w:r>
      <w:proofErr w:type="spellStart"/>
      <w:r>
        <w:t>efendant</w:t>
      </w:r>
      <w:proofErr w:type="spellEnd"/>
      <w:r>
        <w:t xml:space="preserve">.” </w:t>
      </w:r>
      <w:hyperlink r:id="rId35" w:history="1">
        <w:r w:rsidRPr="00086CDA">
          <w:rPr>
            <w:rStyle w:val="Hyperlink"/>
            <w:i/>
            <w:iCs/>
          </w:rPr>
          <w:t>State v. Smith</w:t>
        </w:r>
      </w:hyperlink>
      <w:r>
        <w:t>, 258 N.C. App. 682, 688–89 (2018)</w:t>
      </w:r>
      <w:r w:rsidR="00F93BA3">
        <w:t>. “Without that essential ingredient</w:t>
      </w:r>
      <w:r w:rsidR="00C050D2">
        <w:t> . . .</w:t>
      </w:r>
      <w:r w:rsidR="00F93BA3">
        <w:t xml:space="preserve"> a court’s disqualification power lies dormant.” </w:t>
      </w:r>
      <w:hyperlink r:id="rId36" w:history="1">
        <w:r w:rsidR="00F93BA3" w:rsidRPr="00DA07B3">
          <w:rPr>
            <w:rStyle w:val="Hyperlink"/>
            <w:i/>
            <w:iCs/>
          </w:rPr>
          <w:t>State v. Giese</w:t>
        </w:r>
      </w:hyperlink>
      <w:r w:rsidR="00F93BA3">
        <w:t>, 386 N.C. 127, 134 (2024).</w:t>
      </w:r>
    </w:p>
    <w:p w14:paraId="30BF3AC4" w14:textId="480D15B3" w:rsidR="00AB2353" w:rsidRPr="009363B8" w:rsidRDefault="0080531E" w:rsidP="009363B8">
      <w:pPr>
        <w:pStyle w:val="Heading2"/>
        <w:rPr>
          <w:vanish/>
          <w:specVanish/>
        </w:rPr>
      </w:pPr>
      <w:bookmarkStart w:id="9" w:name="_Toc205915182"/>
      <w:r>
        <w:t>Procedure</w:t>
      </w:r>
      <w:r w:rsidR="00AB2353">
        <w:t>.</w:t>
      </w:r>
      <w:bookmarkEnd w:id="9"/>
    </w:p>
    <w:p w14:paraId="76ADC2A9" w14:textId="19EA791A" w:rsidR="00D37595" w:rsidRDefault="009363B8" w:rsidP="00AB2353">
      <w:pPr>
        <w:pStyle w:val="BodyH2"/>
      </w:pPr>
      <w:r>
        <w:t xml:space="preserve"> </w:t>
      </w:r>
      <w:r w:rsidR="008568A8">
        <w:t xml:space="preserve">There is no </w:t>
      </w:r>
      <w:r w:rsidR="008568A8" w:rsidRPr="008568A8">
        <w:rPr>
          <w:i/>
          <w:iCs/>
        </w:rPr>
        <w:t>per se</w:t>
      </w:r>
      <w:r w:rsidR="008568A8">
        <w:t xml:space="preserve"> disqualification rule based on a prosecutor’s prior representation of the defendant</w:t>
      </w:r>
      <w:r w:rsidR="00427D73">
        <w:t>; rather the determination is made on a case-by-case basis.</w:t>
      </w:r>
      <w:r w:rsidR="00D37595" w:rsidRPr="00D37595">
        <w:t xml:space="preserve"> </w:t>
      </w:r>
      <w:hyperlink r:id="rId37" w:history="1">
        <w:r w:rsidR="00D37595" w:rsidRPr="00955927">
          <w:rPr>
            <w:rStyle w:val="Hyperlink"/>
            <w:i/>
            <w:iCs/>
          </w:rPr>
          <w:t>State v. Reid</w:t>
        </w:r>
      </w:hyperlink>
      <w:r w:rsidR="00D37595">
        <w:t xml:space="preserve">, 104 N.C. App. 334, 346 (1991), </w:t>
      </w:r>
      <w:proofErr w:type="spellStart"/>
      <w:r w:rsidR="00D37595" w:rsidRPr="00172A84">
        <w:rPr>
          <w:i/>
          <w:iCs/>
        </w:rPr>
        <w:t>rev'd</w:t>
      </w:r>
      <w:proofErr w:type="spellEnd"/>
      <w:r w:rsidR="00D37595" w:rsidRPr="00172A84">
        <w:rPr>
          <w:i/>
          <w:iCs/>
        </w:rPr>
        <w:t xml:space="preserve"> on other grounds</w:t>
      </w:r>
      <w:r w:rsidR="00D37595">
        <w:t xml:space="preserve">, 334 N.C. 551 (1993). </w:t>
      </w:r>
      <w:r w:rsidR="0080531E">
        <w:t>When disqualification is sought, the trial court must make inquiry as to whether the defendant’s former counsel</w:t>
      </w:r>
      <w:r w:rsidR="00A85433">
        <w:t xml:space="preserve"> participated in the prosecution of the case </w:t>
      </w:r>
      <w:r w:rsidR="00A85433">
        <w:lastRenderedPageBreak/>
        <w:t>or divulged confidential information to other prosecutors.</w:t>
      </w:r>
      <w:r w:rsidR="00D826ED" w:rsidRPr="00D826ED">
        <w:t xml:space="preserve"> </w:t>
      </w:r>
      <w:hyperlink r:id="rId38" w:history="1">
        <w:r w:rsidR="00D826ED" w:rsidRPr="00244137">
          <w:rPr>
            <w:rStyle w:val="Hyperlink"/>
            <w:i/>
            <w:iCs/>
          </w:rPr>
          <w:t>State v. Camacho</w:t>
        </w:r>
      </w:hyperlink>
      <w:r w:rsidR="00D826ED">
        <w:t>, 329 N.C. 589, 601 (1991)</w:t>
      </w:r>
      <w:r w:rsidR="00E0608B">
        <w:t xml:space="preserve"> (quoting </w:t>
      </w:r>
      <w:proofErr w:type="gramStart"/>
      <w:r w:rsidR="00E0608B" w:rsidRPr="00C2642F">
        <w:rPr>
          <w:i/>
          <w:iCs/>
        </w:rPr>
        <w:t>Young</w:t>
      </w:r>
      <w:proofErr w:type="gramEnd"/>
      <w:r w:rsidR="00E0608B" w:rsidRPr="00C2642F">
        <w:rPr>
          <w:i/>
          <w:iCs/>
        </w:rPr>
        <w:t xml:space="preserve"> v. State</w:t>
      </w:r>
      <w:r w:rsidR="00E0608B">
        <w:t>, 297 M</w:t>
      </w:r>
      <w:r w:rsidR="00947561">
        <w:t>d.</w:t>
      </w:r>
      <w:r w:rsidR="00C2642F">
        <w:t xml:space="preserve"> </w:t>
      </w:r>
      <w:r w:rsidR="00947561">
        <w:t>286</w:t>
      </w:r>
      <w:r w:rsidR="00C2642F">
        <w:t xml:space="preserve">, </w:t>
      </w:r>
      <w:r w:rsidR="00947561">
        <w:t>297</w:t>
      </w:r>
      <w:r w:rsidR="00C2642F">
        <w:t xml:space="preserve"> (1983</w:t>
      </w:r>
      <w:r w:rsidR="007E73A1">
        <w:t xml:space="preserve">)). </w:t>
      </w:r>
    </w:p>
    <w:p w14:paraId="0A576145" w14:textId="31E50E6B" w:rsidR="0080531E" w:rsidRDefault="00096C6F" w:rsidP="00AB2353">
      <w:pPr>
        <w:pStyle w:val="BodyH2"/>
      </w:pPr>
      <w:r>
        <w:t>When the defendant</w:t>
      </w:r>
      <w:r w:rsidR="00540521">
        <w:t xml:space="preserve"> failed to show th</w:t>
      </w:r>
      <w:r w:rsidR="00136ED4">
        <w:t xml:space="preserve">at the prosecutor previously represented him </w:t>
      </w:r>
      <w:r w:rsidR="00136ED4" w:rsidRPr="007E73A1">
        <w:rPr>
          <w:i/>
          <w:iCs/>
        </w:rPr>
        <w:t xml:space="preserve">on the charges to be </w:t>
      </w:r>
      <w:r w:rsidR="007E73A1">
        <w:rPr>
          <w:i/>
          <w:iCs/>
        </w:rPr>
        <w:t>prosecuted</w:t>
      </w:r>
      <w:r w:rsidR="007E73A1">
        <w:t>, “further inquiry or direction by the trial court was unnecessary.”</w:t>
      </w:r>
      <w:r w:rsidR="007E73A1" w:rsidRPr="007E73A1">
        <w:t xml:space="preserve"> </w:t>
      </w:r>
      <w:hyperlink r:id="rId39" w:history="1">
        <w:r w:rsidR="007E73A1" w:rsidRPr="00222A51">
          <w:rPr>
            <w:rStyle w:val="Hyperlink"/>
            <w:i/>
            <w:iCs/>
          </w:rPr>
          <w:t>State v. Perry</w:t>
        </w:r>
      </w:hyperlink>
      <w:r w:rsidR="007E73A1">
        <w:t>, 262 N.C. App. 132, 137 (2018).</w:t>
      </w:r>
    </w:p>
    <w:p w14:paraId="7F845C82" w14:textId="3B66DA84" w:rsidR="009079F4" w:rsidRDefault="00C63671" w:rsidP="00AB2353">
      <w:pPr>
        <w:pStyle w:val="BodyH2"/>
      </w:pPr>
      <w:r>
        <w:t>Even if the trial court finds an actual conflict of interest,</w:t>
      </w:r>
      <w:r w:rsidR="00EE6AE7">
        <w:t xml:space="preserve"> </w:t>
      </w:r>
      <w:r>
        <w:t xml:space="preserve">whether it </w:t>
      </w:r>
      <w:r w:rsidR="00132748">
        <w:t>is</w:t>
      </w:r>
      <w:r>
        <w:t xml:space="preserve"> a disqualifying conflict is </w:t>
      </w:r>
      <w:r w:rsidR="00132748">
        <w:t>“</w:t>
      </w:r>
      <w:r>
        <w:t xml:space="preserve">a matter within its sound discretion.” </w:t>
      </w:r>
      <w:hyperlink r:id="rId40" w:history="1">
        <w:r w:rsidRPr="00222A51">
          <w:rPr>
            <w:rStyle w:val="Hyperlink"/>
            <w:i/>
            <w:iCs/>
          </w:rPr>
          <w:t>State v. Perry</w:t>
        </w:r>
      </w:hyperlink>
      <w:r>
        <w:t>, 262 N.C. App. 132, 138 (2018).</w:t>
      </w:r>
    </w:p>
    <w:p w14:paraId="741481BB" w14:textId="3E0ADD7D" w:rsidR="00AB2353" w:rsidRDefault="00256C0D" w:rsidP="009363B8">
      <w:pPr>
        <w:pStyle w:val="Heading2"/>
      </w:pPr>
      <w:bookmarkStart w:id="10" w:name="_Toc205915183"/>
      <w:r>
        <w:t>Insufficient Grounds</w:t>
      </w:r>
      <w:r w:rsidR="00AB2353">
        <w:t>.</w:t>
      </w:r>
      <w:bookmarkEnd w:id="10"/>
    </w:p>
    <w:p w14:paraId="14D1F74C" w14:textId="012045C0" w:rsidR="00AB2353" w:rsidRPr="009363B8" w:rsidRDefault="00E45A3C" w:rsidP="009363B8">
      <w:pPr>
        <w:pStyle w:val="Heading3"/>
        <w:rPr>
          <w:vanish/>
          <w:specVanish/>
        </w:rPr>
      </w:pPr>
      <w:r>
        <w:t>Principles</w:t>
      </w:r>
      <w:r w:rsidR="00AB2353">
        <w:t>.</w:t>
      </w:r>
    </w:p>
    <w:p w14:paraId="10D1CC69" w14:textId="5334A60C" w:rsidR="00F93BA3" w:rsidRDefault="009363B8" w:rsidP="00AB2353">
      <w:pPr>
        <w:pStyle w:val="BodyH3"/>
      </w:pPr>
      <w:r>
        <w:t xml:space="preserve"> </w:t>
      </w:r>
      <w:r w:rsidR="00F93BA3">
        <w:t>The mere appearance of impropriety cannot justify disqualification.</w:t>
      </w:r>
      <w:r w:rsidR="00F93BA3" w:rsidRPr="00F93BA3">
        <w:t xml:space="preserve"> </w:t>
      </w:r>
      <w:hyperlink r:id="rId41" w:history="1">
        <w:r w:rsidR="00244137" w:rsidRPr="00244137">
          <w:rPr>
            <w:rStyle w:val="Hyperlink"/>
            <w:i/>
            <w:iCs/>
          </w:rPr>
          <w:t>State v.</w:t>
        </w:r>
        <w:r w:rsidR="00244137" w:rsidRPr="00244137">
          <w:rPr>
            <w:rStyle w:val="Hyperlink"/>
          </w:rPr>
          <w:t xml:space="preserve"> </w:t>
        </w:r>
        <w:r w:rsidR="00F93BA3" w:rsidRPr="00244137">
          <w:rPr>
            <w:rStyle w:val="Hyperlink"/>
            <w:i/>
            <w:iCs/>
          </w:rPr>
          <w:t>Camacho</w:t>
        </w:r>
      </w:hyperlink>
      <w:r w:rsidR="00F93BA3">
        <w:t>, 329 N.C.</w:t>
      </w:r>
      <w:r w:rsidR="00F93BA3" w:rsidRPr="00F93BA3">
        <w:t xml:space="preserve"> </w:t>
      </w:r>
      <w:r w:rsidR="00244137">
        <w:t>589,</w:t>
      </w:r>
      <w:r w:rsidR="00F93BA3" w:rsidRPr="00F93BA3">
        <w:t xml:space="preserve"> 599</w:t>
      </w:r>
      <w:r w:rsidR="00244137">
        <w:t xml:space="preserve"> (1991)</w:t>
      </w:r>
      <w:r w:rsidR="00F93BA3" w:rsidRPr="00F93BA3">
        <w:t>.</w:t>
      </w:r>
      <w:r w:rsidR="00F93BA3">
        <w:t xml:space="preserve"> An actual conflict requires more than a possibility that an impression of a conflict of interest might arise at some future time. </w:t>
      </w:r>
      <w:hyperlink r:id="rId42" w:history="1">
        <w:r w:rsidR="00F93BA3" w:rsidRPr="00FC27A2">
          <w:rPr>
            <w:rStyle w:val="Hyperlink"/>
            <w:i/>
            <w:iCs/>
          </w:rPr>
          <w:t>State v. Giese</w:t>
        </w:r>
      </w:hyperlink>
      <w:r w:rsidR="00F93BA3">
        <w:t>, 386 N.C. 127, 134 (2024).</w:t>
      </w:r>
    </w:p>
    <w:p w14:paraId="03188158" w14:textId="043D7FD7" w:rsidR="00E45A3C" w:rsidRDefault="00256C0D" w:rsidP="00AB2353">
      <w:pPr>
        <w:pStyle w:val="BodyH3"/>
      </w:pPr>
      <w:r>
        <w:t xml:space="preserve">“A conflict of interests sufficient to disqualify a prosecutor cannot arise merely from the unilateral actions of a criminal defendant.” </w:t>
      </w:r>
      <w:hyperlink r:id="rId43" w:history="1">
        <w:r w:rsidRPr="00086CDA">
          <w:rPr>
            <w:rStyle w:val="Hyperlink"/>
            <w:i/>
            <w:iCs/>
          </w:rPr>
          <w:t>State v. Smith</w:t>
        </w:r>
      </w:hyperlink>
      <w:r>
        <w:t xml:space="preserve">, 258 N.C. App. 682, 689 (2018). Hence, no disqualifying conflict of interest was created by the defendant filing a civil lawsuit against the district attorney. </w:t>
      </w:r>
      <w:hyperlink r:id="rId44" w:history="1">
        <w:r w:rsidRPr="00B02902">
          <w:rPr>
            <w:rStyle w:val="Hyperlink"/>
            <w:i/>
            <w:iCs/>
          </w:rPr>
          <w:t>Id</w:t>
        </w:r>
        <w:r w:rsidR="00E45A3C" w:rsidRPr="00B02902">
          <w:rPr>
            <w:rStyle w:val="Hyperlink"/>
          </w:rPr>
          <w:t>.</w:t>
        </w:r>
      </w:hyperlink>
    </w:p>
    <w:p w14:paraId="2C987A58" w14:textId="02FEA39E" w:rsidR="00AB2353" w:rsidRPr="009363B8" w:rsidRDefault="00E45A3C" w:rsidP="009363B8">
      <w:pPr>
        <w:pStyle w:val="Heading3"/>
        <w:rPr>
          <w:vanish/>
          <w:specVanish/>
        </w:rPr>
      </w:pPr>
      <w:r>
        <w:t>Examples</w:t>
      </w:r>
      <w:r w:rsidR="00AB2353">
        <w:t>.</w:t>
      </w:r>
    </w:p>
    <w:p w14:paraId="2A10B809" w14:textId="77777777" w:rsidR="00195653" w:rsidRDefault="009363B8" w:rsidP="00AB2353">
      <w:pPr>
        <w:pStyle w:val="BodyH3"/>
      </w:pPr>
      <w:r>
        <w:t xml:space="preserve"> </w:t>
      </w:r>
    </w:p>
    <w:p w14:paraId="48DF93CC" w14:textId="6ACBDE01" w:rsidR="00ED2B78" w:rsidRDefault="00ED2B78" w:rsidP="00195653">
      <w:pPr>
        <w:pStyle w:val="BodyH3"/>
        <w:numPr>
          <w:ilvl w:val="0"/>
          <w:numId w:val="14"/>
        </w:numPr>
      </w:pPr>
      <w:r>
        <w:t xml:space="preserve">When the alleged victim of cyberstalking and harassing phone calls was the county manager who oversaw the county’s facilities and public services, including the courthouse where the District Attorney works, no actual conflict of interest was created by the “professional overlap” between county managers and DAs. </w:t>
      </w:r>
      <w:hyperlink r:id="rId45" w:history="1">
        <w:r w:rsidRPr="00B02902">
          <w:rPr>
            <w:rStyle w:val="Hyperlink"/>
            <w:i/>
            <w:iCs/>
          </w:rPr>
          <w:t>State v. Giese</w:t>
        </w:r>
      </w:hyperlink>
      <w:r>
        <w:t>, 386 N.C. 127, 135 (2024).</w:t>
      </w:r>
    </w:p>
    <w:p w14:paraId="3E453390" w14:textId="465E0597" w:rsidR="00F93BA3" w:rsidRDefault="00ED2B78" w:rsidP="00195653">
      <w:pPr>
        <w:pStyle w:val="BodyH3"/>
        <w:numPr>
          <w:ilvl w:val="0"/>
          <w:numId w:val="14"/>
        </w:numPr>
      </w:pPr>
      <w:r>
        <w:t>When two attorneys, initially assigned to be co-counsel for the defendant, resigned prior to obtaining any confidential information and joined the District Attorney’s Office but did not discuss the case with other prosecutors, the trial court did not err by denying the defendant’s motion to recuse the district attorney’s office.</w:t>
      </w:r>
      <w:r w:rsidRPr="00ED2B78">
        <w:t xml:space="preserve"> </w:t>
      </w:r>
      <w:hyperlink r:id="rId46" w:history="1">
        <w:r w:rsidRPr="009F70FE">
          <w:rPr>
            <w:rStyle w:val="Hyperlink"/>
            <w:i/>
            <w:iCs/>
          </w:rPr>
          <w:t>State v. Anthony</w:t>
        </w:r>
      </w:hyperlink>
      <w:r>
        <w:t>, 354 N.C. 372, 394 (2001)</w:t>
      </w:r>
      <w:r w:rsidR="00E64F7B">
        <w:t>.</w:t>
      </w:r>
    </w:p>
    <w:p w14:paraId="5C884B9E" w14:textId="20094B52" w:rsidR="00E64F7B" w:rsidRDefault="00E64F7B" w:rsidP="00195653">
      <w:pPr>
        <w:pStyle w:val="BodyH3"/>
        <w:numPr>
          <w:ilvl w:val="0"/>
          <w:numId w:val="14"/>
        </w:numPr>
      </w:pPr>
      <w:r>
        <w:t xml:space="preserve">When </w:t>
      </w:r>
      <w:r w:rsidR="00A90FD9">
        <w:t>an attorney</w:t>
      </w:r>
      <w:r w:rsidR="00240F31">
        <w:t>,</w:t>
      </w:r>
      <w:r w:rsidR="00905216">
        <w:t xml:space="preserve"> who </w:t>
      </w:r>
      <w:r w:rsidR="00700BF2">
        <w:t>worked as a public defender during the defendant’s first trial but had minimal involvement with the case</w:t>
      </w:r>
      <w:r w:rsidR="00240F31">
        <w:t>,</w:t>
      </w:r>
      <w:r w:rsidR="00700BF2">
        <w:t xml:space="preserve"> later joined the District Attorney’s Office</w:t>
      </w:r>
      <w:r w:rsidR="00240F31">
        <w:t>,</w:t>
      </w:r>
      <w:r w:rsidR="00700BF2">
        <w:t xml:space="preserve"> </w:t>
      </w:r>
      <w:r w:rsidR="00F150B5">
        <w:t xml:space="preserve">but </w:t>
      </w:r>
      <w:proofErr w:type="gramStart"/>
      <w:r w:rsidR="00F150B5">
        <w:t xml:space="preserve">had </w:t>
      </w:r>
      <w:r w:rsidR="00D71E20">
        <w:t>no involvement</w:t>
      </w:r>
      <w:proofErr w:type="gramEnd"/>
      <w:r w:rsidR="00D71E20">
        <w:t xml:space="preserve"> with the prosecution, the trial court erred by </w:t>
      </w:r>
      <w:r w:rsidR="00722F8A">
        <w:t xml:space="preserve">ordering the </w:t>
      </w:r>
      <w:r w:rsidR="00E87ECC">
        <w:t xml:space="preserve">entire </w:t>
      </w:r>
      <w:r w:rsidR="00722F8A">
        <w:t>District Attorney’s Office to withdraw from</w:t>
      </w:r>
      <w:r w:rsidR="00E87ECC">
        <w:t xml:space="preserve"> prosecuting </w:t>
      </w:r>
      <w:r w:rsidR="00722F8A">
        <w:t>the case.</w:t>
      </w:r>
      <w:r w:rsidR="00E87ECC" w:rsidRPr="00E87ECC">
        <w:t xml:space="preserve"> </w:t>
      </w:r>
      <w:hyperlink r:id="rId47" w:history="1">
        <w:r w:rsidR="00E87ECC" w:rsidRPr="00244137">
          <w:rPr>
            <w:rStyle w:val="Hyperlink"/>
            <w:i/>
            <w:iCs/>
          </w:rPr>
          <w:t>State v. Camacho</w:t>
        </w:r>
      </w:hyperlink>
      <w:r w:rsidR="00E87ECC">
        <w:t>, 329 N.C. 589, 602 (1991).</w:t>
      </w:r>
    </w:p>
    <w:p w14:paraId="47533AC1" w14:textId="1F9B5DFC" w:rsidR="007E73A1" w:rsidRDefault="00E45A3C" w:rsidP="00195653">
      <w:pPr>
        <w:pStyle w:val="BodyH3"/>
        <w:numPr>
          <w:ilvl w:val="0"/>
          <w:numId w:val="14"/>
        </w:numPr>
      </w:pPr>
      <w:r>
        <w:t xml:space="preserve">When </w:t>
      </w:r>
      <w:r w:rsidR="00001937">
        <w:t>an attorney</w:t>
      </w:r>
      <w:r w:rsidR="0005127E">
        <w:t>,</w:t>
      </w:r>
      <w:r w:rsidR="00001937">
        <w:t xml:space="preserve"> who had </w:t>
      </w:r>
      <w:r w:rsidR="000214D3">
        <w:t>previously represented the defendant on one of the three felony convictions underlying his habitual felon indictment</w:t>
      </w:r>
      <w:r w:rsidR="0005127E">
        <w:t xml:space="preserve">, had not previously represented the defendant in the </w:t>
      </w:r>
      <w:r w:rsidR="009626EB">
        <w:t xml:space="preserve">substantive </w:t>
      </w:r>
      <w:r w:rsidR="0005127E">
        <w:t>charges to be prosecuted</w:t>
      </w:r>
      <w:r w:rsidR="009626EB">
        <w:t xml:space="preserve">, the trial court did not err by denying the defendant’s motion to disqualify the prosecutor or the office. </w:t>
      </w:r>
      <w:hyperlink r:id="rId48" w:history="1">
        <w:r w:rsidR="00A96074" w:rsidRPr="00222A51">
          <w:rPr>
            <w:rStyle w:val="Hyperlink"/>
            <w:i/>
            <w:iCs/>
          </w:rPr>
          <w:t>State v. Perry</w:t>
        </w:r>
      </w:hyperlink>
      <w:r w:rsidR="00A96074">
        <w:t>, 262 N.C. App. 132, 137 (2018).</w:t>
      </w:r>
    </w:p>
    <w:p w14:paraId="6C50CAEA" w14:textId="7A7196EC" w:rsidR="00AB2353" w:rsidRDefault="006E0798" w:rsidP="009363B8">
      <w:pPr>
        <w:pStyle w:val="Heading1"/>
      </w:pPr>
      <w:bookmarkStart w:id="11" w:name="_Toc205915184"/>
      <w:r>
        <w:t>Narrowly Tailored</w:t>
      </w:r>
      <w:r w:rsidR="00AB2353">
        <w:t>.</w:t>
      </w:r>
      <w:bookmarkEnd w:id="11"/>
    </w:p>
    <w:p w14:paraId="7FEA66AD" w14:textId="1A82BBB3" w:rsidR="00AB2353" w:rsidRPr="009363B8" w:rsidRDefault="00214FB2" w:rsidP="009363B8">
      <w:pPr>
        <w:pStyle w:val="Heading2"/>
        <w:numPr>
          <w:ilvl w:val="0"/>
          <w:numId w:val="7"/>
        </w:numPr>
        <w:spacing w:before="0"/>
        <w:rPr>
          <w:vanish/>
          <w:specVanish/>
        </w:rPr>
      </w:pPr>
      <w:bookmarkStart w:id="12" w:name="_Toc205915185"/>
      <w:r>
        <w:t>Principles</w:t>
      </w:r>
      <w:r w:rsidR="00AB2353">
        <w:t>.</w:t>
      </w:r>
      <w:bookmarkEnd w:id="12"/>
    </w:p>
    <w:p w14:paraId="5F86CB7D" w14:textId="22763975" w:rsidR="00782936" w:rsidRDefault="009363B8" w:rsidP="00AB2353">
      <w:pPr>
        <w:pStyle w:val="BodyH2"/>
      </w:pPr>
      <w:r>
        <w:t xml:space="preserve"> </w:t>
      </w:r>
      <w:r w:rsidR="006E0798">
        <w:t>“[A]</w:t>
      </w:r>
      <w:proofErr w:type="spellStart"/>
      <w:r w:rsidR="006E0798">
        <w:t>ny</w:t>
      </w:r>
      <w:proofErr w:type="spellEnd"/>
      <w:r w:rsidR="006E0798">
        <w:t xml:space="preserve"> order tending to infringe upon the constitutional powers and duties of an elected District Attorney must be drawn as narrowly as possible.” </w:t>
      </w:r>
      <w:hyperlink r:id="rId49" w:history="1">
        <w:r w:rsidR="006E0798" w:rsidRPr="00244137">
          <w:rPr>
            <w:rStyle w:val="Hyperlink"/>
            <w:i/>
            <w:iCs/>
          </w:rPr>
          <w:t>State v. Camacho</w:t>
        </w:r>
      </w:hyperlink>
      <w:r w:rsidR="006E0798">
        <w:t>, 329 N.C. 589, 595 (1991). Even if a</w:t>
      </w:r>
      <w:r w:rsidR="00782936">
        <w:t xml:space="preserve">n individual </w:t>
      </w:r>
      <w:r w:rsidR="006E0798">
        <w:t xml:space="preserve">prosecutor has a conflict, an order directing </w:t>
      </w:r>
      <w:r w:rsidR="00782936">
        <w:t xml:space="preserve">that </w:t>
      </w:r>
      <w:r w:rsidR="006E0798">
        <w:t xml:space="preserve">the </w:t>
      </w:r>
      <w:r w:rsidR="00782936">
        <w:t xml:space="preserve">entire </w:t>
      </w:r>
      <w:r w:rsidR="006E0798">
        <w:t xml:space="preserve">District Attorney’s Office have no participation in the case would be “highly suspect.” </w:t>
      </w:r>
      <w:hyperlink r:id="rId50" w:history="1">
        <w:r w:rsidR="006E0798" w:rsidRPr="00244137">
          <w:rPr>
            <w:rStyle w:val="Hyperlink"/>
            <w:i/>
            <w:iCs/>
          </w:rPr>
          <w:t>Id.</w:t>
        </w:r>
      </w:hyperlink>
      <w:r w:rsidR="006E0798">
        <w:t xml:space="preserve"> </w:t>
      </w:r>
      <w:r w:rsidR="00782936">
        <w:t xml:space="preserve">Rather, the trial court must inquire as to whether the defendant’s former counsel participated in the prosecution of the case or divulged any confidential information to other prosecutors. </w:t>
      </w:r>
      <w:hyperlink r:id="rId51" w:history="1">
        <w:r w:rsidR="00782936" w:rsidRPr="00244137">
          <w:rPr>
            <w:rStyle w:val="Hyperlink"/>
            <w:i/>
            <w:iCs/>
          </w:rPr>
          <w:t>Id.</w:t>
        </w:r>
      </w:hyperlink>
      <w:r w:rsidR="00782936">
        <w:t xml:space="preserve"> at 601. </w:t>
      </w:r>
    </w:p>
    <w:p w14:paraId="406B8243" w14:textId="7F6D5947" w:rsidR="00782936" w:rsidRDefault="00A173E0" w:rsidP="00AB2353">
      <w:pPr>
        <w:pStyle w:val="BodyH2"/>
      </w:pPr>
      <w:r>
        <w:t>If</w:t>
      </w:r>
      <w:r w:rsidR="00782936">
        <w:t xml:space="preserve"> the trial court </w:t>
      </w:r>
      <w:r>
        <w:t>finds</w:t>
      </w:r>
      <w:r w:rsidR="00782936">
        <w:t xml:space="preserve"> an actual conflict of interest, “the trial court may disqualify the prosecutor having the conflict from participating in the prosecution of a </w:t>
      </w:r>
      <w:r w:rsidR="00782936">
        <w:lastRenderedPageBreak/>
        <w:t xml:space="preserve">defendant's case and order that prosecutor not to reveal information which might be harmful to the defendant.” </w:t>
      </w:r>
      <w:hyperlink r:id="rId52" w:history="1">
        <w:r w:rsidR="0074613F" w:rsidRPr="0074613F">
          <w:rPr>
            <w:rStyle w:val="Hyperlink"/>
            <w:i/>
            <w:iCs/>
          </w:rPr>
          <w:t>State v. Camacho</w:t>
        </w:r>
      </w:hyperlink>
      <w:r w:rsidR="0074613F">
        <w:t>, 329 N.C. 589,</w:t>
      </w:r>
      <w:r w:rsidR="00782936">
        <w:t xml:space="preserve"> 602</w:t>
      </w:r>
      <w:r w:rsidR="0074613F">
        <w:t xml:space="preserve"> (1991)</w:t>
      </w:r>
      <w:r w:rsidR="00782936">
        <w:t xml:space="preserve">. Still, “any order of disqualification ordinarily should be directed only to individual prosecutors who have been exposed to such information.”  </w:t>
      </w:r>
      <w:hyperlink r:id="rId53" w:history="1">
        <w:r w:rsidR="00782936" w:rsidRPr="0074613F">
          <w:rPr>
            <w:rStyle w:val="Hyperlink"/>
            <w:i/>
            <w:iCs/>
          </w:rPr>
          <w:t>Id.</w:t>
        </w:r>
      </w:hyperlink>
      <w:r w:rsidR="00782936">
        <w:t xml:space="preserve"> at 601</w:t>
      </w:r>
      <w:r w:rsidR="00ED2B78">
        <w:t xml:space="preserve">; </w:t>
      </w:r>
      <w:r w:rsidR="00ED2B78" w:rsidRPr="002154F4">
        <w:rPr>
          <w:i/>
          <w:iCs/>
        </w:rPr>
        <w:t xml:space="preserve">accord </w:t>
      </w:r>
      <w:hyperlink r:id="rId54" w:history="1">
        <w:r w:rsidR="00ED2B78" w:rsidRPr="00C37346">
          <w:rPr>
            <w:rStyle w:val="Hyperlink"/>
            <w:i/>
            <w:iCs/>
          </w:rPr>
          <w:t>State v. Giese</w:t>
        </w:r>
      </w:hyperlink>
      <w:r w:rsidR="00ED2B78">
        <w:t>, 386 N.C. 127, 134 (2024) (“reaching only those prosecutors with an actual conflict”).</w:t>
      </w:r>
    </w:p>
    <w:p w14:paraId="57626054" w14:textId="492EAD58" w:rsidR="00AB2353" w:rsidRPr="009363B8" w:rsidRDefault="00214FB2" w:rsidP="009363B8">
      <w:pPr>
        <w:pStyle w:val="Heading2"/>
        <w:rPr>
          <w:vanish/>
          <w:specVanish/>
        </w:rPr>
      </w:pPr>
      <w:bookmarkStart w:id="13" w:name="_Toc205915186"/>
      <w:r>
        <w:t>Examples</w:t>
      </w:r>
      <w:r w:rsidR="00AB2353">
        <w:t>.</w:t>
      </w:r>
      <w:bookmarkEnd w:id="13"/>
    </w:p>
    <w:p w14:paraId="1C812A6F" w14:textId="77777777" w:rsidR="00195653" w:rsidRDefault="009363B8" w:rsidP="00AB2353">
      <w:pPr>
        <w:pStyle w:val="BodyH2"/>
      </w:pPr>
      <w:r>
        <w:t xml:space="preserve"> </w:t>
      </w:r>
    </w:p>
    <w:p w14:paraId="77711615" w14:textId="44701FCF" w:rsidR="00782936" w:rsidRDefault="00214FB2" w:rsidP="00195653">
      <w:pPr>
        <w:pStyle w:val="BodyH2"/>
        <w:numPr>
          <w:ilvl w:val="0"/>
          <w:numId w:val="15"/>
        </w:numPr>
      </w:pPr>
      <w:r>
        <w:t>An order that disqualified the entire district attorney’s office based on the defendant’s filing of a civil lawsuit against the district attorney was not narrowly tailored to address any possible conflicts of interest.</w:t>
      </w:r>
      <w:r w:rsidRPr="00214FB2">
        <w:t xml:space="preserve"> </w:t>
      </w:r>
      <w:hyperlink r:id="rId55" w:history="1">
        <w:r w:rsidRPr="00086CDA">
          <w:rPr>
            <w:rStyle w:val="Hyperlink"/>
            <w:i/>
            <w:iCs/>
          </w:rPr>
          <w:t>State v. Smith</w:t>
        </w:r>
      </w:hyperlink>
      <w:r>
        <w:t>, 258 N.C. App. 682, 690 (2018).</w:t>
      </w:r>
    </w:p>
    <w:p w14:paraId="4159B890" w14:textId="64B73510" w:rsidR="00E8526C" w:rsidRDefault="00E8526C" w:rsidP="00195653">
      <w:pPr>
        <w:pStyle w:val="BodyH2"/>
        <w:numPr>
          <w:ilvl w:val="0"/>
          <w:numId w:val="15"/>
        </w:numPr>
      </w:pPr>
      <w:r>
        <w:t xml:space="preserve">An order that disqualified </w:t>
      </w:r>
      <w:r w:rsidR="007B5710">
        <w:t xml:space="preserve">the entire prosecutorial district based on the professional overlap between the county manager and the DA’s Office was </w:t>
      </w:r>
      <w:r w:rsidR="00246CA1">
        <w:t>unnecessarily all-encompassing and incongruent with the narrow-tailoring requirement.</w:t>
      </w:r>
      <w:r w:rsidR="00206E80" w:rsidRPr="00206E80">
        <w:t xml:space="preserve"> </w:t>
      </w:r>
      <w:hyperlink r:id="rId56" w:history="1">
        <w:r w:rsidR="00206E80" w:rsidRPr="00C37346">
          <w:rPr>
            <w:rStyle w:val="Hyperlink"/>
            <w:i/>
            <w:iCs/>
          </w:rPr>
          <w:t>State v. Giese</w:t>
        </w:r>
      </w:hyperlink>
      <w:r w:rsidR="00206E80">
        <w:t>, 386 N.C. 127, 136 (2024).</w:t>
      </w:r>
    </w:p>
    <w:p w14:paraId="1CCFC2ED" w14:textId="1B6917C6" w:rsidR="00BD48A2" w:rsidRDefault="00B86FB4" w:rsidP="00195653">
      <w:pPr>
        <w:pStyle w:val="BodyH2"/>
        <w:numPr>
          <w:ilvl w:val="0"/>
          <w:numId w:val="15"/>
        </w:numPr>
      </w:pPr>
      <w:r>
        <w:rPr>
          <w:noProof/>
          <w14:ligatures w14:val="standardContextual"/>
        </w:rPr>
        <mc:AlternateContent>
          <mc:Choice Requires="wps">
            <w:drawing>
              <wp:anchor distT="45720" distB="45720" distL="114300" distR="114300" simplePos="0" relativeHeight="251658240" behindDoc="0" locked="0" layoutInCell="1" allowOverlap="0" wp14:anchorId="1519704F" wp14:editId="4148A830">
                <wp:simplePos x="0" y="0"/>
                <wp:positionH relativeFrom="margin">
                  <wp:align>center</wp:align>
                </wp:positionH>
                <wp:positionV relativeFrom="margin">
                  <wp:align>bottom</wp:align>
                </wp:positionV>
                <wp:extent cx="5029835" cy="934720"/>
                <wp:effectExtent l="0" t="0" r="0" b="0"/>
                <wp:wrapNone/>
                <wp:docPr id="1180583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835" cy="934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97FEB" w14:textId="77777777" w:rsidR="00B86FB4" w:rsidRDefault="00B86FB4" w:rsidP="00B86FB4">
                            <w:pPr>
                              <w:pStyle w:val="copyright"/>
                            </w:pPr>
                            <w:r w:rsidRPr="00A95FBB">
                              <w:t xml:space="preserve">© 2025 School of Government. The University of North Carolina at Chapel Hill Use of this publication for commercial purposes or without acknowledgment of its source is prohibited. Reproducing, distributing, or otherwise making available to a </w:t>
                            </w:r>
                            <w:proofErr w:type="spellStart"/>
                            <w:r w:rsidRPr="00A95FBB">
                              <w:t>nonpurchaser</w:t>
                            </w:r>
                            <w:proofErr w:type="spellEnd"/>
                            <w:r w:rsidRPr="00A95FBB">
                              <w:t xml:space="preserve"> the entire publication, or a substantial portion of it, without express permission, is prohibited. For permissions questions or requests, email the School of Government at copyright_permissions@sog.unc.edu.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19704F" id="_x0000_t202" coordsize="21600,21600" o:spt="202" path="m,l,21600r21600,l21600,xe">
                <v:stroke joinstyle="miter"/>
                <v:path gradientshapeok="t" o:connecttype="rect"/>
              </v:shapetype>
              <v:shape id="Text Box 1" o:spid="_x0000_s1026" type="#_x0000_t202" style="position:absolute;left:0;text-align:left;margin-left:0;margin-top:0;width:396.05pt;height:73.6pt;z-index:251658240;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" o:allowoverlap="f" stroked="f">
                <v:textbox>
                  <w:txbxContent>
                    <w:p w14:paraId="67A97FEB" w14:textId="77777777" w:rsidR="00B86FB4" w:rsidRDefault="00B86FB4" w:rsidP="00B86FB4">
                      <w:pPr>
                        <w:pStyle w:val="copyright"/>
                      </w:pPr>
                      <w:r w:rsidRPr="00A95FBB">
                        <w:t>© 2025 School of Government. The University of North Carolina at Chapel Hill Use of this publication for commercial purposes or without acknowledgment of its source is prohibited. Reproducing, distributing, or otherwise making available to a nonpurchaser the entire publication, or a substantial portion of it, without express permission, is prohibited. For permissions questions or requests, email the School of Government at copyright_permissions@sog.unc.edu.</w:t>
                      </w:r>
                    </w:p>
                  </w:txbxContent>
                </v:textbox>
                <w10:wrap anchorx="margin" anchory="margin"/>
              </v:shape>
            </w:pict>
          </mc:Fallback>
        </mc:AlternateContent>
      </w:r>
      <w:r w:rsidR="00FB6747">
        <w:t xml:space="preserve">Even if the trial court found an actual conflict of interest </w:t>
      </w:r>
      <w:r w:rsidR="003C53E9">
        <w:t xml:space="preserve">arose from </w:t>
      </w:r>
      <w:r w:rsidR="00D3723C">
        <w:t>a</w:t>
      </w:r>
      <w:r w:rsidR="003C53E9">
        <w:t xml:space="preserve"> prosecutor’s previous representation of the defendant on</w:t>
      </w:r>
      <w:r w:rsidR="003C53E9" w:rsidRPr="003C53E9">
        <w:t xml:space="preserve"> one of the three felony convictions underlying his habitual felon indictment</w:t>
      </w:r>
      <w:r w:rsidR="003C53E9">
        <w:t xml:space="preserve">, </w:t>
      </w:r>
      <w:r w:rsidR="00D3723C">
        <w:t>disqualifying the entire district attorney’s office would have been impermissibly excessive.</w:t>
      </w:r>
      <w:r w:rsidR="00D3723C" w:rsidRPr="00D3723C">
        <w:t xml:space="preserve"> </w:t>
      </w:r>
      <w:hyperlink r:id="rId57" w:history="1">
        <w:r w:rsidR="00D3723C" w:rsidRPr="00222A51">
          <w:rPr>
            <w:rStyle w:val="Hyperlink"/>
            <w:i/>
            <w:iCs/>
          </w:rPr>
          <w:t>State v. Perry</w:t>
        </w:r>
      </w:hyperlink>
      <w:r w:rsidR="00D3723C">
        <w:t>, 262 N.C. App. 132, 138 (2018).</w:t>
      </w:r>
    </w:p>
    <w:sectPr w:rsidR="00BD48A2">
      <w:headerReference w:type="default" r:id="rId58"/>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04FCE" w14:textId="77777777" w:rsidR="003763F2" w:rsidRDefault="003763F2" w:rsidP="0066498C">
      <w:pPr>
        <w:spacing w:after="0" w:line="240" w:lineRule="auto"/>
      </w:pPr>
      <w:r>
        <w:separator/>
      </w:r>
    </w:p>
  </w:endnote>
  <w:endnote w:type="continuationSeparator" w:id="0">
    <w:p w14:paraId="00B18AD8" w14:textId="77777777" w:rsidR="003763F2" w:rsidRDefault="003763F2" w:rsidP="00664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48E3" w14:textId="23DA1AC2" w:rsidR="0066498C" w:rsidRPr="0066498C" w:rsidRDefault="00B86FB4" w:rsidP="0066498C">
    <w:pPr>
      <w:pStyle w:val="Footer"/>
      <w:jc w:val="center"/>
    </w:pPr>
    <w:r>
      <w:rPr>
        <w:rFonts w:ascii="Arial" w:hAnsi="Arial" w:cs="Arial"/>
        <w:sz w:val="20"/>
        <w:szCs w:val="20"/>
      </w:rPr>
      <w:t>Recusal of Prosecutor</w:t>
    </w:r>
    <w:r w:rsidR="0066498C" w:rsidRPr="00493769">
      <w:rPr>
        <w:rFonts w:ascii="Arial" w:hAnsi="Arial" w:cs="Arial"/>
        <w:sz w:val="20"/>
        <w:szCs w:val="20"/>
      </w:rPr>
      <w:t xml:space="preserve"> - </w:t>
    </w:r>
    <w:r w:rsidR="0066498C" w:rsidRPr="00493769">
      <w:rPr>
        <w:rFonts w:ascii="Arial" w:hAnsi="Arial" w:cs="Arial"/>
        <w:sz w:val="20"/>
        <w:szCs w:val="20"/>
      </w:rPr>
      <w:fldChar w:fldCharType="begin"/>
    </w:r>
    <w:r w:rsidR="0066498C" w:rsidRPr="00493769">
      <w:rPr>
        <w:rFonts w:ascii="Arial" w:hAnsi="Arial" w:cs="Arial"/>
        <w:sz w:val="20"/>
        <w:szCs w:val="20"/>
      </w:rPr>
      <w:instrText xml:space="preserve"> PAGE   \* MERGEFORMAT </w:instrText>
    </w:r>
    <w:r w:rsidR="0066498C" w:rsidRPr="00493769">
      <w:rPr>
        <w:rFonts w:ascii="Arial" w:hAnsi="Arial" w:cs="Arial"/>
        <w:sz w:val="20"/>
        <w:szCs w:val="20"/>
      </w:rPr>
      <w:fldChar w:fldCharType="separate"/>
    </w:r>
    <w:r w:rsidR="0066498C">
      <w:rPr>
        <w:rFonts w:ascii="Arial" w:hAnsi="Arial" w:cs="Arial"/>
        <w:sz w:val="20"/>
        <w:szCs w:val="20"/>
      </w:rPr>
      <w:t>1</w:t>
    </w:r>
    <w:r w:rsidR="0066498C" w:rsidRPr="00493769">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0492C" w14:textId="77777777" w:rsidR="003763F2" w:rsidRDefault="003763F2" w:rsidP="0066498C">
      <w:pPr>
        <w:spacing w:after="0" w:line="240" w:lineRule="auto"/>
      </w:pPr>
      <w:r>
        <w:separator/>
      </w:r>
    </w:p>
  </w:footnote>
  <w:footnote w:type="continuationSeparator" w:id="0">
    <w:p w14:paraId="24B74683" w14:textId="77777777" w:rsidR="003763F2" w:rsidRDefault="003763F2" w:rsidP="00664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3AA6" w14:textId="77777777" w:rsidR="0066498C" w:rsidRDefault="0066498C" w:rsidP="0066498C">
    <w:pPr>
      <w:pStyle w:val="Header"/>
    </w:pPr>
    <w:r w:rsidRPr="007151B3">
      <w:rPr>
        <w:noProof/>
      </w:rPr>
      <w:drawing>
        <wp:anchor distT="0" distB="0" distL="114300" distR="114300" simplePos="0" relativeHeight="251659264" behindDoc="0" locked="0" layoutInCell="1" allowOverlap="0" wp14:anchorId="16F237D3" wp14:editId="655449D4">
          <wp:simplePos x="0" y="0"/>
          <wp:positionH relativeFrom="page">
            <wp:posOffset>150125</wp:posOffset>
          </wp:positionH>
          <wp:positionV relativeFrom="page">
            <wp:posOffset>150125</wp:posOffset>
          </wp:positionV>
          <wp:extent cx="7779224" cy="342142"/>
          <wp:effectExtent l="0" t="0" r="0" b="12700"/>
          <wp:wrapNone/>
          <wp:docPr id="13297511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C SOG  NC Superior Court Judges' Benchbook title page masthead UNC BLACK.pdf"/>
                  <pic:cNvPicPr/>
                </pic:nvPicPr>
                <pic:blipFill>
                  <a:blip r:embed="rId1">
                    <a:extLst>
                      <a:ext uri="{28A0092B-C50C-407E-A947-70E740481C1C}">
                        <a14:useLocalDpi xmlns:a14="http://schemas.microsoft.com/office/drawing/2010/main" val="0"/>
                      </a:ext>
                    </a:extLst>
                  </a:blip>
                  <a:stretch>
                    <a:fillRect/>
                  </a:stretch>
                </pic:blipFill>
                <pic:spPr>
                  <a:xfrm>
                    <a:off x="0" y="0"/>
                    <a:ext cx="7772400" cy="34290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6AC3B1B7" w14:textId="77777777" w:rsidR="0066498C" w:rsidRPr="0066498C" w:rsidRDefault="0066498C" w:rsidP="00664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522"/>
    <w:multiLevelType w:val="hybridMultilevel"/>
    <w:tmpl w:val="44EEB89C"/>
    <w:lvl w:ilvl="0" w:tplc="C5B0806E">
      <w:start w:val="1"/>
      <w:numFmt w:val="upperRoman"/>
      <w:pStyle w:val="Heading1"/>
      <w:lvlText w:val="%1."/>
      <w:lvlJc w:val="right"/>
      <w:pPr>
        <w:ind w:left="720" w:hanging="72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A0C44"/>
    <w:multiLevelType w:val="hybridMultilevel"/>
    <w:tmpl w:val="9630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C3B7A"/>
    <w:multiLevelType w:val="hybridMultilevel"/>
    <w:tmpl w:val="E15627F2"/>
    <w:lvl w:ilvl="0" w:tplc="D2C42278">
      <w:start w:val="1"/>
      <w:numFmt w:val="bullet"/>
      <w:pStyle w:val="ListParagraph15"/>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4E069AE"/>
    <w:multiLevelType w:val="hybridMultilevel"/>
    <w:tmpl w:val="48040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0C466DD"/>
    <w:multiLevelType w:val="hybridMultilevel"/>
    <w:tmpl w:val="D1EAA51A"/>
    <w:lvl w:ilvl="0" w:tplc="68B6A986">
      <w:start w:val="1"/>
      <w:numFmt w:val="upperLetter"/>
      <w:pStyle w:val="Heading2"/>
      <w:lvlText w:val="%1."/>
      <w:lvlJc w:val="left"/>
      <w:pPr>
        <w:ind w:left="1080" w:hanging="360"/>
      </w:pPr>
      <w:rPr>
        <w:rFonts w:hint="default"/>
      </w:rPr>
    </w:lvl>
    <w:lvl w:ilvl="1" w:tplc="DFCE8170">
      <w:start w:val="1"/>
      <w:numFmt w:val="decimal"/>
      <w:lvlText w:val="%2."/>
      <w:lvlJc w:val="left"/>
      <w:pPr>
        <w:ind w:left="2520" w:hanging="720"/>
      </w:pPr>
      <w:rPr>
        <w:rFonts w:ascii="Arial" w:eastAsia="Calibri" w:hAnsi="Arial" w:cs="Arial" w:hint="default"/>
        <w:b w:val="0"/>
        <w:bCs w:val="0"/>
      </w:rPr>
    </w:lvl>
    <w:lvl w:ilvl="2" w:tplc="04090019">
      <w:start w:val="1"/>
      <w:numFmt w:val="lowerLetter"/>
      <w:lvlText w:val="%3."/>
      <w:lvlJc w:val="left"/>
      <w:pPr>
        <w:ind w:left="2700" w:hanging="360"/>
      </w:pPr>
    </w:lvl>
    <w:lvl w:ilvl="3" w:tplc="035AD484">
      <w:start w:val="1"/>
      <w:numFmt w:val="lowerLetter"/>
      <w:lvlText w:val="%4."/>
      <w:lvlJc w:val="left"/>
      <w:pPr>
        <w:ind w:left="3240" w:hanging="360"/>
      </w:pPr>
      <w:rPr>
        <w:rFonts w:hint="default"/>
        <w:b/>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4F4445"/>
    <w:multiLevelType w:val="hybridMultilevel"/>
    <w:tmpl w:val="3FFE3CDA"/>
    <w:lvl w:ilvl="0" w:tplc="E620F3B0">
      <w:start w:val="1"/>
      <w:numFmt w:val="bullet"/>
      <w:pStyle w:val="ListParagraph2"/>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6" w15:restartNumberingAfterBreak="0">
    <w:nsid w:val="616E7FB3"/>
    <w:multiLevelType w:val="hybridMultilevel"/>
    <w:tmpl w:val="A6802C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69F40BC"/>
    <w:multiLevelType w:val="hybridMultilevel"/>
    <w:tmpl w:val="7B922CA6"/>
    <w:lvl w:ilvl="0" w:tplc="5BE4AD50">
      <w:start w:val="1"/>
      <w:numFmt w:val="bullet"/>
      <w:pStyle w:val="ListParagraph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E883166"/>
    <w:multiLevelType w:val="hybridMultilevel"/>
    <w:tmpl w:val="5956D436"/>
    <w:lvl w:ilvl="0" w:tplc="A2AAC662">
      <w:start w:val="1"/>
      <w:numFmt w:val="lowerLetter"/>
      <w:pStyle w:val="Heading4"/>
      <w:lvlText w:val="%1."/>
      <w:lvlJc w:val="left"/>
      <w:pPr>
        <w:ind w:left="1800" w:hanging="360"/>
      </w:pPr>
      <w:rPr>
        <w:rFonts w:hint="default"/>
        <w:b/>
        <w:i w:val="0"/>
        <w:sz w:val="22"/>
      </w:rPr>
    </w:lvl>
    <w:lvl w:ilvl="1" w:tplc="FFFFFFFF" w:tentative="1">
      <w:start w:val="1"/>
      <w:numFmt w:val="lowerLetter"/>
      <w:lvlText w:val="%2."/>
      <w:lvlJc w:val="left"/>
      <w:pPr>
        <w:ind w:left="3150" w:hanging="360"/>
      </w:pPr>
    </w:lvl>
    <w:lvl w:ilvl="2" w:tplc="FFFFFFFF" w:tentative="1">
      <w:start w:val="1"/>
      <w:numFmt w:val="lowerRoman"/>
      <w:lvlText w:val="%3."/>
      <w:lvlJc w:val="right"/>
      <w:pPr>
        <w:ind w:left="3870" w:hanging="180"/>
      </w:pPr>
    </w:lvl>
    <w:lvl w:ilvl="3" w:tplc="FFFFFFFF" w:tentative="1">
      <w:start w:val="1"/>
      <w:numFmt w:val="decimal"/>
      <w:lvlText w:val="%4."/>
      <w:lvlJc w:val="left"/>
      <w:pPr>
        <w:ind w:left="4590" w:hanging="360"/>
      </w:pPr>
    </w:lvl>
    <w:lvl w:ilvl="4" w:tplc="FFFFFFFF" w:tentative="1">
      <w:start w:val="1"/>
      <w:numFmt w:val="lowerLetter"/>
      <w:lvlText w:val="%5."/>
      <w:lvlJc w:val="left"/>
      <w:pPr>
        <w:ind w:left="5310" w:hanging="360"/>
      </w:pPr>
    </w:lvl>
    <w:lvl w:ilvl="5" w:tplc="FFFFFFFF" w:tentative="1">
      <w:start w:val="1"/>
      <w:numFmt w:val="lowerRoman"/>
      <w:lvlText w:val="%6."/>
      <w:lvlJc w:val="right"/>
      <w:pPr>
        <w:ind w:left="6030" w:hanging="180"/>
      </w:pPr>
    </w:lvl>
    <w:lvl w:ilvl="6" w:tplc="FFFFFFFF" w:tentative="1">
      <w:start w:val="1"/>
      <w:numFmt w:val="decimal"/>
      <w:lvlText w:val="%7."/>
      <w:lvlJc w:val="left"/>
      <w:pPr>
        <w:ind w:left="6750" w:hanging="360"/>
      </w:pPr>
    </w:lvl>
    <w:lvl w:ilvl="7" w:tplc="FFFFFFFF" w:tentative="1">
      <w:start w:val="1"/>
      <w:numFmt w:val="lowerLetter"/>
      <w:lvlText w:val="%8."/>
      <w:lvlJc w:val="left"/>
      <w:pPr>
        <w:ind w:left="7470" w:hanging="360"/>
      </w:pPr>
    </w:lvl>
    <w:lvl w:ilvl="8" w:tplc="FFFFFFFF" w:tentative="1">
      <w:start w:val="1"/>
      <w:numFmt w:val="lowerRoman"/>
      <w:lvlText w:val="%9."/>
      <w:lvlJc w:val="right"/>
      <w:pPr>
        <w:ind w:left="8190" w:hanging="180"/>
      </w:pPr>
    </w:lvl>
  </w:abstractNum>
  <w:abstractNum w:abstractNumId="9" w15:restartNumberingAfterBreak="0">
    <w:nsid w:val="754C28E0"/>
    <w:multiLevelType w:val="hybridMultilevel"/>
    <w:tmpl w:val="0632E8EE"/>
    <w:lvl w:ilvl="0" w:tplc="E59072C8">
      <w:start w:val="1"/>
      <w:numFmt w:val="decimal"/>
      <w:pStyle w:val="Heading3"/>
      <w:lvlText w:val="%1."/>
      <w:lvlJc w:val="left"/>
      <w:pPr>
        <w:ind w:left="1440" w:hanging="360"/>
      </w:pPr>
      <w:rPr>
        <w:rFonts w:ascii="Arial" w:hAnsi="Arial" w:cs="Arial" w:hint="default"/>
        <w:b/>
        <w:bCs w:val="0"/>
        <w:i w:val="0"/>
        <w:i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72224114">
    <w:abstractNumId w:val="1"/>
  </w:num>
  <w:num w:numId="2" w16cid:durableId="314913306">
    <w:abstractNumId w:val="0"/>
  </w:num>
  <w:num w:numId="3" w16cid:durableId="1189218032">
    <w:abstractNumId w:val="4"/>
  </w:num>
  <w:num w:numId="4" w16cid:durableId="1399329870">
    <w:abstractNumId w:val="9"/>
  </w:num>
  <w:num w:numId="5" w16cid:durableId="456415562">
    <w:abstractNumId w:val="8"/>
  </w:num>
  <w:num w:numId="6" w16cid:durableId="1148742577">
    <w:abstractNumId w:val="4"/>
    <w:lvlOverride w:ilvl="0">
      <w:startOverride w:val="1"/>
    </w:lvlOverride>
  </w:num>
  <w:num w:numId="7" w16cid:durableId="936644764">
    <w:abstractNumId w:val="4"/>
    <w:lvlOverride w:ilvl="0">
      <w:startOverride w:val="1"/>
    </w:lvlOverride>
  </w:num>
  <w:num w:numId="8" w16cid:durableId="1858304808">
    <w:abstractNumId w:val="7"/>
  </w:num>
  <w:num w:numId="9" w16cid:durableId="1931111379">
    <w:abstractNumId w:val="2"/>
  </w:num>
  <w:num w:numId="10" w16cid:durableId="1392382332">
    <w:abstractNumId w:val="5"/>
  </w:num>
  <w:num w:numId="11" w16cid:durableId="86314732">
    <w:abstractNumId w:val="5"/>
  </w:num>
  <w:num w:numId="12" w16cid:durableId="749814684">
    <w:abstractNumId w:val="8"/>
  </w:num>
  <w:num w:numId="13" w16cid:durableId="1739475467">
    <w:abstractNumId w:val="8"/>
  </w:num>
  <w:num w:numId="14" w16cid:durableId="253905975">
    <w:abstractNumId w:val="3"/>
  </w:num>
  <w:num w:numId="15" w16cid:durableId="18729164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E8"/>
    <w:rsid w:val="00001937"/>
    <w:rsid w:val="00003947"/>
    <w:rsid w:val="00017558"/>
    <w:rsid w:val="000214D3"/>
    <w:rsid w:val="00025709"/>
    <w:rsid w:val="00040FF5"/>
    <w:rsid w:val="000430A6"/>
    <w:rsid w:val="0005127E"/>
    <w:rsid w:val="00086CDA"/>
    <w:rsid w:val="00092ADB"/>
    <w:rsid w:val="0009429D"/>
    <w:rsid w:val="0009533C"/>
    <w:rsid w:val="00096C6F"/>
    <w:rsid w:val="000B7072"/>
    <w:rsid w:val="000C556B"/>
    <w:rsid w:val="000D2BC2"/>
    <w:rsid w:val="000D4025"/>
    <w:rsid w:val="000F2DD6"/>
    <w:rsid w:val="00132748"/>
    <w:rsid w:val="00136ED4"/>
    <w:rsid w:val="001611D1"/>
    <w:rsid w:val="00172A84"/>
    <w:rsid w:val="00195653"/>
    <w:rsid w:val="001A714D"/>
    <w:rsid w:val="001B4455"/>
    <w:rsid w:val="001E359C"/>
    <w:rsid w:val="00206E80"/>
    <w:rsid w:val="00212596"/>
    <w:rsid w:val="00214FB2"/>
    <w:rsid w:val="002154F4"/>
    <w:rsid w:val="00222A51"/>
    <w:rsid w:val="00240F31"/>
    <w:rsid w:val="00244137"/>
    <w:rsid w:val="00246CA1"/>
    <w:rsid w:val="00250C81"/>
    <w:rsid w:val="00256C0D"/>
    <w:rsid w:val="002B7638"/>
    <w:rsid w:val="002C13FB"/>
    <w:rsid w:val="002F7459"/>
    <w:rsid w:val="0030357F"/>
    <w:rsid w:val="00305633"/>
    <w:rsid w:val="00311F90"/>
    <w:rsid w:val="003213A2"/>
    <w:rsid w:val="00333BCC"/>
    <w:rsid w:val="003763F2"/>
    <w:rsid w:val="003A250B"/>
    <w:rsid w:val="003C53E9"/>
    <w:rsid w:val="003D7892"/>
    <w:rsid w:val="0042090B"/>
    <w:rsid w:val="00427D73"/>
    <w:rsid w:val="00434FE8"/>
    <w:rsid w:val="00455362"/>
    <w:rsid w:val="00456D13"/>
    <w:rsid w:val="00457A70"/>
    <w:rsid w:val="00462841"/>
    <w:rsid w:val="004C0746"/>
    <w:rsid w:val="004E2789"/>
    <w:rsid w:val="00535392"/>
    <w:rsid w:val="00540521"/>
    <w:rsid w:val="005B2DF8"/>
    <w:rsid w:val="005F415F"/>
    <w:rsid w:val="005F448A"/>
    <w:rsid w:val="00600D2C"/>
    <w:rsid w:val="0062455F"/>
    <w:rsid w:val="00647CEF"/>
    <w:rsid w:val="0066498C"/>
    <w:rsid w:val="006E0798"/>
    <w:rsid w:val="006F3948"/>
    <w:rsid w:val="00700BF2"/>
    <w:rsid w:val="00722988"/>
    <w:rsid w:val="00722F8A"/>
    <w:rsid w:val="007412E9"/>
    <w:rsid w:val="0074613F"/>
    <w:rsid w:val="007776A7"/>
    <w:rsid w:val="00782936"/>
    <w:rsid w:val="007B5710"/>
    <w:rsid w:val="007C2CDC"/>
    <w:rsid w:val="007E57C7"/>
    <w:rsid w:val="007E73A1"/>
    <w:rsid w:val="0080531E"/>
    <w:rsid w:val="00817F4B"/>
    <w:rsid w:val="008317E6"/>
    <w:rsid w:val="0085364D"/>
    <w:rsid w:val="008568A8"/>
    <w:rsid w:val="0086645D"/>
    <w:rsid w:val="008B1E01"/>
    <w:rsid w:val="008C08B2"/>
    <w:rsid w:val="008C23D8"/>
    <w:rsid w:val="008E7329"/>
    <w:rsid w:val="008F2C5A"/>
    <w:rsid w:val="00905216"/>
    <w:rsid w:val="009079F4"/>
    <w:rsid w:val="009363B8"/>
    <w:rsid w:val="00941617"/>
    <w:rsid w:val="00947561"/>
    <w:rsid w:val="00955927"/>
    <w:rsid w:val="009622AB"/>
    <w:rsid w:val="009626EB"/>
    <w:rsid w:val="009F69B3"/>
    <w:rsid w:val="009F70FE"/>
    <w:rsid w:val="00A173E0"/>
    <w:rsid w:val="00A72DC3"/>
    <w:rsid w:val="00A85433"/>
    <w:rsid w:val="00A90FD9"/>
    <w:rsid w:val="00A96074"/>
    <w:rsid w:val="00AB0540"/>
    <w:rsid w:val="00AB2353"/>
    <w:rsid w:val="00AB7118"/>
    <w:rsid w:val="00AF7175"/>
    <w:rsid w:val="00B02902"/>
    <w:rsid w:val="00B36DB4"/>
    <w:rsid w:val="00B40E20"/>
    <w:rsid w:val="00B51F00"/>
    <w:rsid w:val="00B6550A"/>
    <w:rsid w:val="00B73B4A"/>
    <w:rsid w:val="00B86FB4"/>
    <w:rsid w:val="00BD48A2"/>
    <w:rsid w:val="00C02561"/>
    <w:rsid w:val="00C050D2"/>
    <w:rsid w:val="00C14A31"/>
    <w:rsid w:val="00C15349"/>
    <w:rsid w:val="00C2642F"/>
    <w:rsid w:val="00C37346"/>
    <w:rsid w:val="00C63671"/>
    <w:rsid w:val="00C91FF4"/>
    <w:rsid w:val="00CA3C2C"/>
    <w:rsid w:val="00CB589C"/>
    <w:rsid w:val="00CB6B4E"/>
    <w:rsid w:val="00CC33C8"/>
    <w:rsid w:val="00CF6002"/>
    <w:rsid w:val="00D3723C"/>
    <w:rsid w:val="00D37595"/>
    <w:rsid w:val="00D71E20"/>
    <w:rsid w:val="00D72C93"/>
    <w:rsid w:val="00D826ED"/>
    <w:rsid w:val="00D950F2"/>
    <w:rsid w:val="00DA07B3"/>
    <w:rsid w:val="00DB2369"/>
    <w:rsid w:val="00DC167B"/>
    <w:rsid w:val="00DD5AC4"/>
    <w:rsid w:val="00E0608B"/>
    <w:rsid w:val="00E3211B"/>
    <w:rsid w:val="00E449AF"/>
    <w:rsid w:val="00E45A3C"/>
    <w:rsid w:val="00E64F7B"/>
    <w:rsid w:val="00E7101E"/>
    <w:rsid w:val="00E73D3A"/>
    <w:rsid w:val="00E8526C"/>
    <w:rsid w:val="00E87ECC"/>
    <w:rsid w:val="00EB10FC"/>
    <w:rsid w:val="00ED2B78"/>
    <w:rsid w:val="00EE6AE7"/>
    <w:rsid w:val="00F150B5"/>
    <w:rsid w:val="00F45EDC"/>
    <w:rsid w:val="00F63610"/>
    <w:rsid w:val="00F93BA3"/>
    <w:rsid w:val="00FB6747"/>
    <w:rsid w:val="00FC27A2"/>
    <w:rsid w:val="00FC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69BC4"/>
  <w15:chartTrackingRefBased/>
  <w15:docId w15:val="{937F4300-5202-4858-850E-DC9EBC60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48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025"/>
    <w:pPr>
      <w:spacing w:after="200" w:line="276" w:lineRule="auto"/>
      <w:jc w:val="left"/>
    </w:pPr>
    <w:rPr>
      <w:rFonts w:eastAsia="Calibri"/>
      <w:kern w:val="0"/>
      <w:sz w:val="22"/>
      <w:szCs w:val="22"/>
      <w14:ligatures w14:val="none"/>
    </w:rPr>
  </w:style>
  <w:style w:type="paragraph" w:styleId="Heading1">
    <w:name w:val="heading 1"/>
    <w:basedOn w:val="ListParagraph"/>
    <w:next w:val="BodyH1"/>
    <w:link w:val="Heading1Char"/>
    <w:qFormat/>
    <w:rsid w:val="009363B8"/>
    <w:pPr>
      <w:numPr>
        <w:numId w:val="2"/>
      </w:numPr>
      <w:spacing w:before="240" w:after="0" w:line="240" w:lineRule="auto"/>
      <w:outlineLvl w:val="0"/>
    </w:pPr>
    <w:rPr>
      <w:rFonts w:ascii="Arial" w:hAnsi="Arial" w:cs="Arial"/>
      <w:b/>
    </w:rPr>
  </w:style>
  <w:style w:type="paragraph" w:styleId="Heading2">
    <w:name w:val="heading 2"/>
    <w:basedOn w:val="Heading1"/>
    <w:next w:val="BodyH2"/>
    <w:link w:val="Heading2Char"/>
    <w:unhideWhenUsed/>
    <w:qFormat/>
    <w:rsid w:val="00C02561"/>
    <w:pPr>
      <w:numPr>
        <w:numId w:val="3"/>
      </w:numPr>
      <w:outlineLvl w:val="1"/>
    </w:pPr>
  </w:style>
  <w:style w:type="paragraph" w:styleId="Heading3">
    <w:name w:val="heading 3"/>
    <w:basedOn w:val="Heading2"/>
    <w:next w:val="BodyH3"/>
    <w:link w:val="Heading3Char"/>
    <w:unhideWhenUsed/>
    <w:qFormat/>
    <w:rsid w:val="00C02561"/>
    <w:pPr>
      <w:numPr>
        <w:numId w:val="4"/>
      </w:numPr>
      <w:spacing w:before="0"/>
      <w:outlineLvl w:val="2"/>
    </w:pPr>
  </w:style>
  <w:style w:type="paragraph" w:styleId="Heading4">
    <w:name w:val="heading 4"/>
    <w:basedOn w:val="Heading3"/>
    <w:next w:val="BodyH4"/>
    <w:link w:val="Heading4Char"/>
    <w:unhideWhenUsed/>
    <w:qFormat/>
    <w:rsid w:val="00C02561"/>
    <w:pPr>
      <w:numPr>
        <w:numId w:val="13"/>
      </w:numPr>
      <w:outlineLvl w:val="3"/>
    </w:pPr>
    <w:rPr>
      <w:bCs/>
    </w:rPr>
  </w:style>
  <w:style w:type="paragraph" w:styleId="Heading5">
    <w:name w:val="heading 5"/>
    <w:basedOn w:val="Normal"/>
    <w:next w:val="Normal"/>
    <w:link w:val="Heading5Char"/>
    <w:uiPriority w:val="9"/>
    <w:semiHidden/>
    <w:unhideWhenUsed/>
    <w:qFormat/>
    <w:rsid w:val="00434F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4F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4FE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4FE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4FE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63B8"/>
    <w:rPr>
      <w:rFonts w:ascii="Arial" w:eastAsia="Calibri" w:hAnsi="Arial" w:cs="Arial"/>
      <w:b/>
      <w:kern w:val="0"/>
      <w:sz w:val="22"/>
      <w:szCs w:val="22"/>
      <w14:ligatures w14:val="none"/>
    </w:rPr>
  </w:style>
  <w:style w:type="character" w:customStyle="1" w:styleId="Heading2Char">
    <w:name w:val="Heading 2 Char"/>
    <w:basedOn w:val="DefaultParagraphFont"/>
    <w:link w:val="Heading2"/>
    <w:rsid w:val="00C02561"/>
    <w:rPr>
      <w:rFonts w:ascii="Arial" w:eastAsia="Calibri" w:hAnsi="Arial" w:cs="Arial"/>
      <w:b/>
      <w:kern w:val="0"/>
      <w:sz w:val="22"/>
      <w:szCs w:val="22"/>
      <w14:ligatures w14:val="none"/>
    </w:rPr>
  </w:style>
  <w:style w:type="character" w:customStyle="1" w:styleId="Heading3Char">
    <w:name w:val="Heading 3 Char"/>
    <w:basedOn w:val="DefaultParagraphFont"/>
    <w:link w:val="Heading3"/>
    <w:rsid w:val="00C02561"/>
    <w:rPr>
      <w:rFonts w:ascii="Arial" w:eastAsia="Calibri" w:hAnsi="Arial" w:cs="Arial"/>
      <w:b/>
      <w:kern w:val="0"/>
      <w:sz w:val="22"/>
      <w:szCs w:val="22"/>
      <w14:ligatures w14:val="none"/>
    </w:rPr>
  </w:style>
  <w:style w:type="character" w:customStyle="1" w:styleId="Heading4Char">
    <w:name w:val="Heading 4 Char"/>
    <w:basedOn w:val="DefaultParagraphFont"/>
    <w:link w:val="Heading4"/>
    <w:rsid w:val="00C02561"/>
    <w:rPr>
      <w:rFonts w:ascii="Arial" w:eastAsia="Calibri" w:hAnsi="Arial" w:cs="Arial"/>
      <w:b/>
      <w:bCs/>
      <w:kern w:val="0"/>
      <w:sz w:val="22"/>
      <w:szCs w:val="22"/>
      <w14:ligatures w14:val="none"/>
    </w:rPr>
  </w:style>
  <w:style w:type="character" w:customStyle="1" w:styleId="Heading5Char">
    <w:name w:val="Heading 5 Char"/>
    <w:basedOn w:val="DefaultParagraphFont"/>
    <w:link w:val="Heading5"/>
    <w:uiPriority w:val="9"/>
    <w:semiHidden/>
    <w:rsid w:val="00434F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4F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4F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4F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4F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4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FE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F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4FE8"/>
    <w:pPr>
      <w:spacing w:before="160"/>
      <w:jc w:val="center"/>
    </w:pPr>
    <w:rPr>
      <w:i/>
      <w:iCs/>
      <w:color w:val="404040" w:themeColor="text1" w:themeTint="BF"/>
    </w:rPr>
  </w:style>
  <w:style w:type="character" w:customStyle="1" w:styleId="QuoteChar">
    <w:name w:val="Quote Char"/>
    <w:basedOn w:val="DefaultParagraphFont"/>
    <w:link w:val="Quote"/>
    <w:uiPriority w:val="29"/>
    <w:rsid w:val="00434FE8"/>
    <w:rPr>
      <w:i/>
      <w:iCs/>
      <w:color w:val="404040" w:themeColor="text1" w:themeTint="BF"/>
    </w:rPr>
  </w:style>
  <w:style w:type="paragraph" w:styleId="ListParagraph">
    <w:name w:val="List Paragraph"/>
    <w:basedOn w:val="Normal"/>
    <w:uiPriority w:val="34"/>
    <w:qFormat/>
    <w:rsid w:val="000D4025"/>
    <w:pPr>
      <w:ind w:left="720"/>
      <w:contextualSpacing/>
    </w:pPr>
  </w:style>
  <w:style w:type="character" w:styleId="IntenseEmphasis">
    <w:name w:val="Intense Emphasis"/>
    <w:basedOn w:val="DefaultParagraphFont"/>
    <w:uiPriority w:val="21"/>
    <w:qFormat/>
    <w:rsid w:val="00434FE8"/>
    <w:rPr>
      <w:i/>
      <w:iCs/>
      <w:color w:val="0F4761" w:themeColor="accent1" w:themeShade="BF"/>
    </w:rPr>
  </w:style>
  <w:style w:type="paragraph" w:styleId="IntenseQuote">
    <w:name w:val="Intense Quote"/>
    <w:basedOn w:val="Normal"/>
    <w:next w:val="Normal"/>
    <w:link w:val="IntenseQuoteChar"/>
    <w:uiPriority w:val="30"/>
    <w:qFormat/>
    <w:rsid w:val="00434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FE8"/>
    <w:rPr>
      <w:i/>
      <w:iCs/>
      <w:color w:val="0F4761" w:themeColor="accent1" w:themeShade="BF"/>
    </w:rPr>
  </w:style>
  <w:style w:type="character" w:styleId="IntenseReference">
    <w:name w:val="Intense Reference"/>
    <w:basedOn w:val="DefaultParagraphFont"/>
    <w:uiPriority w:val="32"/>
    <w:qFormat/>
    <w:rsid w:val="00434FE8"/>
    <w:rPr>
      <w:b/>
      <w:bCs/>
      <w:smallCaps/>
      <w:color w:val="0F4761" w:themeColor="accent1" w:themeShade="BF"/>
      <w:spacing w:val="5"/>
    </w:rPr>
  </w:style>
  <w:style w:type="character" w:styleId="Hyperlink">
    <w:name w:val="Hyperlink"/>
    <w:basedOn w:val="DefaultParagraphFont"/>
    <w:uiPriority w:val="99"/>
    <w:unhideWhenUsed/>
    <w:rsid w:val="0086645D"/>
    <w:rPr>
      <w:color w:val="467886" w:themeColor="hyperlink"/>
      <w:u w:val="single"/>
    </w:rPr>
  </w:style>
  <w:style w:type="character" w:styleId="UnresolvedMention">
    <w:name w:val="Unresolved Mention"/>
    <w:basedOn w:val="DefaultParagraphFont"/>
    <w:uiPriority w:val="99"/>
    <w:semiHidden/>
    <w:unhideWhenUsed/>
    <w:rsid w:val="0086645D"/>
    <w:rPr>
      <w:color w:val="605E5C"/>
      <w:shd w:val="clear" w:color="auto" w:fill="E1DFDD"/>
    </w:rPr>
  </w:style>
  <w:style w:type="character" w:styleId="FollowedHyperlink">
    <w:name w:val="FollowedHyperlink"/>
    <w:basedOn w:val="DefaultParagraphFont"/>
    <w:uiPriority w:val="99"/>
    <w:semiHidden/>
    <w:unhideWhenUsed/>
    <w:rsid w:val="0009429D"/>
    <w:rPr>
      <w:color w:val="96607D" w:themeColor="followedHyperlink"/>
      <w:u w:val="single"/>
    </w:rPr>
  </w:style>
  <w:style w:type="paragraph" w:customStyle="1" w:styleId="BodyH1">
    <w:name w:val="Body H1"/>
    <w:basedOn w:val="Normal"/>
    <w:qFormat/>
    <w:rsid w:val="00C02561"/>
    <w:pPr>
      <w:spacing w:before="240" w:after="0" w:line="240" w:lineRule="auto"/>
      <w:ind w:left="720" w:firstLine="360"/>
    </w:pPr>
    <w:rPr>
      <w:rFonts w:ascii="Arial" w:hAnsi="Arial" w:cs="Arial"/>
    </w:rPr>
  </w:style>
  <w:style w:type="paragraph" w:customStyle="1" w:styleId="BodyH2">
    <w:name w:val="Body H2"/>
    <w:basedOn w:val="BodyH1"/>
    <w:qFormat/>
    <w:rsid w:val="00C02561"/>
    <w:pPr>
      <w:spacing w:before="0"/>
      <w:ind w:left="1080"/>
    </w:pPr>
  </w:style>
  <w:style w:type="paragraph" w:customStyle="1" w:styleId="BodyH3">
    <w:name w:val="Body H3"/>
    <w:qFormat/>
    <w:rsid w:val="00C02561"/>
    <w:pPr>
      <w:spacing w:after="0" w:line="240" w:lineRule="auto"/>
      <w:ind w:left="1440" w:firstLine="360"/>
      <w:jc w:val="left"/>
    </w:pPr>
    <w:rPr>
      <w:rFonts w:ascii="Arial" w:eastAsia="Calibri" w:hAnsi="Arial" w:cs="Arial"/>
      <w:kern w:val="0"/>
      <w:sz w:val="22"/>
      <w:szCs w:val="22"/>
      <w14:ligatures w14:val="none"/>
    </w:rPr>
  </w:style>
  <w:style w:type="paragraph" w:customStyle="1" w:styleId="BodyH4">
    <w:name w:val="Body H4"/>
    <w:basedOn w:val="BodyH3"/>
    <w:qFormat/>
    <w:rsid w:val="00C02561"/>
    <w:pPr>
      <w:ind w:left="1800"/>
    </w:pPr>
  </w:style>
  <w:style w:type="paragraph" w:customStyle="1" w:styleId="BodyIndent1">
    <w:name w:val="Body Indent 1"/>
    <w:basedOn w:val="Heading2"/>
    <w:qFormat/>
    <w:rsid w:val="00C02561"/>
    <w:pPr>
      <w:spacing w:before="0"/>
      <w:ind w:left="1440" w:firstLine="360"/>
      <w:outlineLvl w:val="9"/>
    </w:pPr>
    <w:rPr>
      <w:bCs/>
    </w:rPr>
  </w:style>
  <w:style w:type="paragraph" w:customStyle="1" w:styleId="Bodyindentunder1level">
    <w:name w:val="Body indent under '1' level"/>
    <w:basedOn w:val="BodyIndent1"/>
    <w:qFormat/>
    <w:rsid w:val="00C02561"/>
    <w:pPr>
      <w:ind w:left="2250"/>
    </w:pPr>
  </w:style>
  <w:style w:type="paragraph" w:customStyle="1" w:styleId="Bodyunderloweralevel">
    <w:name w:val="Body under lower a level"/>
    <w:basedOn w:val="Normal"/>
    <w:qFormat/>
    <w:rsid w:val="00C02561"/>
    <w:pPr>
      <w:spacing w:after="0" w:line="240" w:lineRule="auto"/>
      <w:ind w:left="2610"/>
      <w:contextualSpacing/>
    </w:pPr>
    <w:rPr>
      <w:rFonts w:ascii="Arial" w:hAnsi="Arial" w:cs="Arial"/>
    </w:rPr>
  </w:style>
  <w:style w:type="paragraph" w:customStyle="1" w:styleId="copyright">
    <w:name w:val="copyright"/>
    <w:basedOn w:val="Normal"/>
    <w:qFormat/>
    <w:rsid w:val="00C02561"/>
    <w:pPr>
      <w:keepLines/>
      <w:spacing w:after="0" w:line="240" w:lineRule="auto"/>
      <w:jc w:val="center"/>
    </w:pPr>
    <w:rPr>
      <w:rFonts w:ascii="Arial" w:hAnsi="Arial"/>
      <w:sz w:val="18"/>
    </w:rPr>
  </w:style>
  <w:style w:type="character" w:styleId="CommentReference">
    <w:name w:val="annotation reference"/>
    <w:basedOn w:val="DefaultParagraphFont"/>
    <w:uiPriority w:val="99"/>
    <w:semiHidden/>
    <w:unhideWhenUsed/>
    <w:rsid w:val="00C02561"/>
    <w:rPr>
      <w:sz w:val="16"/>
      <w:szCs w:val="16"/>
    </w:rPr>
  </w:style>
  <w:style w:type="paragraph" w:styleId="CommentText">
    <w:name w:val="annotation text"/>
    <w:basedOn w:val="Normal"/>
    <w:link w:val="CommentTextChar"/>
    <w:uiPriority w:val="99"/>
    <w:unhideWhenUsed/>
    <w:rsid w:val="00C02561"/>
    <w:pPr>
      <w:spacing w:line="240" w:lineRule="auto"/>
    </w:pPr>
    <w:rPr>
      <w:sz w:val="20"/>
      <w:szCs w:val="20"/>
    </w:rPr>
  </w:style>
  <w:style w:type="character" w:customStyle="1" w:styleId="CommentTextChar">
    <w:name w:val="Comment Text Char"/>
    <w:basedOn w:val="DefaultParagraphFont"/>
    <w:link w:val="CommentText"/>
    <w:uiPriority w:val="99"/>
    <w:rsid w:val="00C02561"/>
    <w:rPr>
      <w:sz w:val="20"/>
      <w:szCs w:val="20"/>
    </w:rPr>
  </w:style>
  <w:style w:type="paragraph" w:styleId="CommentSubject">
    <w:name w:val="annotation subject"/>
    <w:basedOn w:val="CommentText"/>
    <w:next w:val="CommentText"/>
    <w:link w:val="CommentSubjectChar"/>
    <w:uiPriority w:val="99"/>
    <w:semiHidden/>
    <w:unhideWhenUsed/>
    <w:rsid w:val="00C02561"/>
    <w:rPr>
      <w:b/>
      <w:bCs/>
    </w:rPr>
  </w:style>
  <w:style w:type="character" w:customStyle="1" w:styleId="CommentSubjectChar">
    <w:name w:val="Comment Subject Char"/>
    <w:basedOn w:val="CommentTextChar"/>
    <w:link w:val="CommentSubject"/>
    <w:uiPriority w:val="99"/>
    <w:semiHidden/>
    <w:rsid w:val="00C02561"/>
    <w:rPr>
      <w:b/>
      <w:bCs/>
      <w:sz w:val="20"/>
      <w:szCs w:val="20"/>
    </w:rPr>
  </w:style>
  <w:style w:type="paragraph" w:styleId="Revision">
    <w:name w:val="Revision"/>
    <w:hidden/>
    <w:uiPriority w:val="99"/>
    <w:semiHidden/>
    <w:rsid w:val="00C02561"/>
    <w:pPr>
      <w:spacing w:after="0" w:line="240" w:lineRule="auto"/>
      <w:jc w:val="left"/>
    </w:pPr>
  </w:style>
  <w:style w:type="paragraph" w:customStyle="1" w:styleId="ListParagraph1">
    <w:name w:val="List Paragraph 1"/>
    <w:basedOn w:val="ListParagraph"/>
    <w:qFormat/>
    <w:rsid w:val="000D4025"/>
    <w:pPr>
      <w:numPr>
        <w:numId w:val="8"/>
      </w:numPr>
      <w:spacing w:after="120" w:line="240" w:lineRule="auto"/>
    </w:pPr>
    <w:rPr>
      <w:rFonts w:ascii="Arial" w:hAnsi="Arial" w:cs="Arial"/>
    </w:rPr>
  </w:style>
  <w:style w:type="paragraph" w:customStyle="1" w:styleId="ListParagraph15">
    <w:name w:val="List Paragraph 1.5"/>
    <w:basedOn w:val="ListParagraph"/>
    <w:qFormat/>
    <w:rsid w:val="000D4025"/>
    <w:pPr>
      <w:numPr>
        <w:numId w:val="9"/>
      </w:numPr>
      <w:spacing w:after="120" w:line="240" w:lineRule="auto"/>
    </w:pPr>
    <w:rPr>
      <w:rFonts w:ascii="Arial" w:hAnsi="Arial" w:cs="Arial"/>
    </w:rPr>
  </w:style>
  <w:style w:type="paragraph" w:customStyle="1" w:styleId="ListParagraph2">
    <w:name w:val="List Paragraph 2"/>
    <w:basedOn w:val="ListParagraph"/>
    <w:qFormat/>
    <w:rsid w:val="000D4025"/>
    <w:pPr>
      <w:widowControl w:val="0"/>
      <w:numPr>
        <w:numId w:val="11"/>
      </w:numPr>
      <w:spacing w:after="120" w:line="240" w:lineRule="auto"/>
      <w:jc w:val="both"/>
    </w:pPr>
    <w:rPr>
      <w:rFonts w:ascii="Arial" w:hAnsi="Arial" w:cs="Arial"/>
    </w:rPr>
  </w:style>
  <w:style w:type="paragraph" w:customStyle="1" w:styleId="ListParagraph25">
    <w:name w:val="List Paragraph 2.5"/>
    <w:basedOn w:val="ListParagraph2"/>
    <w:qFormat/>
    <w:rsid w:val="000D4025"/>
    <w:pPr>
      <w:ind w:left="2880"/>
    </w:pPr>
  </w:style>
  <w:style w:type="paragraph" w:customStyle="1" w:styleId="StyleHeading4After16line">
    <w:name w:val="Style Heading 4 + After:  1.6 line"/>
    <w:basedOn w:val="Heading4"/>
    <w:rsid w:val="000D4025"/>
    <w:rPr>
      <w:rFonts w:eastAsia="Times New Roman" w:cs="Times New Roman"/>
      <w:szCs w:val="20"/>
    </w:rPr>
  </w:style>
  <w:style w:type="paragraph" w:customStyle="1" w:styleId="StyleHeading4After16line1">
    <w:name w:val="Style Heading 4 + After:  1.6 line1"/>
    <w:basedOn w:val="Heading4"/>
    <w:rsid w:val="000D4025"/>
    <w:rPr>
      <w:rFonts w:eastAsia="Times New Roman" w:cs="Times New Roman"/>
      <w:szCs w:val="20"/>
    </w:rPr>
  </w:style>
  <w:style w:type="paragraph" w:styleId="TOC1">
    <w:name w:val="toc 1"/>
    <w:basedOn w:val="Normal"/>
    <w:next w:val="Normal"/>
    <w:autoRedefine/>
    <w:uiPriority w:val="39"/>
    <w:rsid w:val="000D4025"/>
    <w:pPr>
      <w:tabs>
        <w:tab w:val="left" w:pos="720"/>
        <w:tab w:val="right" w:leader="dot" w:pos="9350"/>
      </w:tabs>
      <w:spacing w:after="0" w:line="240" w:lineRule="auto"/>
    </w:pPr>
    <w:rPr>
      <w:rFonts w:ascii="Arial" w:hAnsi="Arial"/>
    </w:rPr>
  </w:style>
  <w:style w:type="paragraph" w:styleId="TOC2">
    <w:name w:val="toc 2"/>
    <w:basedOn w:val="TOC1"/>
    <w:next w:val="Normal"/>
    <w:autoRedefine/>
    <w:uiPriority w:val="39"/>
    <w:rsid w:val="000D4025"/>
    <w:pPr>
      <w:tabs>
        <w:tab w:val="left" w:pos="1200"/>
      </w:tabs>
      <w:ind w:left="720"/>
    </w:pPr>
  </w:style>
  <w:style w:type="paragraph" w:styleId="TOC3">
    <w:name w:val="toc 3"/>
    <w:basedOn w:val="TOC2"/>
    <w:next w:val="Normal"/>
    <w:autoRedefine/>
    <w:uiPriority w:val="39"/>
    <w:unhideWhenUsed/>
    <w:rsid w:val="000D4025"/>
    <w:pPr>
      <w:tabs>
        <w:tab w:val="clear" w:pos="1200"/>
        <w:tab w:val="left" w:pos="1800"/>
      </w:tabs>
      <w:ind w:left="1260"/>
    </w:pPr>
    <w:rPr>
      <w:rFonts w:eastAsiaTheme="minorEastAsia" w:cs="Arial"/>
      <w:noProof/>
      <w:kern w:val="2"/>
      <w:specVanish/>
    </w:rPr>
  </w:style>
  <w:style w:type="paragraph" w:styleId="TOC4">
    <w:name w:val="toc 4"/>
    <w:basedOn w:val="Normal"/>
    <w:next w:val="Normal"/>
    <w:autoRedefine/>
    <w:uiPriority w:val="39"/>
    <w:unhideWhenUsed/>
    <w:rsid w:val="000D4025"/>
    <w:pPr>
      <w:spacing w:after="100" w:line="278" w:lineRule="auto"/>
      <w:ind w:left="720"/>
    </w:pPr>
    <w:rPr>
      <w:rFonts w:asciiTheme="minorHAnsi" w:eastAsiaTheme="minorEastAsia" w:hAnsiTheme="minorHAnsi" w:cstheme="minorBidi"/>
      <w:kern w:val="2"/>
      <w:sz w:val="24"/>
      <w:szCs w:val="24"/>
    </w:rPr>
  </w:style>
  <w:style w:type="paragraph" w:styleId="TOC5">
    <w:name w:val="toc 5"/>
    <w:basedOn w:val="Normal"/>
    <w:next w:val="Normal"/>
    <w:autoRedefine/>
    <w:uiPriority w:val="39"/>
    <w:unhideWhenUsed/>
    <w:rsid w:val="000D4025"/>
    <w:pPr>
      <w:spacing w:after="100" w:line="278" w:lineRule="auto"/>
      <w:ind w:left="960"/>
    </w:pPr>
    <w:rPr>
      <w:rFonts w:asciiTheme="minorHAnsi" w:eastAsiaTheme="minorEastAsia" w:hAnsiTheme="minorHAnsi" w:cstheme="minorBidi"/>
      <w:kern w:val="2"/>
      <w:sz w:val="24"/>
      <w:szCs w:val="24"/>
    </w:rPr>
  </w:style>
  <w:style w:type="paragraph" w:styleId="TOC6">
    <w:name w:val="toc 6"/>
    <w:basedOn w:val="Normal"/>
    <w:next w:val="Normal"/>
    <w:autoRedefine/>
    <w:uiPriority w:val="39"/>
    <w:unhideWhenUsed/>
    <w:rsid w:val="000D4025"/>
    <w:pPr>
      <w:spacing w:after="100" w:line="278" w:lineRule="auto"/>
      <w:ind w:left="1200"/>
    </w:pPr>
    <w:rPr>
      <w:rFonts w:asciiTheme="minorHAnsi" w:eastAsiaTheme="minorEastAsia" w:hAnsiTheme="minorHAnsi" w:cstheme="minorBidi"/>
      <w:kern w:val="2"/>
      <w:sz w:val="24"/>
      <w:szCs w:val="24"/>
    </w:rPr>
  </w:style>
  <w:style w:type="paragraph" w:styleId="TOC7">
    <w:name w:val="toc 7"/>
    <w:basedOn w:val="Normal"/>
    <w:next w:val="Normal"/>
    <w:autoRedefine/>
    <w:uiPriority w:val="39"/>
    <w:unhideWhenUsed/>
    <w:rsid w:val="000D4025"/>
    <w:pPr>
      <w:spacing w:after="100" w:line="278" w:lineRule="auto"/>
      <w:ind w:left="1440"/>
    </w:pPr>
    <w:rPr>
      <w:rFonts w:asciiTheme="minorHAnsi" w:eastAsiaTheme="minorEastAsia" w:hAnsiTheme="minorHAnsi" w:cstheme="minorBidi"/>
      <w:kern w:val="2"/>
      <w:sz w:val="24"/>
      <w:szCs w:val="24"/>
    </w:rPr>
  </w:style>
  <w:style w:type="paragraph" w:styleId="TOC8">
    <w:name w:val="toc 8"/>
    <w:basedOn w:val="Normal"/>
    <w:next w:val="Normal"/>
    <w:autoRedefine/>
    <w:uiPriority w:val="39"/>
    <w:unhideWhenUsed/>
    <w:rsid w:val="000D4025"/>
    <w:pPr>
      <w:spacing w:after="100" w:line="278" w:lineRule="auto"/>
      <w:ind w:left="1680"/>
    </w:pPr>
    <w:rPr>
      <w:rFonts w:asciiTheme="minorHAnsi" w:eastAsiaTheme="minorEastAsia" w:hAnsiTheme="minorHAnsi" w:cstheme="minorBidi"/>
      <w:kern w:val="2"/>
      <w:sz w:val="24"/>
      <w:szCs w:val="24"/>
    </w:rPr>
  </w:style>
  <w:style w:type="paragraph" w:styleId="TOC9">
    <w:name w:val="toc 9"/>
    <w:basedOn w:val="Normal"/>
    <w:next w:val="Normal"/>
    <w:autoRedefine/>
    <w:uiPriority w:val="39"/>
    <w:unhideWhenUsed/>
    <w:rsid w:val="000D4025"/>
    <w:pPr>
      <w:spacing w:after="100" w:line="278" w:lineRule="auto"/>
      <w:ind w:left="1920"/>
    </w:pPr>
    <w:rPr>
      <w:rFonts w:asciiTheme="minorHAnsi" w:eastAsiaTheme="minorEastAsia" w:hAnsiTheme="minorHAnsi" w:cstheme="minorBidi"/>
      <w:kern w:val="2"/>
      <w:sz w:val="24"/>
      <w:szCs w:val="24"/>
    </w:rPr>
  </w:style>
  <w:style w:type="paragraph" w:styleId="TOCHeading">
    <w:name w:val="TOC Heading"/>
    <w:basedOn w:val="Heading1"/>
    <w:next w:val="Normal"/>
    <w:uiPriority w:val="39"/>
    <w:unhideWhenUsed/>
    <w:qFormat/>
    <w:rsid w:val="003A250B"/>
    <w:pPr>
      <w:keepNext/>
      <w:keepLines/>
      <w:numPr>
        <w:numId w:val="0"/>
      </w:numPr>
      <w:spacing w:line="259" w:lineRule="auto"/>
      <w:contextualSpacing w:val="0"/>
      <w:outlineLvl w:val="9"/>
    </w:pPr>
    <w:rPr>
      <w:rFonts w:eastAsiaTheme="majorEastAsia" w:cstheme="majorBidi"/>
      <w:szCs w:val="32"/>
    </w:rPr>
  </w:style>
  <w:style w:type="paragraph" w:styleId="Header">
    <w:name w:val="header"/>
    <w:basedOn w:val="Normal"/>
    <w:link w:val="HeaderChar"/>
    <w:uiPriority w:val="99"/>
    <w:unhideWhenUsed/>
    <w:rsid w:val="00664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98C"/>
    <w:rPr>
      <w:rFonts w:eastAsia="Calibri"/>
      <w:kern w:val="0"/>
      <w:sz w:val="22"/>
      <w:szCs w:val="22"/>
      <w14:ligatures w14:val="none"/>
    </w:rPr>
  </w:style>
  <w:style w:type="paragraph" w:styleId="Footer">
    <w:name w:val="footer"/>
    <w:basedOn w:val="Normal"/>
    <w:link w:val="FooterChar"/>
    <w:uiPriority w:val="99"/>
    <w:unhideWhenUsed/>
    <w:rsid w:val="00664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98C"/>
    <w:rPr>
      <w:rFonts w:eastAsia="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justia.com/cases/north-carolina/supreme-court/1991/226pa90-0.html" TargetMode="External"/><Relationship Id="rId18" Type="http://schemas.openxmlformats.org/officeDocument/2006/relationships/hyperlink" Target="https://appellate.nccourts.org/opinions/?c=2&amp;pdf=16916" TargetMode="External"/><Relationship Id="rId26" Type="http://schemas.openxmlformats.org/officeDocument/2006/relationships/hyperlink" Target="https://appellate.nccourts.org/opinions/?c=1&amp;pdf=43707" TargetMode="External"/><Relationship Id="rId39" Type="http://schemas.openxmlformats.org/officeDocument/2006/relationships/hyperlink" Target="https://appellate.nccourts.org/opinions/?c=2&amp;pdf=37040" TargetMode="External"/><Relationship Id="rId21" Type="http://schemas.openxmlformats.org/officeDocument/2006/relationships/hyperlink" Target="https://www.ncleg.gov/EnactedLegislation/Statutes/PDF/BySection/Chapter_7a/GS_7a-61.pdf" TargetMode="External"/><Relationship Id="rId34" Type="http://schemas.openxmlformats.org/officeDocument/2006/relationships/hyperlink" Target="https://law.justia.com/cases/north-carolina/supreme-court/1991/226pa90-0.html" TargetMode="External"/><Relationship Id="rId42" Type="http://schemas.openxmlformats.org/officeDocument/2006/relationships/hyperlink" Target="https://appellate.nccourts.org/opinions/?c=1&amp;pdf=43707" TargetMode="External"/><Relationship Id="rId47" Type="http://schemas.openxmlformats.org/officeDocument/2006/relationships/hyperlink" Target="https://law.justia.com/cases/north-carolina/supreme-court/1991/226pa90-0.html" TargetMode="External"/><Relationship Id="rId50" Type="http://schemas.openxmlformats.org/officeDocument/2006/relationships/hyperlink" Target="https://law.justia.com/cases/north-carolina/supreme-court/1991/226pa90-0.html" TargetMode="External"/><Relationship Id="rId55" Type="http://schemas.openxmlformats.org/officeDocument/2006/relationships/hyperlink" Target="https://appellate.nccourts.org/opinions/?c=2&amp;pdf=36044" TargetMode="External"/><Relationship Id="rId7" Type="http://schemas.openxmlformats.org/officeDocument/2006/relationships/hyperlink" Target="https://appellate.nccourts.org/opinions/?c=2&amp;pdf=36044" TargetMode="External"/><Relationship Id="rId2" Type="http://schemas.openxmlformats.org/officeDocument/2006/relationships/styles" Target="styles.xml"/><Relationship Id="rId16" Type="http://schemas.openxmlformats.org/officeDocument/2006/relationships/hyperlink" Target="https://law.justia.com/cases/north-carolina/supreme-court/1991/226pa90-0.html" TargetMode="External"/><Relationship Id="rId29" Type="http://schemas.openxmlformats.org/officeDocument/2006/relationships/hyperlink" Target="https://law.justia.com/cases/north-carolina/supreme-court/1991/226pa90-0.html" TargetMode="External"/><Relationship Id="rId11" Type="http://schemas.openxmlformats.org/officeDocument/2006/relationships/hyperlink" Target="https://law.justia.com/cases/north-carolina/supreme-court/1971/94-13.html" TargetMode="External"/><Relationship Id="rId24" Type="http://schemas.openxmlformats.org/officeDocument/2006/relationships/hyperlink" Target="https://appellate.nccourts.org/opinions/?c=1&amp;pdf=43707" TargetMode="External"/><Relationship Id="rId32" Type="http://schemas.openxmlformats.org/officeDocument/2006/relationships/hyperlink" Target="https://law.justia.com/cases/north-carolina/supreme-court/1991/226pa90-0.html" TargetMode="External"/><Relationship Id="rId37" Type="http://schemas.openxmlformats.org/officeDocument/2006/relationships/hyperlink" Target="https://law.justia.com/cases/north-carolina/supreme-court/1993/527pa91-0.html" TargetMode="External"/><Relationship Id="rId40" Type="http://schemas.openxmlformats.org/officeDocument/2006/relationships/hyperlink" Target="https://appellate.nccourts.org/opinions/?c=2&amp;pdf=37040" TargetMode="External"/><Relationship Id="rId45" Type="http://schemas.openxmlformats.org/officeDocument/2006/relationships/hyperlink" Target="https://appellate.nccourts.org/opinions/?c=1&amp;pdf=43707" TargetMode="External"/><Relationship Id="rId53" Type="http://schemas.openxmlformats.org/officeDocument/2006/relationships/hyperlink" Target="https://law.justia.com/cases/north-carolina/supreme-court/1991/226pa90-0.html"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law.justia.com/cases/north-carolina/supreme-court/1997/36pa96-0.html" TargetMode="External"/><Relationship Id="rId14" Type="http://schemas.openxmlformats.org/officeDocument/2006/relationships/hyperlink" Target="https://law.justia.com/cases/north-carolina/supreme-court/1994/267pa93-0.html" TargetMode="External"/><Relationship Id="rId22" Type="http://schemas.openxmlformats.org/officeDocument/2006/relationships/hyperlink" Target="https://law.justia.com/cases/north-carolina/supreme-court/1997/36pa96-0.html" TargetMode="External"/><Relationship Id="rId27" Type="http://schemas.openxmlformats.org/officeDocument/2006/relationships/hyperlink" Target="https://appellate.nccourts.org/opinions/?c=1&amp;pdf=41883" TargetMode="External"/><Relationship Id="rId30" Type="http://schemas.openxmlformats.org/officeDocument/2006/relationships/hyperlink" Target="https://appellate.nccourts.org/opinions/?c=1&amp;pdf=43707" TargetMode="External"/><Relationship Id="rId35" Type="http://schemas.openxmlformats.org/officeDocument/2006/relationships/hyperlink" Target="https://appellate.nccourts.org/opinions/?c=2&amp;pdf=36044" TargetMode="External"/><Relationship Id="rId43" Type="http://schemas.openxmlformats.org/officeDocument/2006/relationships/hyperlink" Target="https://appellate.nccourts.org/opinions/?c=2&amp;pdf=36044" TargetMode="External"/><Relationship Id="rId48" Type="http://schemas.openxmlformats.org/officeDocument/2006/relationships/hyperlink" Target="https://appellate.nccourts.org/opinions/?c=2&amp;pdf=37040" TargetMode="External"/><Relationship Id="rId56" Type="http://schemas.openxmlformats.org/officeDocument/2006/relationships/hyperlink" Target="https://appellate.nccourts.org/opinions/?c=1&amp;pdf=43707" TargetMode="External"/><Relationship Id="rId8" Type="http://schemas.openxmlformats.org/officeDocument/2006/relationships/hyperlink" Target="https://appellate.nccourts.org/opinions/?c=2&amp;pdf=37040" TargetMode="External"/><Relationship Id="rId51" Type="http://schemas.openxmlformats.org/officeDocument/2006/relationships/hyperlink" Target="https://law.justia.com/cases/north-carolina/supreme-court/1991/226pa90-0.html" TargetMode="External"/><Relationship Id="rId3" Type="http://schemas.openxmlformats.org/officeDocument/2006/relationships/settings" Target="settings.xml"/><Relationship Id="rId12" Type="http://schemas.openxmlformats.org/officeDocument/2006/relationships/hyperlink" Target="https://law.justia.com/cases/north-carolina/supreme-court/1991/226pa90-0.html" TargetMode="External"/><Relationship Id="rId17" Type="http://schemas.openxmlformats.org/officeDocument/2006/relationships/hyperlink" Target="https://appellate.nccourts.org/opinions/?c=1&amp;pdf=502" TargetMode="External"/><Relationship Id="rId25" Type="http://schemas.openxmlformats.org/officeDocument/2006/relationships/hyperlink" Target="https://law.justia.com/cases/north-carolina/supreme-court/1991/226pa90-0.html" TargetMode="External"/><Relationship Id="rId33" Type="http://schemas.openxmlformats.org/officeDocument/2006/relationships/hyperlink" Target="https://law.justia.com/cases/north-carolina/supreme-court/1991/226pa90-0.html" TargetMode="External"/><Relationship Id="rId38" Type="http://schemas.openxmlformats.org/officeDocument/2006/relationships/hyperlink" Target="https://law.justia.com/cases/north-carolina/supreme-court/1991/226pa90-0.html" TargetMode="External"/><Relationship Id="rId46" Type="http://schemas.openxmlformats.org/officeDocument/2006/relationships/hyperlink" Target="https://appellate.nccourts.org/opinions/?c=1&amp;pdf=533" TargetMode="External"/><Relationship Id="rId59" Type="http://schemas.openxmlformats.org/officeDocument/2006/relationships/footer" Target="footer1.xml"/><Relationship Id="rId20" Type="http://schemas.openxmlformats.org/officeDocument/2006/relationships/hyperlink" Target="https://law.justia.com/cases/north-carolina/supreme-court/1996/13a95-0.html" TargetMode="External"/><Relationship Id="rId41" Type="http://schemas.openxmlformats.org/officeDocument/2006/relationships/hyperlink" Target="https://law.justia.com/cases/north-carolina/supreme-court/1991/226pa90-0.html" TargetMode="External"/><Relationship Id="rId54" Type="http://schemas.openxmlformats.org/officeDocument/2006/relationships/hyperlink" Target="https://appellate.nccourts.org/opinions/?c=1&amp;pdf=4370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cleg.gov/EnactedLegislation/Constitution/NCConstitution.html" TargetMode="External"/><Relationship Id="rId23" Type="http://schemas.openxmlformats.org/officeDocument/2006/relationships/hyperlink" Target="https://appellate.nccourts.org/opinions/?c=1&amp;pdf=43707" TargetMode="External"/><Relationship Id="rId28" Type="http://schemas.openxmlformats.org/officeDocument/2006/relationships/hyperlink" Target="https://appellate.nccourts.org/opinions/?c=2&amp;pdf=36044" TargetMode="External"/><Relationship Id="rId36" Type="http://schemas.openxmlformats.org/officeDocument/2006/relationships/hyperlink" Target="https://appellate.nccourts.org/opinions/?c=1&amp;pdf=43707" TargetMode="External"/><Relationship Id="rId49" Type="http://schemas.openxmlformats.org/officeDocument/2006/relationships/hyperlink" Target="https://law.justia.com/cases/north-carolina/supreme-court/1991/226pa90-0.html" TargetMode="External"/><Relationship Id="rId57" Type="http://schemas.openxmlformats.org/officeDocument/2006/relationships/hyperlink" Target="https://appellate.nccourts.org/opinions/?c=2&amp;pdf=37040" TargetMode="External"/><Relationship Id="rId10" Type="http://schemas.openxmlformats.org/officeDocument/2006/relationships/hyperlink" Target="https://law.justia.com/cases/north-carolina/supreme-court/1977/151-0.html" TargetMode="External"/><Relationship Id="rId31" Type="http://schemas.openxmlformats.org/officeDocument/2006/relationships/hyperlink" Target="https://law.justia.com/cases/north-carolina/supreme-court/1991/226pa90-0.html" TargetMode="External"/><Relationship Id="rId44" Type="http://schemas.openxmlformats.org/officeDocument/2006/relationships/hyperlink" Target="https://appellate.nccourts.org/opinions/?c=2&amp;pdf=36044" TargetMode="External"/><Relationship Id="rId52" Type="http://schemas.openxmlformats.org/officeDocument/2006/relationships/hyperlink" Target="https://law.justia.com/cases/north-carolina/supreme-court/1991/226pa90-0.htm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reme.justia.com/cases/federal/us/446/2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2379</Words>
  <Characters>13133</Characters>
  <Application>Microsoft Office Word</Application>
  <DocSecurity>4</DocSecurity>
  <Lines>187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Hyde, Joseph L</dc:creator>
  <cp:keywords/>
  <dc:description/>
  <cp:lastModifiedBy>Denning, Shea R.</cp:lastModifiedBy>
  <cp:revision>2</cp:revision>
  <dcterms:created xsi:type="dcterms:W3CDTF">2026-02-23T17:47:00Z</dcterms:created>
  <dcterms:modified xsi:type="dcterms:W3CDTF">2026-02-23T17:47:00Z</dcterms:modified>
</cp:coreProperties>
</file>