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A242" w14:textId="77777777" w:rsidR="005A38D0" w:rsidRPr="001765FC" w:rsidRDefault="005A38D0" w:rsidP="00B758EC">
      <w:pPr>
        <w:jc w:val="center"/>
        <w:rPr>
          <w:rFonts w:ascii="Arial" w:hAnsi="Arial" w:cs="Arial"/>
          <w:b/>
          <w:bCs/>
          <w:sz w:val="24"/>
          <w:szCs w:val="24"/>
        </w:rPr>
      </w:pPr>
      <w:r w:rsidRPr="001765FC">
        <w:rPr>
          <w:rFonts w:ascii="Arial" w:hAnsi="Arial" w:cs="Arial"/>
          <w:b/>
          <w:bCs/>
          <w:sz w:val="24"/>
          <w:szCs w:val="24"/>
        </w:rPr>
        <w:t xml:space="preserve">THE </w:t>
      </w:r>
      <w:r w:rsidRPr="001765FC">
        <w:rPr>
          <w:rFonts w:ascii="Arial" w:hAnsi="Arial" w:cs="Arial"/>
          <w:b/>
          <w:bCs/>
          <w:i/>
          <w:iCs/>
          <w:sz w:val="24"/>
          <w:szCs w:val="24"/>
        </w:rPr>
        <w:t>BRUTON</w:t>
      </w:r>
      <w:r w:rsidRPr="001765FC">
        <w:rPr>
          <w:rFonts w:ascii="Arial" w:hAnsi="Arial" w:cs="Arial"/>
          <w:b/>
          <w:bCs/>
          <w:sz w:val="24"/>
          <w:szCs w:val="24"/>
        </w:rPr>
        <w:t xml:space="preserve"> RULE: JOINT TRIALS &amp; CODEFENDANTS</w:t>
      </w:r>
      <w:r w:rsidRPr="009A297D">
        <w:rPr>
          <w:rFonts w:ascii="Arial" w:hAnsi="Arial" w:cs="Arial"/>
          <w:b/>
          <w:bCs/>
          <w:sz w:val="24"/>
          <w:szCs w:val="24"/>
        </w:rPr>
        <w:t>’</w:t>
      </w:r>
      <w:r w:rsidRPr="001765FC">
        <w:rPr>
          <w:rFonts w:ascii="Arial" w:hAnsi="Arial" w:cs="Arial"/>
          <w:b/>
          <w:bCs/>
          <w:sz w:val="24"/>
          <w:szCs w:val="24"/>
        </w:rPr>
        <w:t xml:space="preserve"> CONFESSIONS</w:t>
      </w:r>
    </w:p>
    <w:p w14:paraId="7CBC829C" w14:textId="77777777" w:rsidR="005A38D0" w:rsidRPr="00C43B52" w:rsidRDefault="005A38D0" w:rsidP="00477102">
      <w:pPr>
        <w:spacing w:after="0" w:line="240" w:lineRule="auto"/>
        <w:rPr>
          <w:rFonts w:ascii="Arial" w:hAnsi="Arial" w:cs="Arial"/>
        </w:rPr>
      </w:pPr>
      <w:r w:rsidRPr="00C43B52">
        <w:rPr>
          <w:rFonts w:ascii="Arial" w:hAnsi="Arial" w:cs="Arial"/>
        </w:rPr>
        <w:t>Jessica Smith, UNC School of Government (May 2012)</w:t>
      </w:r>
    </w:p>
    <w:p w14:paraId="66EB8332" w14:textId="16BBB5AF" w:rsidR="005A38D0" w:rsidRPr="00032512" w:rsidRDefault="00032512" w:rsidP="00C279D7">
      <w:pPr>
        <w:spacing w:after="0" w:line="240" w:lineRule="auto"/>
        <w:rPr>
          <w:rFonts w:ascii="Arial" w:hAnsi="Arial" w:cs="Arial"/>
        </w:rPr>
      </w:pPr>
      <w:r w:rsidRPr="00032512">
        <w:rPr>
          <w:rFonts w:ascii="Arial" w:hAnsi="Arial" w:cs="Arial"/>
        </w:rPr>
        <w:t>Updated by Christopher Tyner (April 2025)</w:t>
      </w:r>
    </w:p>
    <w:p w14:paraId="7CBBE7C2" w14:textId="77777777" w:rsidR="00032512" w:rsidRDefault="00032512" w:rsidP="00C279D7">
      <w:pPr>
        <w:spacing w:after="0" w:line="240" w:lineRule="auto"/>
        <w:rPr>
          <w:rFonts w:ascii="Arial" w:hAnsi="Arial" w:cs="Arial"/>
          <w:b/>
          <w:bCs/>
        </w:rPr>
      </w:pPr>
    </w:p>
    <w:p w14:paraId="7414FDFC" w14:textId="77777777" w:rsidR="00D10444" w:rsidRDefault="00D10444" w:rsidP="00C279D7">
      <w:pPr>
        <w:spacing w:after="0" w:line="240" w:lineRule="auto"/>
        <w:rPr>
          <w:rFonts w:ascii="Arial" w:hAnsi="Arial" w:cs="Arial"/>
          <w:b/>
          <w:bCs/>
        </w:rPr>
      </w:pPr>
      <w:r>
        <w:rPr>
          <w:rFonts w:ascii="Arial" w:hAnsi="Arial" w:cs="Arial"/>
          <w:b/>
          <w:bCs/>
        </w:rPr>
        <w:t>Contents</w:t>
      </w:r>
    </w:p>
    <w:p w14:paraId="2D580C9B" w14:textId="16AC3EF0" w:rsidR="00D70F9D" w:rsidRDefault="00B21B58">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r>
        <w:rPr>
          <w:rFonts w:cs="Arial"/>
          <w:b/>
          <w:bCs/>
        </w:rPr>
        <w:fldChar w:fldCharType="begin"/>
      </w:r>
      <w:r w:rsidR="00C279D7">
        <w:rPr>
          <w:rFonts w:cs="Arial"/>
          <w:b/>
          <w:bCs/>
        </w:rPr>
        <w:instrText xml:space="preserve"> TOC \o "1-2" \h \z \u </w:instrText>
      </w:r>
      <w:r>
        <w:rPr>
          <w:rFonts w:cs="Arial"/>
          <w:b/>
          <w:bCs/>
        </w:rPr>
        <w:fldChar w:fldCharType="separate"/>
      </w:r>
      <w:hyperlink w:anchor="_Toc197095998" w:history="1">
        <w:r w:rsidR="00D70F9D" w:rsidRPr="008D3E37">
          <w:rPr>
            <w:rStyle w:val="Hyperlink"/>
            <w:noProof/>
          </w:rPr>
          <w:t>I.</w:t>
        </w:r>
        <w:r w:rsidR="00D70F9D">
          <w:rPr>
            <w:rFonts w:asciiTheme="minorHAnsi" w:eastAsiaTheme="minorEastAsia" w:hAnsiTheme="minorHAnsi" w:cstheme="minorBidi"/>
            <w:noProof/>
            <w:kern w:val="2"/>
            <w:sz w:val="24"/>
            <w:szCs w:val="24"/>
            <w14:ligatures w14:val="standardContextual"/>
          </w:rPr>
          <w:tab/>
        </w:r>
        <w:r w:rsidR="00D70F9D" w:rsidRPr="008D3E37">
          <w:rPr>
            <w:rStyle w:val="Hyperlink"/>
            <w:noProof/>
          </w:rPr>
          <w:t xml:space="preserve">The </w:t>
        </w:r>
        <w:r w:rsidR="00D70F9D" w:rsidRPr="008D3E37">
          <w:rPr>
            <w:rStyle w:val="Hyperlink"/>
            <w:i/>
            <w:noProof/>
          </w:rPr>
          <w:t>Bruton</w:t>
        </w:r>
        <w:r w:rsidR="00D70F9D" w:rsidRPr="008D3E37">
          <w:rPr>
            <w:rStyle w:val="Hyperlink"/>
            <w:noProof/>
          </w:rPr>
          <w:t xml:space="preserve"> Rule</w:t>
        </w:r>
        <w:r w:rsidR="00D70F9D">
          <w:rPr>
            <w:noProof/>
            <w:webHidden/>
          </w:rPr>
          <w:tab/>
        </w:r>
        <w:r w:rsidR="00D70F9D">
          <w:rPr>
            <w:noProof/>
            <w:webHidden/>
          </w:rPr>
          <w:fldChar w:fldCharType="begin"/>
        </w:r>
        <w:r w:rsidR="00D70F9D">
          <w:rPr>
            <w:noProof/>
            <w:webHidden/>
          </w:rPr>
          <w:instrText xml:space="preserve"> PAGEREF _Toc197095998 \h </w:instrText>
        </w:r>
        <w:r w:rsidR="00D70F9D">
          <w:rPr>
            <w:noProof/>
            <w:webHidden/>
          </w:rPr>
        </w:r>
        <w:r w:rsidR="00D70F9D">
          <w:rPr>
            <w:noProof/>
            <w:webHidden/>
          </w:rPr>
          <w:fldChar w:fldCharType="separate"/>
        </w:r>
        <w:r w:rsidR="00D70F9D">
          <w:rPr>
            <w:noProof/>
            <w:webHidden/>
          </w:rPr>
          <w:t>1</w:t>
        </w:r>
        <w:r w:rsidR="00D70F9D">
          <w:rPr>
            <w:noProof/>
            <w:webHidden/>
          </w:rPr>
          <w:fldChar w:fldCharType="end"/>
        </w:r>
      </w:hyperlink>
    </w:p>
    <w:p w14:paraId="25E86C1A" w14:textId="1E7B981B"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5999" w:history="1">
        <w:r w:rsidRPr="008D3E37">
          <w:rPr>
            <w:rStyle w:val="Hyperlink"/>
            <w:noProof/>
          </w:rPr>
          <w:t>A.</w:t>
        </w:r>
        <w:r>
          <w:rPr>
            <w:rFonts w:asciiTheme="minorHAnsi" w:eastAsiaTheme="minorEastAsia" w:hAnsiTheme="minorHAnsi" w:cstheme="minorBidi"/>
            <w:noProof/>
            <w:kern w:val="2"/>
            <w:sz w:val="24"/>
            <w:szCs w:val="24"/>
            <w14:ligatures w14:val="standardContextual"/>
          </w:rPr>
          <w:tab/>
        </w:r>
        <w:r w:rsidRPr="008D3E37">
          <w:rPr>
            <w:rStyle w:val="Hyperlink"/>
            <w:noProof/>
          </w:rPr>
          <w:t>Generally</w:t>
        </w:r>
        <w:r>
          <w:rPr>
            <w:noProof/>
            <w:webHidden/>
          </w:rPr>
          <w:tab/>
        </w:r>
        <w:r>
          <w:rPr>
            <w:noProof/>
            <w:webHidden/>
          </w:rPr>
          <w:fldChar w:fldCharType="begin"/>
        </w:r>
        <w:r>
          <w:rPr>
            <w:noProof/>
            <w:webHidden/>
          </w:rPr>
          <w:instrText xml:space="preserve"> PAGEREF _Toc197095999 \h </w:instrText>
        </w:r>
        <w:r>
          <w:rPr>
            <w:noProof/>
            <w:webHidden/>
          </w:rPr>
        </w:r>
        <w:r>
          <w:rPr>
            <w:noProof/>
            <w:webHidden/>
          </w:rPr>
          <w:fldChar w:fldCharType="separate"/>
        </w:r>
        <w:r>
          <w:rPr>
            <w:noProof/>
            <w:webHidden/>
          </w:rPr>
          <w:t>1</w:t>
        </w:r>
        <w:r>
          <w:rPr>
            <w:noProof/>
            <w:webHidden/>
          </w:rPr>
          <w:fldChar w:fldCharType="end"/>
        </w:r>
      </w:hyperlink>
    </w:p>
    <w:p w14:paraId="6087FA75" w14:textId="6A8089CC"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0" w:history="1">
        <w:r w:rsidRPr="008D3E37">
          <w:rPr>
            <w:rStyle w:val="Hyperlink"/>
            <w:noProof/>
          </w:rPr>
          <w:t>B.</w:t>
        </w:r>
        <w:r>
          <w:rPr>
            <w:rFonts w:asciiTheme="minorHAnsi" w:eastAsiaTheme="minorEastAsia" w:hAnsiTheme="minorHAnsi" w:cstheme="minorBidi"/>
            <w:noProof/>
            <w:kern w:val="2"/>
            <w:sz w:val="24"/>
            <w:szCs w:val="24"/>
            <w14:ligatures w14:val="standardContextual"/>
          </w:rPr>
          <w:tab/>
        </w:r>
        <w:r w:rsidRPr="008D3E37">
          <w:rPr>
            <w:rStyle w:val="Hyperlink"/>
            <w:noProof/>
          </w:rPr>
          <w:t xml:space="preserve">Implications of </w:t>
        </w:r>
        <w:r w:rsidRPr="008D3E37">
          <w:rPr>
            <w:rStyle w:val="Hyperlink"/>
            <w:i/>
            <w:noProof/>
          </w:rPr>
          <w:t>Crawford</w:t>
        </w:r>
        <w:r w:rsidRPr="008D3E37">
          <w:rPr>
            <w:rStyle w:val="Hyperlink"/>
            <w:noProof/>
          </w:rPr>
          <w:t xml:space="preserve"> on the </w:t>
        </w:r>
        <w:r w:rsidRPr="008D3E37">
          <w:rPr>
            <w:rStyle w:val="Hyperlink"/>
            <w:i/>
            <w:noProof/>
          </w:rPr>
          <w:t>Bruton</w:t>
        </w:r>
        <w:r w:rsidRPr="008D3E37">
          <w:rPr>
            <w:rStyle w:val="Hyperlink"/>
            <w:noProof/>
          </w:rPr>
          <w:t xml:space="preserve"> Rule</w:t>
        </w:r>
        <w:r>
          <w:rPr>
            <w:noProof/>
            <w:webHidden/>
          </w:rPr>
          <w:tab/>
        </w:r>
        <w:r>
          <w:rPr>
            <w:noProof/>
            <w:webHidden/>
          </w:rPr>
          <w:fldChar w:fldCharType="begin"/>
        </w:r>
        <w:r>
          <w:rPr>
            <w:noProof/>
            <w:webHidden/>
          </w:rPr>
          <w:instrText xml:space="preserve"> PAGEREF _Toc197096000 \h </w:instrText>
        </w:r>
        <w:r>
          <w:rPr>
            <w:noProof/>
            <w:webHidden/>
          </w:rPr>
        </w:r>
        <w:r>
          <w:rPr>
            <w:noProof/>
            <w:webHidden/>
          </w:rPr>
          <w:fldChar w:fldCharType="separate"/>
        </w:r>
        <w:r>
          <w:rPr>
            <w:noProof/>
            <w:webHidden/>
          </w:rPr>
          <w:t>2</w:t>
        </w:r>
        <w:r>
          <w:rPr>
            <w:noProof/>
            <w:webHidden/>
          </w:rPr>
          <w:fldChar w:fldCharType="end"/>
        </w:r>
      </w:hyperlink>
    </w:p>
    <w:p w14:paraId="5BA0529D" w14:textId="74B49B99"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1" w:history="1">
        <w:r w:rsidRPr="008D3E37">
          <w:rPr>
            <w:rStyle w:val="Hyperlink"/>
            <w:noProof/>
          </w:rPr>
          <w:t>C.</w:t>
        </w:r>
        <w:r>
          <w:rPr>
            <w:rFonts w:asciiTheme="minorHAnsi" w:eastAsiaTheme="minorEastAsia" w:hAnsiTheme="minorHAnsi" w:cstheme="minorBidi"/>
            <w:noProof/>
            <w:kern w:val="2"/>
            <w:sz w:val="24"/>
            <w:szCs w:val="24"/>
            <w14:ligatures w14:val="standardContextual"/>
          </w:rPr>
          <w:tab/>
        </w:r>
        <w:r w:rsidRPr="008D3E37">
          <w:rPr>
            <w:rStyle w:val="Hyperlink"/>
            <w:noProof/>
          </w:rPr>
          <w:t>Statement Must Directly Incriminate</w:t>
        </w:r>
        <w:r>
          <w:rPr>
            <w:noProof/>
            <w:webHidden/>
          </w:rPr>
          <w:tab/>
        </w:r>
        <w:r>
          <w:rPr>
            <w:noProof/>
            <w:webHidden/>
          </w:rPr>
          <w:fldChar w:fldCharType="begin"/>
        </w:r>
        <w:r>
          <w:rPr>
            <w:noProof/>
            <w:webHidden/>
          </w:rPr>
          <w:instrText xml:space="preserve"> PAGEREF _Toc197096001 \h </w:instrText>
        </w:r>
        <w:r>
          <w:rPr>
            <w:noProof/>
            <w:webHidden/>
          </w:rPr>
        </w:r>
        <w:r>
          <w:rPr>
            <w:noProof/>
            <w:webHidden/>
          </w:rPr>
          <w:fldChar w:fldCharType="separate"/>
        </w:r>
        <w:r>
          <w:rPr>
            <w:noProof/>
            <w:webHidden/>
          </w:rPr>
          <w:t>4</w:t>
        </w:r>
        <w:r>
          <w:rPr>
            <w:noProof/>
            <w:webHidden/>
          </w:rPr>
          <w:fldChar w:fldCharType="end"/>
        </w:r>
      </w:hyperlink>
    </w:p>
    <w:p w14:paraId="308E3165" w14:textId="5C4A331F"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2" w:history="1">
        <w:r w:rsidRPr="008D3E37">
          <w:rPr>
            <w:rStyle w:val="Hyperlink"/>
            <w:noProof/>
          </w:rPr>
          <w:t>D.</w:t>
        </w:r>
        <w:r>
          <w:rPr>
            <w:rFonts w:asciiTheme="minorHAnsi" w:eastAsiaTheme="minorEastAsia" w:hAnsiTheme="minorHAnsi" w:cstheme="minorBidi"/>
            <w:noProof/>
            <w:kern w:val="2"/>
            <w:sz w:val="24"/>
            <w:szCs w:val="24"/>
            <w14:ligatures w14:val="standardContextual"/>
          </w:rPr>
          <w:tab/>
        </w:r>
        <w:r w:rsidRPr="008D3E37">
          <w:rPr>
            <w:rStyle w:val="Hyperlink"/>
            <w:noProof/>
          </w:rPr>
          <w:t>Redaction</w:t>
        </w:r>
        <w:r>
          <w:rPr>
            <w:noProof/>
            <w:webHidden/>
          </w:rPr>
          <w:tab/>
        </w:r>
        <w:r>
          <w:rPr>
            <w:noProof/>
            <w:webHidden/>
          </w:rPr>
          <w:fldChar w:fldCharType="begin"/>
        </w:r>
        <w:r>
          <w:rPr>
            <w:noProof/>
            <w:webHidden/>
          </w:rPr>
          <w:instrText xml:space="preserve"> PAGEREF _Toc197096002 \h </w:instrText>
        </w:r>
        <w:r>
          <w:rPr>
            <w:noProof/>
            <w:webHidden/>
          </w:rPr>
        </w:r>
        <w:r>
          <w:rPr>
            <w:noProof/>
            <w:webHidden/>
          </w:rPr>
          <w:fldChar w:fldCharType="separate"/>
        </w:r>
        <w:r>
          <w:rPr>
            <w:noProof/>
            <w:webHidden/>
          </w:rPr>
          <w:t>5</w:t>
        </w:r>
        <w:r>
          <w:rPr>
            <w:noProof/>
            <w:webHidden/>
          </w:rPr>
          <w:fldChar w:fldCharType="end"/>
        </w:r>
      </w:hyperlink>
    </w:p>
    <w:p w14:paraId="5A09B9CB" w14:textId="5AA9BA15"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3" w:history="1">
        <w:r w:rsidRPr="008D3E37">
          <w:rPr>
            <w:rStyle w:val="Hyperlink"/>
            <w:noProof/>
          </w:rPr>
          <w:t>E.</w:t>
        </w:r>
        <w:r>
          <w:rPr>
            <w:rFonts w:asciiTheme="minorHAnsi" w:eastAsiaTheme="minorEastAsia" w:hAnsiTheme="minorHAnsi" w:cstheme="minorBidi"/>
            <w:noProof/>
            <w:kern w:val="2"/>
            <w:sz w:val="24"/>
            <w:szCs w:val="24"/>
            <w14:ligatures w14:val="standardContextual"/>
          </w:rPr>
          <w:tab/>
        </w:r>
        <w:r w:rsidRPr="008D3E37">
          <w:rPr>
            <w:rStyle w:val="Hyperlink"/>
            <w:noProof/>
          </w:rPr>
          <w:t>Limiting Instruction</w:t>
        </w:r>
        <w:r>
          <w:rPr>
            <w:noProof/>
            <w:webHidden/>
          </w:rPr>
          <w:tab/>
        </w:r>
        <w:r>
          <w:rPr>
            <w:noProof/>
            <w:webHidden/>
          </w:rPr>
          <w:fldChar w:fldCharType="begin"/>
        </w:r>
        <w:r>
          <w:rPr>
            <w:noProof/>
            <w:webHidden/>
          </w:rPr>
          <w:instrText xml:space="preserve"> PAGEREF _Toc197096003 \h </w:instrText>
        </w:r>
        <w:r>
          <w:rPr>
            <w:noProof/>
            <w:webHidden/>
          </w:rPr>
        </w:r>
        <w:r>
          <w:rPr>
            <w:noProof/>
            <w:webHidden/>
          </w:rPr>
          <w:fldChar w:fldCharType="separate"/>
        </w:r>
        <w:r>
          <w:rPr>
            <w:noProof/>
            <w:webHidden/>
          </w:rPr>
          <w:t>7</w:t>
        </w:r>
        <w:r>
          <w:rPr>
            <w:noProof/>
            <w:webHidden/>
          </w:rPr>
          <w:fldChar w:fldCharType="end"/>
        </w:r>
      </w:hyperlink>
    </w:p>
    <w:p w14:paraId="4229933D" w14:textId="1FE0DAF3"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4" w:history="1">
        <w:r w:rsidRPr="008D3E37">
          <w:rPr>
            <w:rStyle w:val="Hyperlink"/>
            <w:noProof/>
          </w:rPr>
          <w:t>F.</w:t>
        </w:r>
        <w:r>
          <w:rPr>
            <w:rFonts w:asciiTheme="minorHAnsi" w:eastAsiaTheme="minorEastAsia" w:hAnsiTheme="minorHAnsi" w:cstheme="minorBidi"/>
            <w:noProof/>
            <w:kern w:val="2"/>
            <w:sz w:val="24"/>
            <w:szCs w:val="24"/>
            <w14:ligatures w14:val="standardContextual"/>
          </w:rPr>
          <w:tab/>
        </w:r>
        <w:r w:rsidRPr="008D3E37">
          <w:rPr>
            <w:rStyle w:val="Hyperlink"/>
            <w:noProof/>
          </w:rPr>
          <w:t>When Adequate Redaction is Not Possible</w:t>
        </w:r>
        <w:r>
          <w:rPr>
            <w:noProof/>
            <w:webHidden/>
          </w:rPr>
          <w:tab/>
        </w:r>
        <w:r>
          <w:rPr>
            <w:noProof/>
            <w:webHidden/>
          </w:rPr>
          <w:fldChar w:fldCharType="begin"/>
        </w:r>
        <w:r>
          <w:rPr>
            <w:noProof/>
            <w:webHidden/>
          </w:rPr>
          <w:instrText xml:space="preserve"> PAGEREF _Toc197096004 \h </w:instrText>
        </w:r>
        <w:r>
          <w:rPr>
            <w:noProof/>
            <w:webHidden/>
          </w:rPr>
        </w:r>
        <w:r>
          <w:rPr>
            <w:noProof/>
            <w:webHidden/>
          </w:rPr>
          <w:fldChar w:fldCharType="separate"/>
        </w:r>
        <w:r>
          <w:rPr>
            <w:noProof/>
            <w:webHidden/>
          </w:rPr>
          <w:t>7</w:t>
        </w:r>
        <w:r>
          <w:rPr>
            <w:noProof/>
            <w:webHidden/>
          </w:rPr>
          <w:fldChar w:fldCharType="end"/>
        </w:r>
      </w:hyperlink>
    </w:p>
    <w:p w14:paraId="5002539D" w14:textId="41AF95AD" w:rsidR="00D70F9D" w:rsidRDefault="00D70F9D">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7096005" w:history="1">
        <w:r w:rsidRPr="008D3E37">
          <w:rPr>
            <w:rStyle w:val="Hyperlink"/>
            <w:noProof/>
          </w:rPr>
          <w:t>II.</w:t>
        </w:r>
        <w:r>
          <w:rPr>
            <w:rFonts w:asciiTheme="minorHAnsi" w:eastAsiaTheme="minorEastAsia" w:hAnsiTheme="minorHAnsi" w:cstheme="minorBidi"/>
            <w:noProof/>
            <w:kern w:val="2"/>
            <w:sz w:val="24"/>
            <w:szCs w:val="24"/>
            <w14:ligatures w14:val="standardContextual"/>
          </w:rPr>
          <w:tab/>
        </w:r>
        <w:r w:rsidRPr="008D3E37">
          <w:rPr>
            <w:rStyle w:val="Hyperlink"/>
            <w:noProof/>
          </w:rPr>
          <w:t>Exceptions.</w:t>
        </w:r>
        <w:r>
          <w:rPr>
            <w:noProof/>
            <w:webHidden/>
          </w:rPr>
          <w:tab/>
        </w:r>
        <w:r>
          <w:rPr>
            <w:noProof/>
            <w:webHidden/>
          </w:rPr>
          <w:fldChar w:fldCharType="begin"/>
        </w:r>
        <w:r>
          <w:rPr>
            <w:noProof/>
            <w:webHidden/>
          </w:rPr>
          <w:instrText xml:space="preserve"> PAGEREF _Toc197096005 \h </w:instrText>
        </w:r>
        <w:r>
          <w:rPr>
            <w:noProof/>
            <w:webHidden/>
          </w:rPr>
        </w:r>
        <w:r>
          <w:rPr>
            <w:noProof/>
            <w:webHidden/>
          </w:rPr>
          <w:fldChar w:fldCharType="separate"/>
        </w:r>
        <w:r>
          <w:rPr>
            <w:noProof/>
            <w:webHidden/>
          </w:rPr>
          <w:t>7</w:t>
        </w:r>
        <w:r>
          <w:rPr>
            <w:noProof/>
            <w:webHidden/>
          </w:rPr>
          <w:fldChar w:fldCharType="end"/>
        </w:r>
      </w:hyperlink>
    </w:p>
    <w:p w14:paraId="044EA0AE" w14:textId="0D91352A"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6" w:history="1">
        <w:r w:rsidRPr="008D3E37">
          <w:rPr>
            <w:rStyle w:val="Hyperlink"/>
            <w:noProof/>
          </w:rPr>
          <w:t>A.</w:t>
        </w:r>
        <w:r>
          <w:rPr>
            <w:rFonts w:asciiTheme="minorHAnsi" w:eastAsiaTheme="minorEastAsia" w:hAnsiTheme="minorHAnsi" w:cstheme="minorBidi"/>
            <w:noProof/>
            <w:kern w:val="2"/>
            <w:sz w:val="24"/>
            <w:szCs w:val="24"/>
            <w14:ligatures w14:val="standardContextual"/>
          </w:rPr>
          <w:tab/>
        </w:r>
        <w:r w:rsidRPr="008D3E37">
          <w:rPr>
            <w:rStyle w:val="Hyperlink"/>
            <w:noProof/>
          </w:rPr>
          <w:t>Hears</w:t>
        </w:r>
        <w:r w:rsidRPr="008D3E37">
          <w:rPr>
            <w:rStyle w:val="Hyperlink"/>
            <w:noProof/>
          </w:rPr>
          <w:t>a</w:t>
        </w:r>
        <w:r w:rsidRPr="008D3E37">
          <w:rPr>
            <w:rStyle w:val="Hyperlink"/>
            <w:noProof/>
          </w:rPr>
          <w:t>y Rules</w:t>
        </w:r>
        <w:r>
          <w:rPr>
            <w:noProof/>
            <w:webHidden/>
          </w:rPr>
          <w:tab/>
        </w:r>
        <w:r>
          <w:rPr>
            <w:noProof/>
            <w:webHidden/>
          </w:rPr>
          <w:fldChar w:fldCharType="begin"/>
        </w:r>
        <w:r>
          <w:rPr>
            <w:noProof/>
            <w:webHidden/>
          </w:rPr>
          <w:instrText xml:space="preserve"> PAGEREF _Toc197096006 \h </w:instrText>
        </w:r>
        <w:r>
          <w:rPr>
            <w:noProof/>
            <w:webHidden/>
          </w:rPr>
        </w:r>
        <w:r>
          <w:rPr>
            <w:noProof/>
            <w:webHidden/>
          </w:rPr>
          <w:fldChar w:fldCharType="separate"/>
        </w:r>
        <w:r>
          <w:rPr>
            <w:noProof/>
            <w:webHidden/>
          </w:rPr>
          <w:t>7</w:t>
        </w:r>
        <w:r>
          <w:rPr>
            <w:noProof/>
            <w:webHidden/>
          </w:rPr>
          <w:fldChar w:fldCharType="end"/>
        </w:r>
      </w:hyperlink>
    </w:p>
    <w:p w14:paraId="5776E33D" w14:textId="112389E8" w:rsidR="00D70F9D" w:rsidRDefault="00D70F9D">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97096007" w:history="1">
        <w:r w:rsidRPr="008D3E37">
          <w:rPr>
            <w:rStyle w:val="Hyperlink"/>
            <w:noProof/>
          </w:rPr>
          <w:t>B.</w:t>
        </w:r>
        <w:r>
          <w:rPr>
            <w:rFonts w:asciiTheme="minorHAnsi" w:eastAsiaTheme="minorEastAsia" w:hAnsiTheme="minorHAnsi" w:cstheme="minorBidi"/>
            <w:noProof/>
            <w:kern w:val="2"/>
            <w:sz w:val="24"/>
            <w:szCs w:val="24"/>
            <w14:ligatures w14:val="standardContextual"/>
          </w:rPr>
          <w:tab/>
        </w:r>
        <w:r w:rsidRPr="008D3E37">
          <w:rPr>
            <w:rStyle w:val="Hyperlink"/>
            <w:noProof/>
          </w:rPr>
          <w:t>Declarant Takes the Stand</w:t>
        </w:r>
        <w:r>
          <w:rPr>
            <w:noProof/>
            <w:webHidden/>
          </w:rPr>
          <w:tab/>
        </w:r>
        <w:r>
          <w:rPr>
            <w:noProof/>
            <w:webHidden/>
          </w:rPr>
          <w:fldChar w:fldCharType="begin"/>
        </w:r>
        <w:r>
          <w:rPr>
            <w:noProof/>
            <w:webHidden/>
          </w:rPr>
          <w:instrText xml:space="preserve"> PAGEREF _Toc197096007 \h </w:instrText>
        </w:r>
        <w:r>
          <w:rPr>
            <w:noProof/>
            <w:webHidden/>
          </w:rPr>
        </w:r>
        <w:r>
          <w:rPr>
            <w:noProof/>
            <w:webHidden/>
          </w:rPr>
          <w:fldChar w:fldCharType="separate"/>
        </w:r>
        <w:r>
          <w:rPr>
            <w:noProof/>
            <w:webHidden/>
          </w:rPr>
          <w:t>8</w:t>
        </w:r>
        <w:r>
          <w:rPr>
            <w:noProof/>
            <w:webHidden/>
          </w:rPr>
          <w:fldChar w:fldCharType="end"/>
        </w:r>
      </w:hyperlink>
    </w:p>
    <w:p w14:paraId="06F88590" w14:textId="5147E641" w:rsidR="00D70F9D" w:rsidRDefault="00D70F9D">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7096008" w:history="1">
        <w:r w:rsidRPr="008D3E37">
          <w:rPr>
            <w:rStyle w:val="Hyperlink"/>
            <w:noProof/>
            <w:specVanish/>
          </w:rPr>
          <w:t>III.</w:t>
        </w:r>
        <w:r>
          <w:rPr>
            <w:rFonts w:asciiTheme="minorHAnsi" w:eastAsiaTheme="minorEastAsia" w:hAnsiTheme="minorHAnsi" w:cstheme="minorBidi"/>
            <w:noProof/>
            <w:kern w:val="2"/>
            <w:sz w:val="24"/>
            <w:szCs w:val="24"/>
            <w14:ligatures w14:val="standardContextual"/>
          </w:rPr>
          <w:tab/>
        </w:r>
        <w:r w:rsidRPr="008D3E37">
          <w:rPr>
            <w:rStyle w:val="Hyperlink"/>
            <w:noProof/>
          </w:rPr>
          <w:t>Defendant’s Objection to Joinder.</w:t>
        </w:r>
        <w:r>
          <w:rPr>
            <w:noProof/>
            <w:webHidden/>
          </w:rPr>
          <w:tab/>
        </w:r>
        <w:r>
          <w:rPr>
            <w:noProof/>
            <w:webHidden/>
          </w:rPr>
          <w:fldChar w:fldCharType="begin"/>
        </w:r>
        <w:r>
          <w:rPr>
            <w:noProof/>
            <w:webHidden/>
          </w:rPr>
          <w:instrText xml:space="preserve"> PAGEREF _Toc197096008 \h </w:instrText>
        </w:r>
        <w:r>
          <w:rPr>
            <w:noProof/>
            <w:webHidden/>
          </w:rPr>
        </w:r>
        <w:r>
          <w:rPr>
            <w:noProof/>
            <w:webHidden/>
          </w:rPr>
          <w:fldChar w:fldCharType="separate"/>
        </w:r>
        <w:r>
          <w:rPr>
            <w:noProof/>
            <w:webHidden/>
          </w:rPr>
          <w:t>8</w:t>
        </w:r>
        <w:r>
          <w:rPr>
            <w:noProof/>
            <w:webHidden/>
          </w:rPr>
          <w:fldChar w:fldCharType="end"/>
        </w:r>
      </w:hyperlink>
    </w:p>
    <w:p w14:paraId="2DBAC052" w14:textId="07289618" w:rsidR="00C279D7" w:rsidRDefault="00B21B58" w:rsidP="00C279D7">
      <w:pPr>
        <w:spacing w:after="0" w:line="240" w:lineRule="auto"/>
        <w:rPr>
          <w:rFonts w:ascii="Arial" w:hAnsi="Arial" w:cs="Arial"/>
          <w:b/>
          <w:bCs/>
        </w:rPr>
      </w:pPr>
      <w:r>
        <w:rPr>
          <w:rFonts w:ascii="Arial" w:hAnsi="Arial" w:cs="Arial"/>
          <w:b/>
          <w:bCs/>
        </w:rPr>
        <w:fldChar w:fldCharType="end"/>
      </w:r>
    </w:p>
    <w:p w14:paraId="7070CBB9" w14:textId="77777777" w:rsidR="00C279D7" w:rsidRPr="00C279D7" w:rsidRDefault="00C279D7" w:rsidP="00C279D7">
      <w:pPr>
        <w:spacing w:after="0" w:line="240" w:lineRule="auto"/>
        <w:rPr>
          <w:rFonts w:ascii="Arial" w:hAnsi="Arial" w:cs="Arial"/>
          <w:b/>
          <w:bCs/>
        </w:rPr>
      </w:pPr>
    </w:p>
    <w:p w14:paraId="3244726B" w14:textId="77777777" w:rsidR="005A38D0" w:rsidRPr="00C43B52" w:rsidRDefault="005A38D0" w:rsidP="00EF791F">
      <w:pPr>
        <w:pStyle w:val="ListParagraph"/>
        <w:numPr>
          <w:ilvl w:val="0"/>
          <w:numId w:val="1"/>
        </w:numPr>
        <w:spacing w:after="0" w:line="240" w:lineRule="auto"/>
        <w:ind w:left="720"/>
        <w:rPr>
          <w:rFonts w:ascii="Arial" w:hAnsi="Arial" w:cs="Arial"/>
          <w:b/>
          <w:bCs/>
        </w:rPr>
      </w:pPr>
      <w:bookmarkStart w:id="0" w:name="_Toc197095998"/>
      <w:r w:rsidRPr="00C279D7">
        <w:rPr>
          <w:rStyle w:val="Heading1Char"/>
        </w:rPr>
        <w:t xml:space="preserve">The </w:t>
      </w:r>
      <w:r w:rsidRPr="00C279D7">
        <w:rPr>
          <w:rStyle w:val="Heading1Char"/>
          <w:i/>
        </w:rPr>
        <w:t>Bruton</w:t>
      </w:r>
      <w:r w:rsidRPr="00C279D7">
        <w:rPr>
          <w:rStyle w:val="Heading1Char"/>
        </w:rPr>
        <w:t xml:space="preserve"> Rule</w:t>
      </w:r>
      <w:bookmarkEnd w:id="0"/>
      <w:r w:rsidRPr="00C43B52">
        <w:rPr>
          <w:rFonts w:ascii="Arial" w:hAnsi="Arial" w:cs="Arial"/>
          <w:b/>
          <w:bCs/>
        </w:rPr>
        <w:t>.</w:t>
      </w:r>
    </w:p>
    <w:p w14:paraId="06E6303E" w14:textId="15976E96" w:rsidR="005A38D0" w:rsidRPr="00C43B52" w:rsidRDefault="005A38D0" w:rsidP="00EF791F">
      <w:pPr>
        <w:pStyle w:val="ListParagraph"/>
        <w:numPr>
          <w:ilvl w:val="0"/>
          <w:numId w:val="3"/>
        </w:numPr>
        <w:spacing w:after="0" w:line="240" w:lineRule="auto"/>
        <w:ind w:left="1440" w:hanging="720"/>
        <w:rPr>
          <w:rFonts w:ascii="Arial" w:hAnsi="Arial" w:cs="Arial"/>
          <w:b/>
          <w:bCs/>
        </w:rPr>
      </w:pPr>
      <w:bookmarkStart w:id="1" w:name="_Toc197095999"/>
      <w:r w:rsidRPr="00C279D7">
        <w:rPr>
          <w:rStyle w:val="Heading2Char"/>
        </w:rPr>
        <w:t>Generally</w:t>
      </w:r>
      <w:bookmarkEnd w:id="1"/>
      <w:r w:rsidRPr="00C43B52">
        <w:rPr>
          <w:rFonts w:ascii="Arial" w:hAnsi="Arial" w:cs="Arial"/>
          <w:b/>
          <w:bCs/>
        </w:rPr>
        <w:t xml:space="preserve">. </w:t>
      </w:r>
      <w:r w:rsidRPr="00C43B52">
        <w:rPr>
          <w:rFonts w:ascii="Arial" w:hAnsi="Arial" w:cs="Arial"/>
        </w:rPr>
        <w:t xml:space="preserve">In </w:t>
      </w:r>
      <w:r w:rsidRPr="00C43B52">
        <w:rPr>
          <w:rFonts w:ascii="Arial" w:hAnsi="Arial" w:cs="Arial"/>
          <w:i/>
          <w:iCs/>
        </w:rPr>
        <w:t>Bruton v. United States</w:t>
      </w:r>
      <w:r w:rsidRPr="00C43B52">
        <w:rPr>
          <w:rFonts w:ascii="Arial" w:hAnsi="Arial" w:cs="Arial"/>
        </w:rPr>
        <w:t>, 391 U.S. 123 (1968), the U</w:t>
      </w:r>
      <w:r w:rsidR="00CD3251">
        <w:rPr>
          <w:rFonts w:ascii="Arial" w:hAnsi="Arial" w:cs="Arial"/>
        </w:rPr>
        <w:t xml:space="preserve">nited </w:t>
      </w:r>
      <w:r w:rsidRPr="00C43B52">
        <w:rPr>
          <w:rFonts w:ascii="Arial" w:hAnsi="Arial" w:cs="Arial"/>
        </w:rPr>
        <w:t>S</w:t>
      </w:r>
      <w:r w:rsidR="00CD3251">
        <w:rPr>
          <w:rFonts w:ascii="Arial" w:hAnsi="Arial" w:cs="Arial"/>
        </w:rPr>
        <w:t>tates</w:t>
      </w:r>
      <w:r w:rsidRPr="00C43B52">
        <w:rPr>
          <w:rFonts w:ascii="Arial" w:hAnsi="Arial" w:cs="Arial"/>
        </w:rPr>
        <w:t xml:space="preserve"> Supreme Court held that a defendant's confrontation clause rights are violated when a non-testifying codefendant's confession naming the defendant as a participant in the crime is introduced at their joint trial</w:t>
      </w:r>
      <w:r w:rsidR="00CD3251">
        <w:rPr>
          <w:rFonts w:ascii="Arial" w:hAnsi="Arial" w:cs="Arial"/>
        </w:rPr>
        <w:t xml:space="preserve"> for use against the codefendant</w:t>
      </w:r>
      <w:r w:rsidRPr="00C43B52">
        <w:rPr>
          <w:rFonts w:ascii="Arial" w:hAnsi="Arial" w:cs="Arial"/>
        </w:rPr>
        <w:t xml:space="preserve">, even if the jury is instructed </w:t>
      </w:r>
      <w:r w:rsidR="00CD3251">
        <w:rPr>
          <w:rFonts w:ascii="Arial" w:hAnsi="Arial" w:cs="Arial"/>
        </w:rPr>
        <w:t xml:space="preserve">not </w:t>
      </w:r>
      <w:r w:rsidRPr="00C43B52">
        <w:rPr>
          <w:rFonts w:ascii="Arial" w:hAnsi="Arial" w:cs="Arial"/>
        </w:rPr>
        <w:t xml:space="preserve">to consider the confession against the defendant. </w:t>
      </w:r>
      <w:r w:rsidRPr="00C43B52">
        <w:rPr>
          <w:rFonts w:ascii="Arial" w:hAnsi="Arial" w:cs="Arial"/>
          <w:i/>
          <w:iCs/>
        </w:rPr>
        <w:t xml:space="preserve">See also </w:t>
      </w:r>
      <w:r w:rsidRPr="00C43B52">
        <w:rPr>
          <w:rFonts w:ascii="Arial" w:hAnsi="Arial" w:cs="Arial"/>
        </w:rPr>
        <w:t>Richardson v. Marsh, 481 U.S. 200, 201-02 (1987) (so stating the rule); State v. Brewington, 352 N.C. 489, 507 (2000) (same). The Court explained:</w:t>
      </w:r>
    </w:p>
    <w:p w14:paraId="47D564EF" w14:textId="77777777" w:rsidR="005A38D0" w:rsidRPr="00C43B52" w:rsidRDefault="005A38D0" w:rsidP="005F3395">
      <w:pPr>
        <w:pStyle w:val="ListParagraph"/>
        <w:spacing w:after="0" w:line="240" w:lineRule="auto"/>
        <w:rPr>
          <w:rFonts w:ascii="Arial" w:hAnsi="Arial" w:cs="Arial"/>
          <w:b/>
          <w:bCs/>
        </w:rPr>
      </w:pPr>
    </w:p>
    <w:p w14:paraId="608DF752" w14:textId="77777777" w:rsidR="005A38D0" w:rsidRPr="00C43B52" w:rsidRDefault="005A38D0" w:rsidP="00EF791F">
      <w:pPr>
        <w:pStyle w:val="ListParagraph"/>
        <w:spacing w:after="0" w:line="240" w:lineRule="auto"/>
        <w:ind w:left="2160" w:right="1440"/>
        <w:rPr>
          <w:rFonts w:ascii="Arial" w:hAnsi="Arial" w:cs="Arial"/>
        </w:rPr>
      </w:pPr>
      <w:r w:rsidRPr="00C43B52">
        <w:rPr>
          <w:rFonts w:ascii="Arial" w:hAnsi="Arial" w:cs="Arial"/>
        </w:rPr>
        <w:t xml:space="preserve">[T]here are some contexts in which the risk that the jury will not, or cannot, follow instructions is so great, and the consequences of failure so vital to the defendant, that the practical and human limitations of the jury system cannot be ignored. Such a context is presented here, where the powerfully incriminating extrajudicial statements of a codefendant, who stands accused side-by-side with the defendant, are deliberately spread before the jury in a joint trial. Not only are the incriminations devastating to the </w:t>
      </w:r>
      <w:proofErr w:type="gramStart"/>
      <w:r w:rsidRPr="00C43B52">
        <w:rPr>
          <w:rFonts w:ascii="Arial" w:hAnsi="Arial" w:cs="Arial"/>
        </w:rPr>
        <w:t>defendant</w:t>
      </w:r>
      <w:proofErr w:type="gramEnd"/>
      <w:r w:rsidRPr="00C43B52">
        <w:rPr>
          <w:rFonts w:ascii="Arial" w:hAnsi="Arial" w:cs="Arial"/>
        </w:rPr>
        <w:t xml:space="preserve"> but their credibility is inevitably suspect, a fact recognized when accomplices do take the stand and the jury is instructed to weigh their testimony carefully given the recognized motivation to shift blame onto other.</w:t>
      </w:r>
    </w:p>
    <w:p w14:paraId="4155DE1B" w14:textId="77777777" w:rsidR="005A38D0" w:rsidRPr="00C43B52" w:rsidRDefault="005A38D0" w:rsidP="005F3395">
      <w:pPr>
        <w:pStyle w:val="ListParagraph"/>
        <w:spacing w:after="0" w:line="240" w:lineRule="auto"/>
        <w:rPr>
          <w:rFonts w:ascii="Arial" w:hAnsi="Arial" w:cs="Arial"/>
          <w:b/>
          <w:bCs/>
        </w:rPr>
      </w:pPr>
    </w:p>
    <w:p w14:paraId="16367911" w14:textId="77777777" w:rsidR="005A38D0" w:rsidRPr="00C43B52" w:rsidRDefault="005A38D0" w:rsidP="00EF791F">
      <w:pPr>
        <w:pStyle w:val="ListParagraph"/>
        <w:spacing w:after="0" w:line="240" w:lineRule="auto"/>
        <w:ind w:left="1440"/>
        <w:rPr>
          <w:rFonts w:ascii="Arial" w:hAnsi="Arial" w:cs="Arial"/>
        </w:rPr>
      </w:pPr>
      <w:r w:rsidRPr="00C43B52">
        <w:rPr>
          <w:rFonts w:ascii="Arial" w:hAnsi="Arial" w:cs="Arial"/>
          <w:i/>
          <w:iCs/>
        </w:rPr>
        <w:t xml:space="preserve">Bruton, </w:t>
      </w:r>
      <w:r w:rsidRPr="00C43B52">
        <w:rPr>
          <w:rFonts w:ascii="Arial" w:hAnsi="Arial" w:cs="Arial"/>
        </w:rPr>
        <w:t xml:space="preserve">391 U.S. at 135-36 (citations omitted). Later cases modified the </w:t>
      </w:r>
      <w:r w:rsidRPr="00C43B52">
        <w:rPr>
          <w:rFonts w:ascii="Arial" w:hAnsi="Arial" w:cs="Arial"/>
          <w:i/>
          <w:iCs/>
        </w:rPr>
        <w:t xml:space="preserve">Bruton </w:t>
      </w:r>
      <w:r w:rsidRPr="00C43B52">
        <w:rPr>
          <w:rFonts w:ascii="Arial" w:hAnsi="Arial" w:cs="Arial"/>
        </w:rPr>
        <w:t>rule and held that the confrontation clause is not violated by the admission of a non-testifying codefendant’s confession if:</w:t>
      </w:r>
    </w:p>
    <w:p w14:paraId="42CF510D" w14:textId="77777777" w:rsidR="005A38D0" w:rsidRPr="00C43B52" w:rsidRDefault="005A38D0" w:rsidP="00E70475">
      <w:pPr>
        <w:pStyle w:val="ListParagraph"/>
        <w:spacing w:after="0" w:line="240" w:lineRule="auto"/>
        <w:rPr>
          <w:rFonts w:ascii="Arial" w:hAnsi="Arial" w:cs="Arial"/>
          <w:b/>
          <w:bCs/>
        </w:rPr>
      </w:pPr>
    </w:p>
    <w:p w14:paraId="26652B54" w14:textId="77777777" w:rsidR="005A38D0" w:rsidRPr="00C43B52" w:rsidRDefault="005A38D0" w:rsidP="00E70475">
      <w:pPr>
        <w:pStyle w:val="ListParagraph"/>
        <w:numPr>
          <w:ilvl w:val="0"/>
          <w:numId w:val="4"/>
        </w:numPr>
        <w:spacing w:after="0" w:line="240" w:lineRule="auto"/>
        <w:rPr>
          <w:rFonts w:ascii="Arial" w:hAnsi="Arial" w:cs="Arial"/>
          <w:b/>
          <w:bCs/>
        </w:rPr>
      </w:pPr>
      <w:r w:rsidRPr="00C43B52">
        <w:rPr>
          <w:rFonts w:ascii="Arial" w:hAnsi="Arial" w:cs="Arial"/>
        </w:rPr>
        <w:t xml:space="preserve">a proper limiting instruction is given and </w:t>
      </w:r>
    </w:p>
    <w:p w14:paraId="123BF38F" w14:textId="7C3CB979" w:rsidR="005A38D0" w:rsidRPr="00C43B52" w:rsidRDefault="005A38D0" w:rsidP="001B2F8E">
      <w:pPr>
        <w:pStyle w:val="ListParagraph"/>
        <w:numPr>
          <w:ilvl w:val="0"/>
          <w:numId w:val="4"/>
        </w:numPr>
        <w:spacing w:after="0" w:line="240" w:lineRule="auto"/>
        <w:rPr>
          <w:rFonts w:ascii="Arial" w:hAnsi="Arial" w:cs="Arial"/>
          <w:b/>
          <w:bCs/>
        </w:rPr>
      </w:pPr>
      <w:r w:rsidRPr="00C43B52">
        <w:rPr>
          <w:rFonts w:ascii="Arial" w:hAnsi="Arial" w:cs="Arial"/>
        </w:rPr>
        <w:t xml:space="preserve">the confession is redacted </w:t>
      </w:r>
      <w:r w:rsidR="00D347EE">
        <w:rPr>
          <w:rFonts w:ascii="Arial" w:hAnsi="Arial" w:cs="Arial"/>
        </w:rPr>
        <w:t>or presented at trial in a manner that does not directly incriminate the defendant</w:t>
      </w:r>
      <w:r w:rsidRPr="00C43B52">
        <w:rPr>
          <w:rFonts w:ascii="Arial" w:hAnsi="Arial" w:cs="Arial"/>
        </w:rPr>
        <w:t xml:space="preserve">. </w:t>
      </w:r>
    </w:p>
    <w:p w14:paraId="20FB77B6" w14:textId="77777777" w:rsidR="005A38D0" w:rsidRPr="00C43B52" w:rsidRDefault="005A38D0" w:rsidP="00E70475">
      <w:pPr>
        <w:spacing w:after="0" w:line="240" w:lineRule="auto"/>
        <w:ind w:left="1080"/>
        <w:rPr>
          <w:rFonts w:ascii="Arial" w:hAnsi="Arial" w:cs="Arial"/>
        </w:rPr>
      </w:pPr>
    </w:p>
    <w:p w14:paraId="6A2C54E3" w14:textId="61299F66" w:rsidR="005A38D0" w:rsidRDefault="00D347EE" w:rsidP="00EF791F">
      <w:pPr>
        <w:spacing w:after="0" w:line="240" w:lineRule="auto"/>
        <w:ind w:left="1440"/>
        <w:rPr>
          <w:rFonts w:ascii="Arial" w:hAnsi="Arial" w:cs="Arial"/>
        </w:rPr>
      </w:pPr>
      <w:r>
        <w:rPr>
          <w:rFonts w:ascii="Arial" w:hAnsi="Arial" w:cs="Arial"/>
        </w:rPr>
        <w:lastRenderedPageBreak/>
        <w:t xml:space="preserve">Samia v. United States, 599 U.S. 635, 652 (2023) (synthesizing the Court’s precedent and so </w:t>
      </w:r>
      <w:r w:rsidR="00E1082C">
        <w:rPr>
          <w:rFonts w:ascii="Arial" w:hAnsi="Arial" w:cs="Arial"/>
        </w:rPr>
        <w:t xml:space="preserve">describing the </w:t>
      </w:r>
      <w:r w:rsidR="00E1082C">
        <w:rPr>
          <w:rFonts w:ascii="Arial" w:hAnsi="Arial" w:cs="Arial"/>
          <w:i/>
          <w:iCs/>
        </w:rPr>
        <w:t xml:space="preserve">Bruton </w:t>
      </w:r>
      <w:r w:rsidR="00E1082C">
        <w:rPr>
          <w:rFonts w:ascii="Arial" w:hAnsi="Arial" w:cs="Arial"/>
        </w:rPr>
        <w:t>rule</w:t>
      </w:r>
      <w:r w:rsidR="00C77A7C">
        <w:rPr>
          <w:rFonts w:ascii="Arial" w:hAnsi="Arial" w:cs="Arial"/>
        </w:rPr>
        <w:t xml:space="preserve">; </w:t>
      </w:r>
      <w:r w:rsidR="00E1082C">
        <w:rPr>
          <w:rFonts w:ascii="Arial" w:hAnsi="Arial" w:cs="Arial"/>
        </w:rPr>
        <w:t xml:space="preserve">holding that </w:t>
      </w:r>
      <w:r w:rsidR="00C77A7C">
        <w:rPr>
          <w:rFonts w:ascii="Arial" w:hAnsi="Arial" w:cs="Arial"/>
        </w:rPr>
        <w:t xml:space="preserve">admission of DEA agent’s testimony recounting content of codefendant’s confession was proper when agent used descriptor </w:t>
      </w:r>
      <w:r w:rsidR="00C04A33">
        <w:rPr>
          <w:rFonts w:ascii="Arial" w:hAnsi="Arial" w:cs="Arial"/>
        </w:rPr>
        <w:t>“</w:t>
      </w:r>
      <w:r w:rsidR="00C77A7C">
        <w:rPr>
          <w:rFonts w:ascii="Arial" w:hAnsi="Arial" w:cs="Arial"/>
        </w:rPr>
        <w:t>the other person [the codefe</w:t>
      </w:r>
      <w:r w:rsidR="00E1082C">
        <w:rPr>
          <w:rFonts w:ascii="Arial" w:hAnsi="Arial" w:cs="Arial"/>
        </w:rPr>
        <w:t>n</w:t>
      </w:r>
      <w:r w:rsidR="00C77A7C">
        <w:rPr>
          <w:rFonts w:ascii="Arial" w:hAnsi="Arial" w:cs="Arial"/>
        </w:rPr>
        <w:t>dant] was with</w:t>
      </w:r>
      <w:r w:rsidR="00C04A33">
        <w:rPr>
          <w:rFonts w:ascii="Arial" w:hAnsi="Arial" w:cs="Arial"/>
        </w:rPr>
        <w:t>”</w:t>
      </w:r>
      <w:r w:rsidR="00C77A7C">
        <w:rPr>
          <w:rFonts w:ascii="Arial" w:hAnsi="Arial" w:cs="Arial"/>
        </w:rPr>
        <w:t xml:space="preserve"> rather than directly identifying the defendant</w:t>
      </w:r>
      <w:r w:rsidR="006C4932">
        <w:rPr>
          <w:rFonts w:ascii="Arial" w:hAnsi="Arial" w:cs="Arial"/>
        </w:rPr>
        <w:t xml:space="preserve"> as was done in the confession</w:t>
      </w:r>
      <w:r>
        <w:rPr>
          <w:rFonts w:ascii="Arial" w:hAnsi="Arial" w:cs="Arial"/>
        </w:rPr>
        <w:t>);</w:t>
      </w:r>
      <w:r w:rsidR="005A38D0" w:rsidRPr="00C43B52">
        <w:rPr>
          <w:rFonts w:ascii="Arial" w:hAnsi="Arial" w:cs="Arial"/>
        </w:rPr>
        <w:t xml:space="preserve"> </w:t>
      </w:r>
      <w:r w:rsidR="005A38D0" w:rsidRPr="00C43B52">
        <w:rPr>
          <w:rFonts w:ascii="Arial" w:hAnsi="Arial" w:cs="Arial"/>
          <w:i/>
          <w:iCs/>
        </w:rPr>
        <w:t xml:space="preserve">Richardson, </w:t>
      </w:r>
      <w:r w:rsidR="005A38D0" w:rsidRPr="00C43B52">
        <w:rPr>
          <w:rFonts w:ascii="Arial" w:hAnsi="Arial" w:cs="Arial"/>
        </w:rPr>
        <w:t xml:space="preserve">481 U.S. 200 (admission of a confession was proper when it was redacted to omit all reference to the defendant but the defendant was nonetheless linked to the confession by evidence properly admitted against him at trial). </w:t>
      </w:r>
    </w:p>
    <w:p w14:paraId="287EC099" w14:textId="3F5B7446" w:rsidR="00710E3F" w:rsidRPr="00606F64" w:rsidRDefault="00A53527" w:rsidP="00D12B7C">
      <w:pPr>
        <w:spacing w:after="0" w:line="240" w:lineRule="auto"/>
        <w:ind w:left="1440" w:firstLine="720"/>
        <w:rPr>
          <w:rFonts w:ascii="Arial" w:hAnsi="Arial" w:cs="Arial"/>
          <w:b/>
          <w:bCs/>
        </w:rPr>
      </w:pPr>
      <w:r>
        <w:rPr>
          <w:rFonts w:ascii="Arial" w:hAnsi="Arial" w:cs="Arial"/>
        </w:rPr>
        <w:t>The</w:t>
      </w:r>
      <w:r w:rsidR="003366EE">
        <w:rPr>
          <w:rFonts w:ascii="Arial" w:hAnsi="Arial" w:cs="Arial"/>
        </w:rPr>
        <w:t xml:space="preserve"> United States Supreme Court developed the</w:t>
      </w:r>
      <w:r>
        <w:rPr>
          <w:rFonts w:ascii="Arial" w:hAnsi="Arial" w:cs="Arial"/>
        </w:rPr>
        <w:t xml:space="preserve"> </w:t>
      </w:r>
      <w:r>
        <w:rPr>
          <w:rFonts w:ascii="Arial" w:hAnsi="Arial" w:cs="Arial"/>
          <w:i/>
          <w:iCs/>
        </w:rPr>
        <w:t xml:space="preserve">Bruton </w:t>
      </w:r>
      <w:r>
        <w:rPr>
          <w:rFonts w:ascii="Arial" w:hAnsi="Arial" w:cs="Arial"/>
        </w:rPr>
        <w:t>rule in cases involving confession</w:t>
      </w:r>
      <w:r w:rsidR="00C41091">
        <w:rPr>
          <w:rFonts w:ascii="Arial" w:hAnsi="Arial" w:cs="Arial"/>
        </w:rPr>
        <w:t>s</w:t>
      </w:r>
      <w:r>
        <w:rPr>
          <w:rFonts w:ascii="Arial" w:hAnsi="Arial" w:cs="Arial"/>
        </w:rPr>
        <w:t xml:space="preserve"> incriminat</w:t>
      </w:r>
      <w:r w:rsidR="004E36DA">
        <w:rPr>
          <w:rFonts w:ascii="Arial" w:hAnsi="Arial" w:cs="Arial"/>
        </w:rPr>
        <w:t>ing</w:t>
      </w:r>
      <w:r>
        <w:rPr>
          <w:rFonts w:ascii="Arial" w:hAnsi="Arial" w:cs="Arial"/>
        </w:rPr>
        <w:t xml:space="preserve"> </w:t>
      </w:r>
      <w:r w:rsidR="00212B83">
        <w:rPr>
          <w:rFonts w:ascii="Arial" w:hAnsi="Arial" w:cs="Arial"/>
        </w:rPr>
        <w:t xml:space="preserve">both </w:t>
      </w:r>
      <w:r>
        <w:rPr>
          <w:rFonts w:ascii="Arial" w:hAnsi="Arial" w:cs="Arial"/>
        </w:rPr>
        <w:t xml:space="preserve">the </w:t>
      </w:r>
      <w:r w:rsidR="00C04A33">
        <w:rPr>
          <w:rFonts w:ascii="Arial" w:hAnsi="Arial" w:cs="Arial"/>
        </w:rPr>
        <w:t xml:space="preserve">declarant </w:t>
      </w:r>
      <w:r>
        <w:rPr>
          <w:rFonts w:ascii="Arial" w:hAnsi="Arial" w:cs="Arial"/>
        </w:rPr>
        <w:t>codefendant a</w:t>
      </w:r>
      <w:r w:rsidR="00212B83">
        <w:rPr>
          <w:rFonts w:ascii="Arial" w:hAnsi="Arial" w:cs="Arial"/>
        </w:rPr>
        <w:t>nd</w:t>
      </w:r>
      <w:r>
        <w:rPr>
          <w:rFonts w:ascii="Arial" w:hAnsi="Arial" w:cs="Arial"/>
        </w:rPr>
        <w:t xml:space="preserve"> the defendant </w:t>
      </w:r>
      <w:r w:rsidR="00124CAE">
        <w:rPr>
          <w:rFonts w:ascii="Arial" w:hAnsi="Arial" w:cs="Arial"/>
        </w:rPr>
        <w:t>asserting</w:t>
      </w:r>
      <w:r>
        <w:rPr>
          <w:rFonts w:ascii="Arial" w:hAnsi="Arial" w:cs="Arial"/>
        </w:rPr>
        <w:t xml:space="preserve"> </w:t>
      </w:r>
      <w:r w:rsidR="006C4932">
        <w:rPr>
          <w:rFonts w:ascii="Arial" w:hAnsi="Arial" w:cs="Arial"/>
        </w:rPr>
        <w:t>a</w:t>
      </w:r>
      <w:r>
        <w:rPr>
          <w:rFonts w:ascii="Arial" w:hAnsi="Arial" w:cs="Arial"/>
        </w:rPr>
        <w:t xml:space="preserve"> confrontation clause violation. </w:t>
      </w:r>
      <w:r>
        <w:rPr>
          <w:rFonts w:ascii="Arial" w:hAnsi="Arial" w:cs="Arial"/>
          <w:i/>
          <w:iCs/>
        </w:rPr>
        <w:t>See</w:t>
      </w:r>
      <w:r w:rsidR="005F58F0">
        <w:rPr>
          <w:rFonts w:ascii="Arial" w:hAnsi="Arial" w:cs="Arial"/>
          <w:i/>
          <w:iCs/>
        </w:rPr>
        <w:t>, e.g.</w:t>
      </w:r>
      <w:r w:rsidR="005F58F0">
        <w:rPr>
          <w:rFonts w:ascii="Arial" w:hAnsi="Arial" w:cs="Arial"/>
        </w:rPr>
        <w:t>,</w:t>
      </w:r>
      <w:r>
        <w:rPr>
          <w:rFonts w:ascii="Arial" w:hAnsi="Arial" w:cs="Arial"/>
        </w:rPr>
        <w:t xml:space="preserve"> </w:t>
      </w:r>
      <w:r>
        <w:rPr>
          <w:rFonts w:ascii="Arial" w:hAnsi="Arial" w:cs="Arial"/>
          <w:i/>
          <w:iCs/>
        </w:rPr>
        <w:t>Samia</w:t>
      </w:r>
      <w:r>
        <w:rPr>
          <w:rFonts w:ascii="Arial" w:hAnsi="Arial" w:cs="Arial"/>
        </w:rPr>
        <w:t>, 599 U.S. at 64</w:t>
      </w:r>
      <w:r w:rsidR="005F58F0">
        <w:rPr>
          <w:rFonts w:ascii="Arial" w:hAnsi="Arial" w:cs="Arial"/>
        </w:rPr>
        <w:t xml:space="preserve">0; </w:t>
      </w:r>
      <w:r w:rsidR="00227903">
        <w:rPr>
          <w:rFonts w:ascii="Arial" w:hAnsi="Arial" w:cs="Arial"/>
        </w:rPr>
        <w:t xml:space="preserve">Gray v. Maryland, 523 U.S. 185, 188 (1998); </w:t>
      </w:r>
      <w:r w:rsidR="005F58F0" w:rsidRPr="00B31551">
        <w:rPr>
          <w:rFonts w:ascii="Arial" w:hAnsi="Arial" w:cs="Arial"/>
          <w:i/>
          <w:iCs/>
        </w:rPr>
        <w:t>Richardson</w:t>
      </w:r>
      <w:r w:rsidR="005F58F0">
        <w:rPr>
          <w:rFonts w:ascii="Arial" w:hAnsi="Arial" w:cs="Arial"/>
        </w:rPr>
        <w:t xml:space="preserve">, 481 U.S. </w:t>
      </w:r>
      <w:r w:rsidR="00B31551">
        <w:rPr>
          <w:rFonts w:ascii="Arial" w:hAnsi="Arial" w:cs="Arial"/>
        </w:rPr>
        <w:t>at</w:t>
      </w:r>
      <w:r w:rsidR="005F58F0">
        <w:rPr>
          <w:rFonts w:ascii="Arial" w:hAnsi="Arial" w:cs="Arial"/>
        </w:rPr>
        <w:t xml:space="preserve"> 203;</w:t>
      </w:r>
      <w:r w:rsidR="00227903">
        <w:rPr>
          <w:rFonts w:ascii="Arial" w:hAnsi="Arial" w:cs="Arial"/>
        </w:rPr>
        <w:t xml:space="preserve"> </w:t>
      </w:r>
      <w:r w:rsidR="00227903">
        <w:rPr>
          <w:rFonts w:ascii="Arial" w:hAnsi="Arial" w:cs="Arial"/>
          <w:i/>
          <w:iCs/>
        </w:rPr>
        <w:t>Bruton</w:t>
      </w:r>
      <w:r w:rsidR="00227903">
        <w:rPr>
          <w:rFonts w:ascii="Arial" w:hAnsi="Arial" w:cs="Arial"/>
        </w:rPr>
        <w:t>, 391 U.S. at 124.</w:t>
      </w:r>
      <w:r w:rsidR="009D75D0">
        <w:rPr>
          <w:rFonts w:ascii="Arial" w:hAnsi="Arial" w:cs="Arial"/>
        </w:rPr>
        <w:t xml:space="preserve"> North Carolina appellate c</w:t>
      </w:r>
      <w:r w:rsidR="0089645A">
        <w:rPr>
          <w:rFonts w:ascii="Arial" w:hAnsi="Arial" w:cs="Arial"/>
        </w:rPr>
        <w:t>ourts sometimes</w:t>
      </w:r>
      <w:r w:rsidR="009D75D0">
        <w:rPr>
          <w:rFonts w:ascii="Arial" w:hAnsi="Arial" w:cs="Arial"/>
        </w:rPr>
        <w:t xml:space="preserve"> </w:t>
      </w:r>
      <w:r w:rsidR="003225DC">
        <w:rPr>
          <w:rFonts w:ascii="Arial" w:hAnsi="Arial" w:cs="Arial"/>
        </w:rPr>
        <w:t xml:space="preserve">have </w:t>
      </w:r>
      <w:r w:rsidR="00124CAE">
        <w:rPr>
          <w:rFonts w:ascii="Arial" w:hAnsi="Arial" w:cs="Arial"/>
        </w:rPr>
        <w:t>appl</w:t>
      </w:r>
      <w:r w:rsidR="003225DC">
        <w:rPr>
          <w:rFonts w:ascii="Arial" w:hAnsi="Arial" w:cs="Arial"/>
        </w:rPr>
        <w:t>ied</w:t>
      </w:r>
      <w:r w:rsidR="009D75D0">
        <w:rPr>
          <w:rFonts w:ascii="Arial" w:hAnsi="Arial" w:cs="Arial"/>
        </w:rPr>
        <w:t xml:space="preserve"> </w:t>
      </w:r>
      <w:r w:rsidR="009D75D0">
        <w:rPr>
          <w:rFonts w:ascii="Arial" w:hAnsi="Arial" w:cs="Arial"/>
          <w:i/>
          <w:iCs/>
        </w:rPr>
        <w:t>Bruton</w:t>
      </w:r>
      <w:r w:rsidR="009D75D0">
        <w:rPr>
          <w:rFonts w:ascii="Arial" w:hAnsi="Arial" w:cs="Arial"/>
        </w:rPr>
        <w:t xml:space="preserve"> </w:t>
      </w:r>
      <w:r w:rsidR="00C41091">
        <w:rPr>
          <w:rFonts w:ascii="Arial" w:hAnsi="Arial" w:cs="Arial"/>
        </w:rPr>
        <w:t xml:space="preserve">more broadly </w:t>
      </w:r>
      <w:r w:rsidR="009D75D0">
        <w:rPr>
          <w:rFonts w:ascii="Arial" w:hAnsi="Arial" w:cs="Arial"/>
        </w:rPr>
        <w:t xml:space="preserve">to </w:t>
      </w:r>
      <w:r w:rsidR="00124CAE">
        <w:rPr>
          <w:rFonts w:ascii="Arial" w:hAnsi="Arial" w:cs="Arial"/>
        </w:rPr>
        <w:t>codefendant</w:t>
      </w:r>
      <w:r w:rsidR="00C41091">
        <w:rPr>
          <w:rFonts w:ascii="Arial" w:hAnsi="Arial" w:cs="Arial"/>
        </w:rPr>
        <w:t xml:space="preserve"> statements</w:t>
      </w:r>
      <w:r w:rsidR="00A01D6E">
        <w:rPr>
          <w:rFonts w:ascii="Arial" w:hAnsi="Arial" w:cs="Arial"/>
        </w:rPr>
        <w:t xml:space="preserve"> that incriminate </w:t>
      </w:r>
      <w:r w:rsidR="00124CAE">
        <w:rPr>
          <w:rFonts w:ascii="Arial" w:hAnsi="Arial" w:cs="Arial"/>
        </w:rPr>
        <w:t>the defendant even if the statement is not a confession. State v. Owens, 75 N.C. App. 513, 516-17 (1985) (</w:t>
      </w:r>
      <w:r w:rsidR="006729DB">
        <w:rPr>
          <w:rFonts w:ascii="Arial" w:hAnsi="Arial" w:cs="Arial"/>
        </w:rPr>
        <w:t>“</w:t>
      </w:r>
      <w:r w:rsidR="00124CAE" w:rsidRPr="00124CAE">
        <w:rPr>
          <w:rFonts w:ascii="Arial" w:hAnsi="Arial" w:cs="Arial"/>
          <w:i/>
          <w:iCs/>
        </w:rPr>
        <w:t>Bruton</w:t>
      </w:r>
      <w:r w:rsidR="00124CAE" w:rsidRPr="00124CAE">
        <w:rPr>
          <w:rFonts w:ascii="Arial" w:hAnsi="Arial" w:cs="Arial"/>
        </w:rPr>
        <w:t xml:space="preserve"> and its North Carolina progeny have not limited the application of the rule to confessions only. The more general term </w:t>
      </w:r>
      <w:r w:rsidR="00124CAE">
        <w:rPr>
          <w:rFonts w:ascii="Arial" w:hAnsi="Arial" w:cs="Arial"/>
        </w:rPr>
        <w:t>‘</w:t>
      </w:r>
      <w:r w:rsidR="00124CAE" w:rsidRPr="00124CAE">
        <w:rPr>
          <w:rFonts w:ascii="Arial" w:hAnsi="Arial" w:cs="Arial"/>
        </w:rPr>
        <w:t>statement</w:t>
      </w:r>
      <w:r w:rsidR="00124CAE">
        <w:rPr>
          <w:rFonts w:ascii="Arial" w:hAnsi="Arial" w:cs="Arial"/>
        </w:rPr>
        <w:t>’</w:t>
      </w:r>
      <w:r w:rsidR="00124CAE" w:rsidRPr="00124CAE">
        <w:rPr>
          <w:rFonts w:ascii="Arial" w:hAnsi="Arial" w:cs="Arial"/>
        </w:rPr>
        <w:t xml:space="preserve"> is used interchangeably with </w:t>
      </w:r>
      <w:r w:rsidR="00124CAE">
        <w:rPr>
          <w:rFonts w:ascii="Arial" w:hAnsi="Arial" w:cs="Arial"/>
        </w:rPr>
        <w:t>‘</w:t>
      </w:r>
      <w:r w:rsidR="00124CAE" w:rsidRPr="00124CAE">
        <w:rPr>
          <w:rFonts w:ascii="Arial" w:hAnsi="Arial" w:cs="Arial"/>
        </w:rPr>
        <w:t>confessions,</w:t>
      </w:r>
      <w:r w:rsidR="00124CAE">
        <w:rPr>
          <w:rFonts w:ascii="Arial" w:hAnsi="Arial" w:cs="Arial"/>
        </w:rPr>
        <w:t>’</w:t>
      </w:r>
      <w:r w:rsidR="00124CAE" w:rsidRPr="00124CAE">
        <w:rPr>
          <w:rFonts w:ascii="Arial" w:hAnsi="Arial" w:cs="Arial"/>
        </w:rPr>
        <w:t xml:space="preserve"> </w:t>
      </w:r>
      <w:r w:rsidR="00124CAE">
        <w:rPr>
          <w:rFonts w:ascii="Arial" w:hAnsi="Arial" w:cs="Arial"/>
        </w:rPr>
        <w:t>. . .</w:t>
      </w:r>
      <w:r w:rsidR="00124CAE" w:rsidRPr="00124CAE">
        <w:rPr>
          <w:rFonts w:ascii="Arial" w:hAnsi="Arial" w:cs="Arial"/>
        </w:rPr>
        <w:t xml:space="preserve"> and the rule has been expressly applied to statements that are not confessions.</w:t>
      </w:r>
      <w:r w:rsidR="006729DB">
        <w:rPr>
          <w:rFonts w:ascii="Arial" w:hAnsi="Arial" w:cs="Arial"/>
        </w:rPr>
        <w:t>”</w:t>
      </w:r>
      <w:r w:rsidR="00124CAE">
        <w:rPr>
          <w:rFonts w:ascii="Arial" w:hAnsi="Arial" w:cs="Arial"/>
        </w:rPr>
        <w:t xml:space="preserve"> (internal citation omitted))</w:t>
      </w:r>
      <w:r w:rsidR="003225DC">
        <w:rPr>
          <w:rFonts w:ascii="Arial" w:hAnsi="Arial" w:cs="Arial"/>
        </w:rPr>
        <w:t xml:space="preserve">; </w:t>
      </w:r>
      <w:r w:rsidR="003225DC">
        <w:rPr>
          <w:rFonts w:ascii="Arial" w:hAnsi="Arial" w:cs="Arial"/>
          <w:i/>
          <w:iCs/>
        </w:rPr>
        <w:t xml:space="preserve">see also </w:t>
      </w:r>
      <w:r w:rsidR="003225DC">
        <w:rPr>
          <w:rFonts w:ascii="Arial" w:hAnsi="Arial" w:cs="Arial"/>
        </w:rPr>
        <w:t xml:space="preserve">State v. Gonzalez, 311 N.C. </w:t>
      </w:r>
      <w:r w:rsidR="00CC32D9">
        <w:rPr>
          <w:rFonts w:ascii="Arial" w:hAnsi="Arial" w:cs="Arial"/>
        </w:rPr>
        <w:t xml:space="preserve">80, 94 (1984) (applying </w:t>
      </w:r>
      <w:r w:rsidR="00CC32D9">
        <w:rPr>
          <w:rFonts w:ascii="Arial" w:hAnsi="Arial" w:cs="Arial"/>
          <w:i/>
          <w:iCs/>
        </w:rPr>
        <w:t xml:space="preserve">Bruton </w:t>
      </w:r>
      <w:r w:rsidR="00CC32D9">
        <w:rPr>
          <w:rFonts w:ascii="Arial" w:hAnsi="Arial" w:cs="Arial"/>
        </w:rPr>
        <w:t>to codefendant’s statement: “I was with some guys, but . . . I didn’t rob anyone, they did”)</w:t>
      </w:r>
      <w:r w:rsidR="00124CAE">
        <w:rPr>
          <w:rFonts w:ascii="Arial" w:hAnsi="Arial" w:cs="Arial"/>
        </w:rPr>
        <w:t>.</w:t>
      </w:r>
      <w:r w:rsidR="00C41091">
        <w:rPr>
          <w:rFonts w:ascii="Arial" w:hAnsi="Arial" w:cs="Arial"/>
        </w:rPr>
        <w:t xml:space="preserve"> As discussed in more detail below, the statutory codification of </w:t>
      </w:r>
      <w:r w:rsidR="00C41091">
        <w:rPr>
          <w:rFonts w:ascii="Arial" w:hAnsi="Arial" w:cs="Arial"/>
          <w:i/>
          <w:iCs/>
        </w:rPr>
        <w:t xml:space="preserve">Bruton </w:t>
      </w:r>
      <w:r w:rsidR="00364447">
        <w:rPr>
          <w:rFonts w:ascii="Arial" w:hAnsi="Arial" w:cs="Arial"/>
        </w:rPr>
        <w:t>governing</w:t>
      </w:r>
      <w:r w:rsidR="00C41091">
        <w:rPr>
          <w:rFonts w:ascii="Arial" w:hAnsi="Arial" w:cs="Arial"/>
        </w:rPr>
        <w:t xml:space="preserve"> joinder of defendants is broader still</w:t>
      </w:r>
      <w:r w:rsidR="00C04A33">
        <w:rPr>
          <w:rFonts w:ascii="Arial" w:hAnsi="Arial" w:cs="Arial"/>
        </w:rPr>
        <w:t>,</w:t>
      </w:r>
      <w:r w:rsidR="00C41091">
        <w:rPr>
          <w:rFonts w:ascii="Arial" w:hAnsi="Arial" w:cs="Arial"/>
        </w:rPr>
        <w:t xml:space="preserve"> appl</w:t>
      </w:r>
      <w:r w:rsidR="00C04A33">
        <w:rPr>
          <w:rFonts w:ascii="Arial" w:hAnsi="Arial" w:cs="Arial"/>
        </w:rPr>
        <w:t>ying</w:t>
      </w:r>
      <w:r w:rsidR="00C41091">
        <w:rPr>
          <w:rFonts w:ascii="Arial" w:hAnsi="Arial" w:cs="Arial"/>
        </w:rPr>
        <w:t xml:space="preserve"> </w:t>
      </w:r>
      <w:r w:rsidR="009F079B">
        <w:rPr>
          <w:rFonts w:ascii="Arial" w:hAnsi="Arial" w:cs="Arial"/>
        </w:rPr>
        <w:t>to</w:t>
      </w:r>
      <w:r w:rsidR="00606F64">
        <w:rPr>
          <w:rFonts w:ascii="Arial" w:hAnsi="Arial" w:cs="Arial"/>
        </w:rPr>
        <w:t xml:space="preserve"> any statement of a codefendant</w:t>
      </w:r>
      <w:r w:rsidR="006A0839">
        <w:rPr>
          <w:rFonts w:ascii="Arial" w:hAnsi="Arial" w:cs="Arial"/>
        </w:rPr>
        <w:t xml:space="preserve"> that</w:t>
      </w:r>
      <w:r w:rsidR="00606F64">
        <w:rPr>
          <w:rFonts w:ascii="Arial" w:hAnsi="Arial" w:cs="Arial"/>
        </w:rPr>
        <w:t xml:space="preserve"> </w:t>
      </w:r>
      <w:r w:rsidR="006C4932">
        <w:rPr>
          <w:rFonts w:ascii="Arial" w:hAnsi="Arial" w:cs="Arial"/>
        </w:rPr>
        <w:t>“</w:t>
      </w:r>
      <w:r w:rsidR="00606F64">
        <w:rPr>
          <w:rFonts w:ascii="Arial" w:hAnsi="Arial" w:cs="Arial"/>
        </w:rPr>
        <w:t>mak</w:t>
      </w:r>
      <w:r w:rsidR="006A0839">
        <w:rPr>
          <w:rFonts w:ascii="Arial" w:hAnsi="Arial" w:cs="Arial"/>
        </w:rPr>
        <w:t>es</w:t>
      </w:r>
      <w:r w:rsidR="00606F64">
        <w:rPr>
          <w:rFonts w:ascii="Arial" w:hAnsi="Arial" w:cs="Arial"/>
        </w:rPr>
        <w:t xml:space="preserve"> reference</w:t>
      </w:r>
      <w:r w:rsidR="006C4932">
        <w:rPr>
          <w:rFonts w:ascii="Arial" w:hAnsi="Arial" w:cs="Arial"/>
        </w:rPr>
        <w:t>”</w:t>
      </w:r>
      <w:r w:rsidR="00606F64">
        <w:rPr>
          <w:rFonts w:ascii="Arial" w:hAnsi="Arial" w:cs="Arial"/>
        </w:rPr>
        <w:t xml:space="preserve"> to the defendant.</w:t>
      </w:r>
      <w:r w:rsidR="006A0839">
        <w:rPr>
          <w:rFonts w:ascii="Arial" w:hAnsi="Arial" w:cs="Arial"/>
        </w:rPr>
        <w:t xml:space="preserve"> </w:t>
      </w:r>
      <w:r w:rsidR="00C41091">
        <w:rPr>
          <w:rFonts w:ascii="Arial" w:hAnsi="Arial" w:cs="Arial"/>
        </w:rPr>
        <w:t>G.S. 15A-927(c)(1).</w:t>
      </w:r>
    </w:p>
    <w:p w14:paraId="41C16527" w14:textId="77777777" w:rsidR="005A38D0" w:rsidRPr="00C43B52" w:rsidRDefault="005A38D0" w:rsidP="00F60611">
      <w:pPr>
        <w:spacing w:after="0" w:line="240" w:lineRule="auto"/>
        <w:rPr>
          <w:rFonts w:ascii="Arial" w:hAnsi="Arial" w:cs="Arial"/>
        </w:rPr>
      </w:pPr>
    </w:p>
    <w:p w14:paraId="33525718" w14:textId="395545A9" w:rsidR="005A38D0" w:rsidRPr="00925709" w:rsidRDefault="005A38D0" w:rsidP="00925709">
      <w:pPr>
        <w:pStyle w:val="ListParagraph"/>
        <w:numPr>
          <w:ilvl w:val="0"/>
          <w:numId w:val="3"/>
        </w:numPr>
        <w:tabs>
          <w:tab w:val="left" w:pos="1440"/>
        </w:tabs>
        <w:spacing w:after="0" w:line="240" w:lineRule="auto"/>
        <w:ind w:left="1440" w:hanging="720"/>
        <w:rPr>
          <w:rFonts w:ascii="Arial" w:hAnsi="Arial" w:cs="Arial"/>
          <w:b/>
          <w:bCs/>
        </w:rPr>
      </w:pPr>
      <w:bookmarkStart w:id="2" w:name="_Toc197096000"/>
      <w:r w:rsidRPr="00C279D7">
        <w:rPr>
          <w:rStyle w:val="Heading2Char"/>
        </w:rPr>
        <w:t xml:space="preserve">Implications of </w:t>
      </w:r>
      <w:r w:rsidRPr="00C279D7">
        <w:rPr>
          <w:rStyle w:val="Heading2Char"/>
          <w:i/>
        </w:rPr>
        <w:t>Crawford</w:t>
      </w:r>
      <w:r w:rsidRPr="00C279D7">
        <w:rPr>
          <w:rStyle w:val="Heading2Char"/>
        </w:rPr>
        <w:t xml:space="preserve"> on the </w:t>
      </w:r>
      <w:r w:rsidRPr="00C279D7">
        <w:rPr>
          <w:rStyle w:val="Heading2Char"/>
          <w:i/>
        </w:rPr>
        <w:t>Bruton</w:t>
      </w:r>
      <w:r w:rsidRPr="00C279D7">
        <w:rPr>
          <w:rStyle w:val="Heading2Char"/>
        </w:rPr>
        <w:t xml:space="preserve"> Rule</w:t>
      </w:r>
      <w:bookmarkEnd w:id="2"/>
      <w:r w:rsidRPr="00C43B52">
        <w:rPr>
          <w:rFonts w:ascii="Arial" w:hAnsi="Arial" w:cs="Arial"/>
          <w:b/>
          <w:bCs/>
        </w:rPr>
        <w:t xml:space="preserve">. </w:t>
      </w:r>
      <w:r w:rsidR="00BA1472">
        <w:rPr>
          <w:rFonts w:ascii="Arial" w:hAnsi="Arial" w:cs="Arial"/>
        </w:rPr>
        <w:t xml:space="preserve">After </w:t>
      </w:r>
      <w:r w:rsidR="00BA1472">
        <w:rPr>
          <w:rFonts w:ascii="Arial" w:hAnsi="Arial" w:cs="Arial"/>
          <w:i/>
          <w:iCs/>
        </w:rPr>
        <w:t>Bruton</w:t>
      </w:r>
      <w:r w:rsidR="00BA1472" w:rsidRPr="00D70F9D">
        <w:rPr>
          <w:rFonts w:ascii="Arial" w:hAnsi="Arial" w:cs="Arial"/>
        </w:rPr>
        <w:t xml:space="preserve"> was decided</w:t>
      </w:r>
      <w:r w:rsidR="00BA1472">
        <w:rPr>
          <w:rFonts w:ascii="Arial" w:hAnsi="Arial" w:cs="Arial"/>
          <w:i/>
          <w:iCs/>
        </w:rPr>
        <w:t xml:space="preserve">, </w:t>
      </w:r>
      <w:r w:rsidR="00BA1472">
        <w:rPr>
          <w:rFonts w:ascii="Arial" w:hAnsi="Arial" w:cs="Arial"/>
        </w:rPr>
        <w:t xml:space="preserve">the United States Supreme Court </w:t>
      </w:r>
      <w:r w:rsidR="002C3E7D">
        <w:rPr>
          <w:rFonts w:ascii="Arial" w:hAnsi="Arial" w:cs="Arial"/>
        </w:rPr>
        <w:t xml:space="preserve">in </w:t>
      </w:r>
      <w:r w:rsidR="002C3E7D">
        <w:rPr>
          <w:rFonts w:ascii="Arial" w:hAnsi="Arial" w:cs="Arial"/>
          <w:i/>
          <w:iCs/>
        </w:rPr>
        <w:t>Crawford v. Washington</w:t>
      </w:r>
      <w:r w:rsidR="002C3E7D">
        <w:rPr>
          <w:rFonts w:ascii="Arial" w:hAnsi="Arial" w:cs="Arial"/>
        </w:rPr>
        <w:t xml:space="preserve">, 541 U.S. 36 (2004), </w:t>
      </w:r>
      <w:r w:rsidR="00BA1472">
        <w:rPr>
          <w:rFonts w:ascii="Arial" w:hAnsi="Arial" w:cs="Arial"/>
        </w:rPr>
        <w:t xml:space="preserve">radically revamped the analysis that applies to confrontation clause objections. </w:t>
      </w:r>
      <w:r w:rsidR="00BA1472">
        <w:rPr>
          <w:rFonts w:ascii="Arial" w:hAnsi="Arial" w:cs="Arial"/>
          <w:i/>
          <w:iCs/>
        </w:rPr>
        <w:t xml:space="preserve">See generally </w:t>
      </w:r>
      <w:hyperlink r:id="rId8" w:history="1">
        <w:r w:rsidR="00BA1472" w:rsidRPr="00D75220">
          <w:rPr>
            <w:rStyle w:val="Hyperlink"/>
            <w:rFonts w:ascii="Arial" w:hAnsi="Arial" w:cs="Arial"/>
            <w:i/>
            <w:iCs/>
          </w:rPr>
          <w:t xml:space="preserve">Crawford </w:t>
        </w:r>
        <w:r w:rsidR="00BA1472" w:rsidRPr="00D75220">
          <w:rPr>
            <w:rStyle w:val="Hyperlink"/>
            <w:rFonts w:ascii="Arial" w:hAnsi="Arial" w:cs="Arial"/>
          </w:rPr>
          <w:t>&amp; the Conf</w:t>
        </w:r>
        <w:r w:rsidR="00BA1472" w:rsidRPr="00D75220">
          <w:rPr>
            <w:rStyle w:val="Hyperlink"/>
            <w:rFonts w:ascii="Arial" w:hAnsi="Arial" w:cs="Arial"/>
          </w:rPr>
          <w:t>r</w:t>
        </w:r>
        <w:r w:rsidR="00BA1472" w:rsidRPr="00D75220">
          <w:rPr>
            <w:rStyle w:val="Hyperlink"/>
            <w:rFonts w:ascii="Arial" w:hAnsi="Arial" w:cs="Arial"/>
          </w:rPr>
          <w:t>ontation Clause</w:t>
        </w:r>
      </w:hyperlink>
      <w:r w:rsidR="00BA1472">
        <w:rPr>
          <w:rFonts w:ascii="Arial" w:hAnsi="Arial" w:cs="Arial"/>
        </w:rPr>
        <w:t xml:space="preserve">. </w:t>
      </w:r>
      <w:r w:rsidR="00925709" w:rsidRPr="00925709">
        <w:rPr>
          <w:rFonts w:ascii="Arial" w:hAnsi="Arial" w:cs="Arial"/>
          <w:i/>
          <w:iCs/>
        </w:rPr>
        <w:t xml:space="preserve">Crawford </w:t>
      </w:r>
      <w:r w:rsidR="00925709" w:rsidRPr="00925709">
        <w:rPr>
          <w:rFonts w:ascii="Arial" w:hAnsi="Arial" w:cs="Arial"/>
        </w:rPr>
        <w:t xml:space="preserve">overruled the </w:t>
      </w:r>
      <w:r w:rsidR="00925709">
        <w:rPr>
          <w:rFonts w:ascii="Arial" w:hAnsi="Arial" w:cs="Arial"/>
        </w:rPr>
        <w:t>constit</w:t>
      </w:r>
      <w:r w:rsidR="002C5AE2">
        <w:rPr>
          <w:rFonts w:ascii="Arial" w:hAnsi="Arial" w:cs="Arial"/>
        </w:rPr>
        <w:t>utional</w:t>
      </w:r>
      <w:r w:rsidR="00925709">
        <w:rPr>
          <w:rFonts w:ascii="Arial" w:hAnsi="Arial" w:cs="Arial"/>
        </w:rPr>
        <w:t xml:space="preserve"> framework</w:t>
      </w:r>
      <w:r w:rsidR="00925709" w:rsidRPr="00925709">
        <w:rPr>
          <w:rFonts w:ascii="Arial" w:hAnsi="Arial" w:cs="Arial"/>
        </w:rPr>
        <w:t xml:space="preserve"> underpinning many older North Carolina </w:t>
      </w:r>
      <w:r w:rsidR="00925709">
        <w:rPr>
          <w:rFonts w:ascii="Arial" w:hAnsi="Arial" w:cs="Arial"/>
          <w:i/>
          <w:iCs/>
        </w:rPr>
        <w:t xml:space="preserve">Bruton </w:t>
      </w:r>
      <w:r w:rsidR="00925709" w:rsidRPr="00925709">
        <w:rPr>
          <w:rFonts w:ascii="Arial" w:hAnsi="Arial" w:cs="Arial"/>
        </w:rPr>
        <w:t>cases which held that the confrontation clause</w:t>
      </w:r>
      <w:r w:rsidR="00925709">
        <w:rPr>
          <w:rFonts w:ascii="Arial" w:hAnsi="Arial" w:cs="Arial"/>
        </w:rPr>
        <w:t xml:space="preserve"> </w:t>
      </w:r>
      <w:r w:rsidR="00925709" w:rsidRPr="00925709">
        <w:rPr>
          <w:rFonts w:ascii="Arial" w:hAnsi="Arial" w:cs="Arial"/>
        </w:rPr>
        <w:t>did not bar admissi</w:t>
      </w:r>
      <w:r w:rsidR="002C5AE2">
        <w:rPr>
          <w:rFonts w:ascii="Arial" w:hAnsi="Arial" w:cs="Arial"/>
        </w:rPr>
        <w:t>on</w:t>
      </w:r>
      <w:r w:rsidR="00925709" w:rsidRPr="00925709">
        <w:rPr>
          <w:rFonts w:ascii="Arial" w:hAnsi="Arial" w:cs="Arial"/>
        </w:rPr>
        <w:t xml:space="preserve"> of statements that were particularly reliable or fell within a hearsay exception</w:t>
      </w:r>
      <w:r w:rsidR="008177F4" w:rsidRPr="00925709">
        <w:rPr>
          <w:rFonts w:ascii="Arial" w:hAnsi="Arial" w:cs="Arial"/>
        </w:rPr>
        <w:t>.</w:t>
      </w:r>
      <w:r w:rsidR="008177F4">
        <w:rPr>
          <w:rFonts w:ascii="Arial" w:hAnsi="Arial" w:cs="Arial"/>
        </w:rPr>
        <w:t xml:space="preserve"> </w:t>
      </w:r>
      <w:r w:rsidR="00925709" w:rsidRPr="00925709">
        <w:rPr>
          <w:rFonts w:ascii="Arial" w:hAnsi="Arial" w:cs="Arial"/>
          <w:i/>
          <w:iCs/>
        </w:rPr>
        <w:t>Compare</w:t>
      </w:r>
      <w:r w:rsidR="00925709" w:rsidRPr="00925709">
        <w:rPr>
          <w:rFonts w:ascii="Arial" w:hAnsi="Arial" w:cs="Arial"/>
        </w:rPr>
        <w:t xml:space="preserve"> </w:t>
      </w:r>
      <w:r w:rsidR="00925709" w:rsidRPr="00925709">
        <w:rPr>
          <w:rFonts w:ascii="Arial" w:hAnsi="Arial" w:cs="Arial"/>
          <w:i/>
          <w:iCs/>
        </w:rPr>
        <w:t>Crawford</w:t>
      </w:r>
      <w:r w:rsidR="00925709" w:rsidRPr="00925709">
        <w:rPr>
          <w:rFonts w:ascii="Arial" w:hAnsi="Arial" w:cs="Arial"/>
        </w:rPr>
        <w:t xml:space="preserve">, 541 U.S. 36 (overruling the old </w:t>
      </w:r>
      <w:r w:rsidR="00925709" w:rsidRPr="00925709">
        <w:rPr>
          <w:rFonts w:ascii="Arial" w:hAnsi="Arial" w:cs="Arial"/>
          <w:i/>
          <w:iCs/>
        </w:rPr>
        <w:t>Ohio v. Roberts</w:t>
      </w:r>
      <w:r w:rsidR="00925709" w:rsidRPr="00925709">
        <w:rPr>
          <w:rFonts w:ascii="Arial" w:hAnsi="Arial" w:cs="Arial"/>
        </w:rPr>
        <w:t xml:space="preserve"> reliability test), </w:t>
      </w:r>
      <w:r w:rsidR="00925709" w:rsidRPr="00D70F9D">
        <w:rPr>
          <w:rFonts w:ascii="Arial" w:hAnsi="Arial" w:cs="Arial"/>
          <w:i/>
          <w:iCs/>
        </w:rPr>
        <w:t>with</w:t>
      </w:r>
      <w:r w:rsidR="00925709" w:rsidRPr="00925709">
        <w:rPr>
          <w:rFonts w:ascii="Arial" w:hAnsi="Arial" w:cs="Arial"/>
        </w:rPr>
        <w:t xml:space="preserve"> State v. Porter, 303 N.C. 680, 695-97 (1981) (applying </w:t>
      </w:r>
      <w:r w:rsidR="00925709" w:rsidRPr="00925709">
        <w:rPr>
          <w:rFonts w:ascii="Arial" w:hAnsi="Arial" w:cs="Arial"/>
          <w:i/>
          <w:iCs/>
        </w:rPr>
        <w:t>Roberts</w:t>
      </w:r>
      <w:r w:rsidR="00925709" w:rsidRPr="00925709">
        <w:rPr>
          <w:rFonts w:ascii="Arial" w:hAnsi="Arial" w:cs="Arial"/>
        </w:rPr>
        <w:t xml:space="preserve"> in a </w:t>
      </w:r>
      <w:r w:rsidR="00925709" w:rsidRPr="00925709">
        <w:rPr>
          <w:rFonts w:ascii="Arial" w:hAnsi="Arial" w:cs="Arial"/>
          <w:i/>
          <w:iCs/>
        </w:rPr>
        <w:t>Bruton</w:t>
      </w:r>
      <w:r w:rsidR="00925709" w:rsidRPr="00925709">
        <w:rPr>
          <w:rFonts w:ascii="Arial" w:hAnsi="Arial" w:cs="Arial"/>
        </w:rPr>
        <w:t xml:space="preserve"> case). </w:t>
      </w:r>
      <w:r w:rsidR="002C5AE2">
        <w:rPr>
          <w:rFonts w:ascii="Arial" w:hAnsi="Arial" w:cs="Arial"/>
        </w:rPr>
        <w:t>A</w:t>
      </w:r>
      <w:r w:rsidR="00925709" w:rsidRPr="00925709">
        <w:rPr>
          <w:rFonts w:ascii="Arial" w:hAnsi="Arial" w:cs="Arial"/>
        </w:rPr>
        <w:t xml:space="preserve"> trial court </w:t>
      </w:r>
      <w:r w:rsidR="00925709">
        <w:rPr>
          <w:rFonts w:ascii="Arial" w:hAnsi="Arial" w:cs="Arial"/>
        </w:rPr>
        <w:t xml:space="preserve">confronting a </w:t>
      </w:r>
      <w:r w:rsidR="00925709">
        <w:rPr>
          <w:rFonts w:ascii="Arial" w:hAnsi="Arial" w:cs="Arial"/>
          <w:i/>
          <w:iCs/>
        </w:rPr>
        <w:t xml:space="preserve">Bruton </w:t>
      </w:r>
      <w:r w:rsidR="00925709">
        <w:rPr>
          <w:rFonts w:ascii="Arial" w:hAnsi="Arial" w:cs="Arial"/>
        </w:rPr>
        <w:t xml:space="preserve">objection </w:t>
      </w:r>
      <w:r w:rsidR="00925709" w:rsidRPr="00925709">
        <w:rPr>
          <w:rFonts w:ascii="Arial" w:hAnsi="Arial" w:cs="Arial"/>
        </w:rPr>
        <w:t xml:space="preserve">should evaluate the applicability of the confrontation clause to a challenged statement by assessing whether the statement is testimonial and offered for its truth, as </w:t>
      </w:r>
      <w:r w:rsidR="001E7DB1">
        <w:rPr>
          <w:rFonts w:ascii="Arial" w:hAnsi="Arial" w:cs="Arial"/>
        </w:rPr>
        <w:t xml:space="preserve">now </w:t>
      </w:r>
      <w:r w:rsidR="00925709" w:rsidRPr="00925709">
        <w:rPr>
          <w:rFonts w:ascii="Arial" w:hAnsi="Arial" w:cs="Arial"/>
        </w:rPr>
        <w:t xml:space="preserve">required by </w:t>
      </w:r>
      <w:r w:rsidR="00925709" w:rsidRPr="00925709">
        <w:rPr>
          <w:rFonts w:ascii="Arial" w:hAnsi="Arial" w:cs="Arial"/>
          <w:i/>
          <w:iCs/>
        </w:rPr>
        <w:t>Crawford</w:t>
      </w:r>
      <w:r w:rsidR="00925709" w:rsidRPr="00925709">
        <w:rPr>
          <w:rFonts w:ascii="Arial" w:hAnsi="Arial" w:cs="Arial"/>
        </w:rPr>
        <w:t xml:space="preserve">, rather than whether it is reliable or falls within a hearsay exception, as was done under </w:t>
      </w:r>
      <w:r w:rsidR="00925709" w:rsidRPr="00925709">
        <w:rPr>
          <w:rFonts w:ascii="Arial" w:hAnsi="Arial" w:cs="Arial"/>
          <w:i/>
          <w:iCs/>
        </w:rPr>
        <w:t>Roberts</w:t>
      </w:r>
      <w:r w:rsidR="00925709" w:rsidRPr="00925709">
        <w:rPr>
          <w:rFonts w:ascii="Arial" w:hAnsi="Arial" w:cs="Arial"/>
        </w:rPr>
        <w:t xml:space="preserve"> and older North Carolina cases.</w:t>
      </w:r>
    </w:p>
    <w:p w14:paraId="78E409F5" w14:textId="6F4988A0" w:rsidR="00C43B52" w:rsidRPr="00716B69" w:rsidRDefault="005A38D0" w:rsidP="00EF791F">
      <w:pPr>
        <w:pStyle w:val="ListParagraph"/>
        <w:spacing w:after="0" w:line="240" w:lineRule="auto"/>
        <w:ind w:left="2160" w:hanging="720"/>
        <w:rPr>
          <w:rFonts w:ascii="Arial" w:hAnsi="Arial" w:cs="Arial"/>
        </w:rPr>
      </w:pPr>
      <w:r w:rsidRPr="00C43B52">
        <w:rPr>
          <w:rFonts w:ascii="Arial" w:hAnsi="Arial" w:cs="Arial"/>
          <w:b/>
          <w:bCs/>
        </w:rPr>
        <w:t>1.</w:t>
      </w:r>
      <w:r w:rsidRPr="00C43B52">
        <w:rPr>
          <w:rFonts w:ascii="Arial" w:hAnsi="Arial" w:cs="Arial"/>
          <w:b/>
          <w:bCs/>
        </w:rPr>
        <w:tab/>
      </w:r>
      <w:r w:rsidR="00DD1EF3">
        <w:rPr>
          <w:rFonts w:ascii="Arial" w:hAnsi="Arial" w:cs="Arial"/>
          <w:b/>
          <w:bCs/>
        </w:rPr>
        <w:t xml:space="preserve">Statement </w:t>
      </w:r>
      <w:r w:rsidRPr="00C43B52">
        <w:rPr>
          <w:rFonts w:ascii="Arial" w:hAnsi="Arial" w:cs="Arial"/>
          <w:b/>
          <w:bCs/>
        </w:rPr>
        <w:t xml:space="preserve">Must Be Testimonial. </w:t>
      </w:r>
      <w:r w:rsidRPr="00C43B52">
        <w:rPr>
          <w:rFonts w:ascii="Arial" w:hAnsi="Arial" w:cs="Arial"/>
          <w:i/>
          <w:iCs/>
        </w:rPr>
        <w:t>Crawford</w:t>
      </w:r>
      <w:r w:rsidRPr="00C43B52">
        <w:rPr>
          <w:rFonts w:ascii="Arial" w:hAnsi="Arial" w:cs="Arial"/>
        </w:rPr>
        <w:t xml:space="preserve"> and its progeny made clear that the confrontation clause protections are limited to testimonial statements. Whorton v. Bockting, 549 U.S. 406, 420 (2007) (confrontation clause has “no application” to non-testimonial statements). Thus, if the statement is non-testimonial, neither </w:t>
      </w:r>
      <w:r w:rsidRPr="00C43B52">
        <w:rPr>
          <w:rFonts w:ascii="Arial" w:hAnsi="Arial" w:cs="Arial"/>
          <w:i/>
          <w:iCs/>
        </w:rPr>
        <w:t>Crawford</w:t>
      </w:r>
      <w:r w:rsidRPr="00C43B52">
        <w:rPr>
          <w:rFonts w:ascii="Arial" w:hAnsi="Arial" w:cs="Arial"/>
        </w:rPr>
        <w:t xml:space="preserve"> nor </w:t>
      </w:r>
      <w:r w:rsidRPr="00C43B52">
        <w:rPr>
          <w:rFonts w:ascii="Arial" w:hAnsi="Arial" w:cs="Arial"/>
          <w:i/>
          <w:iCs/>
        </w:rPr>
        <w:t>Bruton</w:t>
      </w:r>
      <w:r w:rsidRPr="00C43B52">
        <w:rPr>
          <w:rFonts w:ascii="Arial" w:hAnsi="Arial" w:cs="Arial"/>
        </w:rPr>
        <w:t xml:space="preserve"> apply.</w:t>
      </w:r>
      <w:r w:rsidR="00A16ABA">
        <w:rPr>
          <w:rFonts w:ascii="Arial" w:hAnsi="Arial" w:cs="Arial"/>
        </w:rPr>
        <w:t xml:space="preserve"> </w:t>
      </w:r>
      <w:r w:rsidR="00A16ABA">
        <w:rPr>
          <w:rFonts w:ascii="Arial" w:hAnsi="Arial" w:cs="Arial"/>
          <w:i/>
          <w:iCs/>
        </w:rPr>
        <w:t>See Samia</w:t>
      </w:r>
      <w:r w:rsidR="00A16ABA">
        <w:rPr>
          <w:rFonts w:ascii="Arial" w:hAnsi="Arial" w:cs="Arial"/>
        </w:rPr>
        <w:t>, 599 U.S. at 643-44 (</w:t>
      </w:r>
      <w:r w:rsidR="00D75220">
        <w:rPr>
          <w:rFonts w:ascii="Arial" w:hAnsi="Arial" w:cs="Arial"/>
        </w:rPr>
        <w:t xml:space="preserve">deciding before proceeding to further analysis that </w:t>
      </w:r>
      <w:r w:rsidR="00A16ABA">
        <w:rPr>
          <w:rFonts w:ascii="Arial" w:hAnsi="Arial" w:cs="Arial"/>
        </w:rPr>
        <w:t>codefendant’s confession fell within ambit of confrontation clause because it was testimonial).</w:t>
      </w:r>
      <w:r w:rsidRPr="00C43B52">
        <w:rPr>
          <w:rFonts w:ascii="Arial" w:hAnsi="Arial" w:cs="Arial"/>
        </w:rPr>
        <w:t xml:space="preserve"> Although there does not appear to be a North Carolina decision on point, ample case law supporting this proposition exists in other jurisdictions. </w:t>
      </w:r>
      <w:r w:rsidRPr="00C43B52">
        <w:rPr>
          <w:rFonts w:ascii="Arial" w:hAnsi="Arial" w:cs="Arial"/>
          <w:i/>
          <w:iCs/>
        </w:rPr>
        <w:t xml:space="preserve">See, e.g., </w:t>
      </w:r>
      <w:r w:rsidR="00D75220">
        <w:rPr>
          <w:rFonts w:ascii="Arial" w:hAnsi="Arial" w:cs="Arial"/>
        </w:rPr>
        <w:t>United States v. Hano, 922 F.3d 1272, 1287 (</w:t>
      </w:r>
      <w:r w:rsidR="00A50965">
        <w:rPr>
          <w:rFonts w:ascii="Arial" w:hAnsi="Arial" w:cs="Arial"/>
        </w:rPr>
        <w:t xml:space="preserve">11th Cir. </w:t>
      </w:r>
      <w:r w:rsidR="00D75220">
        <w:rPr>
          <w:rFonts w:ascii="Arial" w:hAnsi="Arial" w:cs="Arial"/>
        </w:rPr>
        <w:t>2019) (</w:t>
      </w:r>
      <w:r w:rsidR="003225DC">
        <w:rPr>
          <w:rFonts w:ascii="Arial" w:hAnsi="Arial" w:cs="Arial"/>
        </w:rPr>
        <w:t>stating</w:t>
      </w:r>
      <w:r w:rsidR="00D75220">
        <w:rPr>
          <w:rFonts w:ascii="Arial" w:hAnsi="Arial" w:cs="Arial"/>
        </w:rPr>
        <w:t xml:space="preserve"> that every federal appellate court to </w:t>
      </w:r>
      <w:r w:rsidR="00D75220">
        <w:rPr>
          <w:rFonts w:ascii="Arial" w:hAnsi="Arial" w:cs="Arial"/>
        </w:rPr>
        <w:lastRenderedPageBreak/>
        <w:t xml:space="preserve">consider the issue has held that </w:t>
      </w:r>
      <w:r w:rsidR="00D75220">
        <w:rPr>
          <w:rFonts w:ascii="Arial" w:hAnsi="Arial" w:cs="Arial"/>
          <w:i/>
          <w:iCs/>
        </w:rPr>
        <w:t xml:space="preserve">Bruton </w:t>
      </w:r>
      <w:r w:rsidR="00D75220">
        <w:rPr>
          <w:rFonts w:ascii="Arial" w:hAnsi="Arial" w:cs="Arial"/>
        </w:rPr>
        <w:t xml:space="preserve">applies only to testimonial statements); United States v. Dargan, 738 F.3d 643, 651 </w:t>
      </w:r>
      <w:r w:rsidR="000818DB">
        <w:rPr>
          <w:rFonts w:ascii="Arial" w:hAnsi="Arial" w:cs="Arial"/>
        </w:rPr>
        <w:t>(</w:t>
      </w:r>
      <w:r w:rsidR="00A50965">
        <w:rPr>
          <w:rFonts w:ascii="Arial" w:hAnsi="Arial" w:cs="Arial"/>
        </w:rPr>
        <w:t xml:space="preserve">4th Cir. </w:t>
      </w:r>
      <w:r w:rsidR="000818DB">
        <w:rPr>
          <w:rFonts w:ascii="Arial" w:hAnsi="Arial" w:cs="Arial"/>
        </w:rPr>
        <w:t xml:space="preserve">2013) </w:t>
      </w:r>
      <w:r w:rsidR="00D75220">
        <w:rPr>
          <w:rFonts w:ascii="Arial" w:hAnsi="Arial" w:cs="Arial"/>
        </w:rPr>
        <w:t>(“</w:t>
      </w:r>
      <w:r w:rsidR="00D75220" w:rsidRPr="00155330">
        <w:rPr>
          <w:rFonts w:ascii="Arial" w:hAnsi="Arial" w:cs="Arial"/>
          <w:i/>
          <w:iCs/>
        </w:rPr>
        <w:t>Bruton</w:t>
      </w:r>
      <w:r w:rsidR="00D75220" w:rsidRPr="00D75220">
        <w:rPr>
          <w:rFonts w:ascii="Arial" w:hAnsi="Arial" w:cs="Arial"/>
        </w:rPr>
        <w:t xml:space="preserve"> is simply irrelevant in the context of nontestimonial statements.</w:t>
      </w:r>
      <w:r w:rsidR="00D75220">
        <w:rPr>
          <w:rFonts w:ascii="Arial" w:hAnsi="Arial" w:cs="Arial"/>
        </w:rPr>
        <w:t xml:space="preserve">”); </w:t>
      </w:r>
      <w:r w:rsidRPr="00C43B52">
        <w:rPr>
          <w:rFonts w:ascii="Arial" w:hAnsi="Arial" w:cs="Arial"/>
        </w:rPr>
        <w:t>United States v. Figueroa-Cartagena, 612 F.3d 69, 85 (1st Cir. 2010)</w:t>
      </w:r>
      <w:r w:rsidR="000818DB">
        <w:rPr>
          <w:rFonts w:ascii="Arial" w:hAnsi="Arial" w:cs="Arial"/>
        </w:rPr>
        <w:t xml:space="preserve"> (“</w:t>
      </w:r>
      <w:r w:rsidR="000818DB" w:rsidRPr="000818DB">
        <w:rPr>
          <w:rFonts w:ascii="Arial" w:hAnsi="Arial" w:cs="Arial"/>
        </w:rPr>
        <w:t>The threshold question in every case is whether the challenged statement is testimonial</w:t>
      </w:r>
      <w:r w:rsidR="000818DB">
        <w:rPr>
          <w:rFonts w:ascii="Arial" w:hAnsi="Arial" w:cs="Arial"/>
        </w:rPr>
        <w:t>.”)</w:t>
      </w:r>
      <w:r w:rsidRPr="00C43B52">
        <w:rPr>
          <w:rFonts w:ascii="Arial" w:hAnsi="Arial" w:cs="Arial"/>
        </w:rPr>
        <w:t xml:space="preserve">; United States v. Dale, 614 F.3d 942, 955 (8th Cir. 2010); United States v. Johnson, 581 F.3d 320, 325-26 (6th Cir. 2009). </w:t>
      </w:r>
    </w:p>
    <w:p w14:paraId="5F5EFED4" w14:textId="25302A00" w:rsidR="005A38D0" w:rsidRPr="00C43B52" w:rsidRDefault="005A38D0" w:rsidP="00C43B52">
      <w:pPr>
        <w:pStyle w:val="ListParagraph"/>
        <w:spacing w:after="0" w:line="240" w:lineRule="auto"/>
        <w:ind w:left="2160" w:firstLine="720"/>
        <w:rPr>
          <w:rFonts w:ascii="Arial" w:hAnsi="Arial" w:cs="Arial"/>
          <w:b/>
          <w:bCs/>
        </w:rPr>
      </w:pPr>
      <w:r w:rsidRPr="00C43B52">
        <w:rPr>
          <w:rFonts w:ascii="Arial" w:hAnsi="Arial" w:cs="Arial"/>
        </w:rPr>
        <w:t xml:space="preserve">The </w:t>
      </w:r>
      <w:r w:rsidRPr="00C43B52">
        <w:rPr>
          <w:rFonts w:ascii="Arial" w:hAnsi="Arial" w:cs="Arial"/>
          <w:i/>
          <w:iCs/>
        </w:rPr>
        <w:t xml:space="preserve">Bruton </w:t>
      </w:r>
      <w:r w:rsidRPr="00C43B52">
        <w:rPr>
          <w:rFonts w:ascii="Arial" w:hAnsi="Arial" w:cs="Arial"/>
        </w:rPr>
        <w:t xml:space="preserve">issue arises most typically with respect a co-defendant’s confession that was procured through police interrogation. Such a statement is clearly testimonial under </w:t>
      </w:r>
      <w:r w:rsidRPr="00C43B52">
        <w:rPr>
          <w:rFonts w:ascii="Arial" w:hAnsi="Arial" w:cs="Arial"/>
          <w:i/>
          <w:iCs/>
        </w:rPr>
        <w:t xml:space="preserve">Crawford. Crawford, </w:t>
      </w:r>
      <w:r w:rsidRPr="00C43B52">
        <w:rPr>
          <w:rFonts w:ascii="Arial" w:hAnsi="Arial" w:cs="Arial"/>
        </w:rPr>
        <w:t>541 U.S. at 51.</w:t>
      </w:r>
      <w:r w:rsidRPr="00C43B52">
        <w:rPr>
          <w:rFonts w:ascii="Arial" w:hAnsi="Arial" w:cs="Arial"/>
          <w:i/>
          <w:iCs/>
        </w:rPr>
        <w:t xml:space="preserve"> </w:t>
      </w:r>
      <w:r w:rsidRPr="00C43B52">
        <w:rPr>
          <w:rFonts w:ascii="Arial" w:hAnsi="Arial" w:cs="Arial"/>
        </w:rPr>
        <w:t>Because</w:t>
      </w:r>
      <w:r w:rsidR="00D6621B">
        <w:rPr>
          <w:rFonts w:ascii="Arial" w:hAnsi="Arial" w:cs="Arial"/>
        </w:rPr>
        <w:t>, however,</w:t>
      </w:r>
      <w:r w:rsidRPr="00C43B52">
        <w:rPr>
          <w:rFonts w:ascii="Arial" w:hAnsi="Arial" w:cs="Arial"/>
        </w:rPr>
        <w:t xml:space="preserve"> the </w:t>
      </w:r>
      <w:r w:rsidRPr="00C43B52">
        <w:rPr>
          <w:rFonts w:ascii="Arial" w:hAnsi="Arial" w:cs="Arial"/>
          <w:i/>
          <w:iCs/>
        </w:rPr>
        <w:t xml:space="preserve">Bruton </w:t>
      </w:r>
      <w:r w:rsidRPr="00C43B52">
        <w:rPr>
          <w:rFonts w:ascii="Arial" w:hAnsi="Arial" w:cs="Arial"/>
        </w:rPr>
        <w:t xml:space="preserve">rule is not limited to confessions procured by police interrogation, issues may arise as to whether </w:t>
      </w:r>
      <w:r w:rsidR="00C43B52">
        <w:rPr>
          <w:rFonts w:ascii="Arial" w:hAnsi="Arial" w:cs="Arial"/>
        </w:rPr>
        <w:t>a</w:t>
      </w:r>
      <w:r w:rsidRPr="00C43B52">
        <w:rPr>
          <w:rFonts w:ascii="Arial" w:hAnsi="Arial" w:cs="Arial"/>
        </w:rPr>
        <w:t xml:space="preserve"> confession is testimonial and subject to the confrontation clause at all. For guidance on that issue, see </w:t>
      </w:r>
      <w:hyperlink r:id="rId9" w:history="1">
        <w:r w:rsidRPr="00D75220">
          <w:rPr>
            <w:rStyle w:val="Hyperlink"/>
            <w:rFonts w:ascii="Arial" w:hAnsi="Arial" w:cs="Arial"/>
            <w:i/>
            <w:iCs/>
          </w:rPr>
          <w:t>Crawf</w:t>
        </w:r>
        <w:r w:rsidRPr="00D75220">
          <w:rPr>
            <w:rStyle w:val="Hyperlink"/>
            <w:rFonts w:ascii="Arial" w:hAnsi="Arial" w:cs="Arial"/>
            <w:i/>
            <w:iCs/>
          </w:rPr>
          <w:t>o</w:t>
        </w:r>
        <w:r w:rsidRPr="00D75220">
          <w:rPr>
            <w:rStyle w:val="Hyperlink"/>
            <w:rFonts w:ascii="Arial" w:hAnsi="Arial" w:cs="Arial"/>
            <w:i/>
            <w:iCs/>
          </w:rPr>
          <w:t xml:space="preserve">rd </w:t>
        </w:r>
        <w:r w:rsidR="00D75220" w:rsidRPr="00D75220">
          <w:rPr>
            <w:rStyle w:val="Hyperlink"/>
            <w:rFonts w:ascii="Arial" w:hAnsi="Arial" w:cs="Arial"/>
          </w:rPr>
          <w:t>&amp; the Confrontation Clause</w:t>
        </w:r>
      </w:hyperlink>
      <w:r w:rsidRPr="00C43B52">
        <w:rPr>
          <w:rFonts w:ascii="Arial" w:hAnsi="Arial" w:cs="Arial"/>
        </w:rPr>
        <w:t>.</w:t>
      </w:r>
    </w:p>
    <w:p w14:paraId="66623E71" w14:textId="3D684C64" w:rsidR="00A50965" w:rsidRPr="00D70F9D" w:rsidRDefault="005A38D0" w:rsidP="00D70F9D">
      <w:pPr>
        <w:pStyle w:val="ListParagraph"/>
        <w:spacing w:after="0" w:line="240" w:lineRule="auto"/>
        <w:ind w:left="2160" w:hanging="720"/>
        <w:rPr>
          <w:rFonts w:ascii="Arial" w:hAnsi="Arial" w:cs="Arial"/>
        </w:rPr>
      </w:pPr>
      <w:r w:rsidRPr="00C43B52">
        <w:rPr>
          <w:rFonts w:ascii="Arial" w:hAnsi="Arial" w:cs="Arial"/>
          <w:b/>
          <w:bCs/>
        </w:rPr>
        <w:t>2.</w:t>
      </w:r>
      <w:r w:rsidRPr="00C43B52">
        <w:rPr>
          <w:rFonts w:ascii="Arial" w:hAnsi="Arial" w:cs="Arial"/>
        </w:rPr>
        <w:tab/>
      </w:r>
      <w:r w:rsidR="00CB6E44">
        <w:rPr>
          <w:rFonts w:ascii="Arial" w:hAnsi="Arial" w:cs="Arial"/>
          <w:b/>
          <w:bCs/>
        </w:rPr>
        <w:t>Statement Must be Offered for its Truth.</w:t>
      </w:r>
      <w:r w:rsidR="00CB6E44" w:rsidRPr="00C43B52">
        <w:rPr>
          <w:rFonts w:ascii="Arial" w:hAnsi="Arial" w:cs="Arial"/>
        </w:rPr>
        <w:t xml:space="preserve"> </w:t>
      </w:r>
      <w:r w:rsidR="00CB6E44">
        <w:rPr>
          <w:rFonts w:ascii="Arial" w:hAnsi="Arial" w:cs="Arial"/>
          <w:i/>
          <w:iCs/>
        </w:rPr>
        <w:t>Crawford</w:t>
      </w:r>
      <w:r w:rsidR="00CB6E44">
        <w:rPr>
          <w:rFonts w:ascii="Arial" w:hAnsi="Arial" w:cs="Arial"/>
        </w:rPr>
        <w:t xml:space="preserve"> </w:t>
      </w:r>
      <w:r w:rsidR="00AE3D13">
        <w:rPr>
          <w:rFonts w:ascii="Arial" w:hAnsi="Arial" w:cs="Arial"/>
        </w:rPr>
        <w:t xml:space="preserve">and its progeny also </w:t>
      </w:r>
      <w:r w:rsidR="00D6621B">
        <w:rPr>
          <w:rFonts w:ascii="Arial" w:hAnsi="Arial" w:cs="Arial"/>
        </w:rPr>
        <w:t>limit</w:t>
      </w:r>
      <w:r w:rsidR="00AE3D13">
        <w:rPr>
          <w:rFonts w:ascii="Arial" w:hAnsi="Arial" w:cs="Arial"/>
        </w:rPr>
        <w:t xml:space="preserve"> confrontation clause protections to testimonial statements that are offered to prove the truth of the matter asserted. </w:t>
      </w:r>
      <w:r w:rsidR="00A50965">
        <w:rPr>
          <w:rFonts w:ascii="Arial" w:hAnsi="Arial" w:cs="Arial"/>
          <w:i/>
          <w:iCs/>
        </w:rPr>
        <w:t>Crawford</w:t>
      </w:r>
      <w:r w:rsidR="00A50965">
        <w:rPr>
          <w:rFonts w:ascii="Arial" w:hAnsi="Arial" w:cs="Arial"/>
        </w:rPr>
        <w:t>,</w:t>
      </w:r>
      <w:r w:rsidR="00A50965">
        <w:rPr>
          <w:rFonts w:ascii="Arial" w:hAnsi="Arial" w:cs="Arial"/>
          <w:i/>
          <w:iCs/>
        </w:rPr>
        <w:t xml:space="preserve"> </w:t>
      </w:r>
      <w:r w:rsidR="00AE3D13">
        <w:rPr>
          <w:rFonts w:ascii="Arial" w:hAnsi="Arial" w:cs="Arial"/>
        </w:rPr>
        <w:t>541 U.S. at 59 n.9 (</w:t>
      </w:r>
      <w:r w:rsidR="00A50965">
        <w:rPr>
          <w:rFonts w:ascii="Arial" w:hAnsi="Arial" w:cs="Arial"/>
        </w:rPr>
        <w:t>“</w:t>
      </w:r>
      <w:r w:rsidR="00AE3D13">
        <w:rPr>
          <w:rFonts w:ascii="Arial" w:hAnsi="Arial" w:cs="Arial"/>
        </w:rPr>
        <w:t>The [Confrontation] Clause . . . does not bar the use of testimonial statements for purposes other than establishing the truth of the matter asserted.”); Smith v. Arizona, 602 U.S. 779, 785 (2024) (“</w:t>
      </w:r>
      <w:r w:rsidR="00AE3D13" w:rsidRPr="00AE3D13">
        <w:rPr>
          <w:rFonts w:ascii="Arial" w:hAnsi="Arial" w:cs="Arial"/>
        </w:rPr>
        <w:t xml:space="preserve">When a statement is admitted for a reason unrelated to its truth, we have held, the Clause's role in protecting the right of cross-examination is not implicated. That is because the need to test an </w:t>
      </w:r>
      <w:proofErr w:type="gramStart"/>
      <w:r w:rsidR="00AE3D13" w:rsidRPr="00AE3D13">
        <w:rPr>
          <w:rFonts w:ascii="Arial" w:hAnsi="Arial" w:cs="Arial"/>
        </w:rPr>
        <w:t>absent witness ebbs</w:t>
      </w:r>
      <w:proofErr w:type="gramEnd"/>
      <w:r w:rsidR="00AE3D13" w:rsidRPr="00AE3D13">
        <w:rPr>
          <w:rFonts w:ascii="Arial" w:hAnsi="Arial" w:cs="Arial"/>
        </w:rPr>
        <w:t xml:space="preserve"> when her truthfulness is not at issue.</w:t>
      </w:r>
      <w:r w:rsidR="00AE3D13">
        <w:rPr>
          <w:rFonts w:ascii="Arial" w:hAnsi="Arial" w:cs="Arial"/>
        </w:rPr>
        <w:t>”</w:t>
      </w:r>
      <w:r w:rsidR="00AE3D13" w:rsidRPr="00AE3D13">
        <w:rPr>
          <w:rFonts w:ascii="Arial" w:hAnsi="Arial" w:cs="Arial"/>
        </w:rPr>
        <w:t xml:space="preserve"> (</w:t>
      </w:r>
      <w:r w:rsidR="00AE3D13">
        <w:rPr>
          <w:rFonts w:ascii="Arial" w:hAnsi="Arial" w:cs="Arial"/>
        </w:rPr>
        <w:t>i</w:t>
      </w:r>
      <w:r w:rsidR="00AE3D13" w:rsidRPr="00AE3D13">
        <w:rPr>
          <w:rFonts w:ascii="Arial" w:hAnsi="Arial" w:cs="Arial"/>
        </w:rPr>
        <w:t xml:space="preserve">nternal </w:t>
      </w:r>
      <w:r w:rsidR="00AE3D13">
        <w:rPr>
          <w:rFonts w:ascii="Arial" w:hAnsi="Arial" w:cs="Arial"/>
        </w:rPr>
        <w:t xml:space="preserve">quotation and </w:t>
      </w:r>
      <w:r w:rsidR="00AE3D13" w:rsidRPr="00AE3D13">
        <w:rPr>
          <w:rFonts w:ascii="Arial" w:hAnsi="Arial" w:cs="Arial"/>
        </w:rPr>
        <w:t>citation omitted))</w:t>
      </w:r>
      <w:r w:rsidR="00AE3D13">
        <w:rPr>
          <w:rFonts w:ascii="Arial" w:hAnsi="Arial" w:cs="Arial"/>
        </w:rPr>
        <w:t xml:space="preserve">. Thus, </w:t>
      </w:r>
      <w:r w:rsidR="00CB6E44">
        <w:rPr>
          <w:rFonts w:ascii="Arial" w:hAnsi="Arial" w:cs="Arial"/>
        </w:rPr>
        <w:t xml:space="preserve">a statement that is offered for a purpose other than its truth, such as impeachment, falls outside the confrontation clause. </w:t>
      </w:r>
      <w:r w:rsidR="00AE3D13">
        <w:rPr>
          <w:rFonts w:ascii="Arial" w:hAnsi="Arial" w:cs="Arial"/>
          <w:i/>
          <w:iCs/>
        </w:rPr>
        <w:t>Crawford</w:t>
      </w:r>
      <w:r w:rsidR="00AE3D13">
        <w:rPr>
          <w:rFonts w:ascii="Arial" w:hAnsi="Arial" w:cs="Arial"/>
        </w:rPr>
        <w:t>,</w:t>
      </w:r>
      <w:r w:rsidR="00AE3D13">
        <w:rPr>
          <w:rFonts w:ascii="Arial" w:hAnsi="Arial" w:cs="Arial"/>
          <w:i/>
          <w:iCs/>
        </w:rPr>
        <w:t xml:space="preserve"> </w:t>
      </w:r>
      <w:r w:rsidR="00CB6E44">
        <w:rPr>
          <w:rFonts w:ascii="Arial" w:hAnsi="Arial" w:cs="Arial"/>
        </w:rPr>
        <w:t>541 U.S. at 59 n.9.</w:t>
      </w:r>
      <w:r w:rsidR="00836821">
        <w:rPr>
          <w:rFonts w:ascii="Arial" w:hAnsi="Arial" w:cs="Arial"/>
        </w:rPr>
        <w:t xml:space="preserve"> </w:t>
      </w:r>
      <w:r w:rsidR="00836821" w:rsidRPr="00C43B52">
        <w:rPr>
          <w:rFonts w:ascii="Arial" w:hAnsi="Arial" w:cs="Arial"/>
        </w:rPr>
        <w:t xml:space="preserve">For </w:t>
      </w:r>
      <w:r w:rsidR="00836821">
        <w:rPr>
          <w:rFonts w:ascii="Arial" w:hAnsi="Arial" w:cs="Arial"/>
        </w:rPr>
        <w:t xml:space="preserve">a discussion of </w:t>
      </w:r>
      <w:r w:rsidR="00A50965">
        <w:rPr>
          <w:rFonts w:ascii="Arial" w:hAnsi="Arial" w:cs="Arial"/>
        </w:rPr>
        <w:t xml:space="preserve">common </w:t>
      </w:r>
      <w:r w:rsidR="00836821">
        <w:rPr>
          <w:rFonts w:ascii="Arial" w:hAnsi="Arial" w:cs="Arial"/>
        </w:rPr>
        <w:t>purposes for which a statement may be offered other than its truth</w:t>
      </w:r>
      <w:r w:rsidR="00836821" w:rsidRPr="00C43B52">
        <w:rPr>
          <w:rFonts w:ascii="Arial" w:hAnsi="Arial" w:cs="Arial"/>
        </w:rPr>
        <w:t xml:space="preserve">, see </w:t>
      </w:r>
      <w:hyperlink r:id="rId10" w:history="1">
        <w:r w:rsidR="00836821" w:rsidRPr="00D75220">
          <w:rPr>
            <w:rStyle w:val="Hyperlink"/>
            <w:rFonts w:ascii="Arial" w:hAnsi="Arial" w:cs="Arial"/>
            <w:i/>
            <w:iCs/>
          </w:rPr>
          <w:t xml:space="preserve">Crawford </w:t>
        </w:r>
        <w:r w:rsidR="00836821" w:rsidRPr="00D75220">
          <w:rPr>
            <w:rStyle w:val="Hyperlink"/>
            <w:rFonts w:ascii="Arial" w:hAnsi="Arial" w:cs="Arial"/>
          </w:rPr>
          <w:t>&amp; the Confrontation Clause</w:t>
        </w:r>
      </w:hyperlink>
      <w:r w:rsidR="00D12B7C">
        <w:rPr>
          <w:rFonts w:ascii="Arial" w:hAnsi="Arial" w:cs="Arial"/>
        </w:rPr>
        <w:t>.</w:t>
      </w:r>
      <w:r w:rsidR="002C3E7D">
        <w:rPr>
          <w:rFonts w:ascii="Arial" w:hAnsi="Arial" w:cs="Arial"/>
        </w:rPr>
        <w:t xml:space="preserve"> </w:t>
      </w:r>
      <w:r w:rsidR="002C3E7D" w:rsidRPr="00576F78">
        <w:rPr>
          <w:rFonts w:ascii="Arial" w:hAnsi="Arial" w:cs="Arial"/>
        </w:rPr>
        <w:t>The United States Supreme Court applied this limitation of the confrontation clause</w:t>
      </w:r>
      <w:r w:rsidR="002C3E7D">
        <w:rPr>
          <w:rFonts w:ascii="Arial" w:hAnsi="Arial" w:cs="Arial"/>
        </w:rPr>
        <w:t xml:space="preserve"> outside the context of </w:t>
      </w:r>
      <w:r w:rsidR="002C3E7D">
        <w:rPr>
          <w:rFonts w:ascii="Arial" w:hAnsi="Arial" w:cs="Arial"/>
          <w:i/>
          <w:iCs/>
        </w:rPr>
        <w:t>Bruton</w:t>
      </w:r>
      <w:r w:rsidR="002C3E7D" w:rsidRPr="00576F78">
        <w:rPr>
          <w:rFonts w:ascii="Arial" w:hAnsi="Arial" w:cs="Arial"/>
        </w:rPr>
        <w:t xml:space="preserve"> in </w:t>
      </w:r>
      <w:r w:rsidR="002C3E7D" w:rsidRPr="00576F78">
        <w:rPr>
          <w:rFonts w:ascii="Arial" w:hAnsi="Arial" w:cs="Arial"/>
          <w:i/>
          <w:iCs/>
        </w:rPr>
        <w:t>Tennessee v. Street</w:t>
      </w:r>
      <w:r w:rsidR="002C3E7D">
        <w:rPr>
          <w:rFonts w:ascii="Arial" w:hAnsi="Arial" w:cs="Arial"/>
        </w:rPr>
        <w:t>,</w:t>
      </w:r>
      <w:r w:rsidR="002C3E7D" w:rsidRPr="00576F78">
        <w:rPr>
          <w:rFonts w:ascii="Arial" w:hAnsi="Arial" w:cs="Arial"/>
        </w:rPr>
        <w:t xml:space="preserve"> a pre-</w:t>
      </w:r>
      <w:r w:rsidR="002C3E7D" w:rsidRPr="00576F78">
        <w:rPr>
          <w:rFonts w:ascii="Arial" w:hAnsi="Arial" w:cs="Arial"/>
          <w:i/>
          <w:iCs/>
        </w:rPr>
        <w:t xml:space="preserve">Crawford </w:t>
      </w:r>
      <w:r w:rsidR="002C3E7D" w:rsidRPr="00576F78">
        <w:rPr>
          <w:rFonts w:ascii="Arial" w:hAnsi="Arial" w:cs="Arial"/>
        </w:rPr>
        <w:t>case involv</w:t>
      </w:r>
      <w:r w:rsidR="002C3E7D">
        <w:rPr>
          <w:rFonts w:ascii="Arial" w:hAnsi="Arial" w:cs="Arial"/>
        </w:rPr>
        <w:t>ing</w:t>
      </w:r>
      <w:r w:rsidR="002C3E7D" w:rsidRPr="00576F78">
        <w:rPr>
          <w:rFonts w:ascii="Arial" w:hAnsi="Arial" w:cs="Arial"/>
        </w:rPr>
        <w:t xml:space="preserve"> a confession by a non-testifying and separately tried accomplice that incriminated the defendant and was offered to impeach the defendant’s testimony</w:t>
      </w:r>
      <w:r w:rsidR="002C3E7D">
        <w:rPr>
          <w:rFonts w:ascii="Arial" w:hAnsi="Arial" w:cs="Arial"/>
        </w:rPr>
        <w:t>.</w:t>
      </w:r>
      <w:r w:rsidR="002C3E7D" w:rsidRPr="00576F78">
        <w:rPr>
          <w:rFonts w:ascii="Arial" w:hAnsi="Arial" w:cs="Arial"/>
        </w:rPr>
        <w:t xml:space="preserve"> 471 U.S. 409, 413-17 (1985)</w:t>
      </w:r>
      <w:r w:rsidR="002C3E7D">
        <w:rPr>
          <w:rFonts w:ascii="Arial" w:hAnsi="Arial" w:cs="Arial"/>
        </w:rPr>
        <w:t xml:space="preserve"> (</w:t>
      </w:r>
      <w:r w:rsidR="002C3E7D" w:rsidRPr="00576F78">
        <w:rPr>
          <w:rFonts w:ascii="Arial" w:hAnsi="Arial" w:cs="Arial"/>
        </w:rPr>
        <w:t>not</w:t>
      </w:r>
      <w:r w:rsidR="002C3E7D">
        <w:rPr>
          <w:rFonts w:ascii="Arial" w:hAnsi="Arial" w:cs="Arial"/>
        </w:rPr>
        <w:t>ing</w:t>
      </w:r>
      <w:r w:rsidR="002C3E7D" w:rsidRPr="00576F78">
        <w:rPr>
          <w:rFonts w:ascii="Arial" w:hAnsi="Arial" w:cs="Arial"/>
        </w:rPr>
        <w:t xml:space="preserve"> the trial court’s “pointed” limiting instruction and the State’s lack of other alternatives for rebutting the defendant’s testimony</w:t>
      </w:r>
      <w:r w:rsidR="002C3E7D">
        <w:rPr>
          <w:rFonts w:ascii="Arial" w:hAnsi="Arial" w:cs="Arial"/>
        </w:rPr>
        <w:t>)</w:t>
      </w:r>
      <w:r w:rsidR="002C3E7D" w:rsidRPr="00576F78">
        <w:rPr>
          <w:rFonts w:ascii="Arial" w:hAnsi="Arial" w:cs="Arial"/>
        </w:rPr>
        <w:t>.</w:t>
      </w:r>
    </w:p>
    <w:p w14:paraId="5A62EA66" w14:textId="4FA5ABAF" w:rsidR="005A38D0" w:rsidRPr="00D70F9D" w:rsidRDefault="000954F0" w:rsidP="00D70F9D">
      <w:pPr>
        <w:pStyle w:val="ListParagraph"/>
        <w:spacing w:after="0" w:line="240" w:lineRule="auto"/>
        <w:ind w:left="2160" w:firstLine="720"/>
        <w:rPr>
          <w:rFonts w:ascii="Arial" w:hAnsi="Arial" w:cs="Arial"/>
        </w:rPr>
      </w:pPr>
      <w:r>
        <w:rPr>
          <w:rFonts w:ascii="Arial" w:hAnsi="Arial" w:cs="Arial"/>
        </w:rPr>
        <w:t>T</w:t>
      </w:r>
      <w:r w:rsidR="00D44236">
        <w:rPr>
          <w:rFonts w:ascii="Arial" w:hAnsi="Arial" w:cs="Arial"/>
        </w:rPr>
        <w:t>he apparent inapplicability of</w:t>
      </w:r>
      <w:r w:rsidR="00A50965">
        <w:rPr>
          <w:rFonts w:ascii="Arial" w:hAnsi="Arial" w:cs="Arial"/>
        </w:rPr>
        <w:t xml:space="preserve"> </w:t>
      </w:r>
      <w:r w:rsidR="00A50965">
        <w:rPr>
          <w:rFonts w:ascii="Arial" w:hAnsi="Arial" w:cs="Arial"/>
          <w:i/>
          <w:iCs/>
        </w:rPr>
        <w:t>Bruton</w:t>
      </w:r>
      <w:r w:rsidR="00A50965">
        <w:rPr>
          <w:rFonts w:ascii="Arial" w:hAnsi="Arial" w:cs="Arial"/>
        </w:rPr>
        <w:t>, as a rule grounded in</w:t>
      </w:r>
      <w:r w:rsidR="00D52660">
        <w:rPr>
          <w:rFonts w:ascii="Arial" w:hAnsi="Arial" w:cs="Arial"/>
          <w:i/>
          <w:iCs/>
        </w:rPr>
        <w:t xml:space="preserve"> </w:t>
      </w:r>
      <w:r w:rsidR="00D44236">
        <w:rPr>
          <w:rFonts w:ascii="Arial" w:hAnsi="Arial" w:cs="Arial"/>
        </w:rPr>
        <w:t>the confrontation clause</w:t>
      </w:r>
      <w:r w:rsidR="00A50965">
        <w:rPr>
          <w:rFonts w:ascii="Arial" w:hAnsi="Arial" w:cs="Arial"/>
        </w:rPr>
        <w:t>,</w:t>
      </w:r>
      <w:r w:rsidR="00D44236">
        <w:rPr>
          <w:rFonts w:ascii="Arial" w:hAnsi="Arial" w:cs="Arial"/>
        </w:rPr>
        <w:t xml:space="preserve"> to a </w:t>
      </w:r>
      <w:r w:rsidR="00A50965">
        <w:rPr>
          <w:rFonts w:ascii="Arial" w:hAnsi="Arial" w:cs="Arial"/>
        </w:rPr>
        <w:t>jointly tried</w:t>
      </w:r>
      <w:r w:rsidR="00D12B7C">
        <w:rPr>
          <w:rFonts w:ascii="Arial" w:hAnsi="Arial" w:cs="Arial"/>
        </w:rPr>
        <w:t xml:space="preserve"> </w:t>
      </w:r>
      <w:r w:rsidR="00D44236">
        <w:rPr>
          <w:rFonts w:ascii="Arial" w:hAnsi="Arial" w:cs="Arial"/>
        </w:rPr>
        <w:t>codefendant</w:t>
      </w:r>
      <w:r w:rsidR="00D12B7C">
        <w:rPr>
          <w:rFonts w:ascii="Arial" w:hAnsi="Arial" w:cs="Arial"/>
        </w:rPr>
        <w:t>’s</w:t>
      </w:r>
      <w:r w:rsidR="00D44236">
        <w:rPr>
          <w:rFonts w:ascii="Arial" w:hAnsi="Arial" w:cs="Arial"/>
        </w:rPr>
        <w:t xml:space="preserve"> </w:t>
      </w:r>
      <w:r w:rsidR="00A50965">
        <w:rPr>
          <w:rFonts w:ascii="Arial" w:hAnsi="Arial" w:cs="Arial"/>
        </w:rPr>
        <w:t xml:space="preserve">testimonial </w:t>
      </w:r>
      <w:r w:rsidR="00D44236">
        <w:rPr>
          <w:rFonts w:ascii="Arial" w:hAnsi="Arial" w:cs="Arial"/>
        </w:rPr>
        <w:t>statement offered for a purpose other than its truth ha</w:t>
      </w:r>
      <w:r w:rsidR="00A50965">
        <w:rPr>
          <w:rFonts w:ascii="Arial" w:hAnsi="Arial" w:cs="Arial"/>
        </w:rPr>
        <w:t>s</w:t>
      </w:r>
      <w:r w:rsidR="00D44236">
        <w:rPr>
          <w:rFonts w:ascii="Arial" w:hAnsi="Arial" w:cs="Arial"/>
        </w:rPr>
        <w:t xml:space="preserve"> not been </w:t>
      </w:r>
      <w:r w:rsidR="006513E4">
        <w:rPr>
          <w:rFonts w:ascii="Arial" w:hAnsi="Arial" w:cs="Arial"/>
        </w:rPr>
        <w:t>considered</w:t>
      </w:r>
      <w:r w:rsidR="00D44236">
        <w:rPr>
          <w:rFonts w:ascii="Arial" w:hAnsi="Arial" w:cs="Arial"/>
        </w:rPr>
        <w:t xml:space="preserve"> in a published North Carolina case</w:t>
      </w:r>
      <w:r>
        <w:rPr>
          <w:rFonts w:ascii="Arial" w:hAnsi="Arial" w:cs="Arial"/>
        </w:rPr>
        <w:t>.</w:t>
      </w:r>
      <w:r w:rsidR="002A5B8B">
        <w:rPr>
          <w:rFonts w:ascii="Arial" w:hAnsi="Arial" w:cs="Arial"/>
        </w:rPr>
        <w:t xml:space="preserve"> </w:t>
      </w:r>
      <w:r w:rsidR="00006A76">
        <w:rPr>
          <w:rFonts w:ascii="Arial" w:hAnsi="Arial" w:cs="Arial"/>
          <w:i/>
          <w:iCs/>
        </w:rPr>
        <w:t>See</w:t>
      </w:r>
      <w:r>
        <w:rPr>
          <w:rFonts w:ascii="Arial" w:hAnsi="Arial" w:cs="Arial"/>
        </w:rPr>
        <w:t xml:space="preserve"> </w:t>
      </w:r>
      <w:r w:rsidR="002A5B8B">
        <w:rPr>
          <w:rFonts w:ascii="Arial" w:hAnsi="Arial" w:cs="Arial"/>
        </w:rPr>
        <w:t>State v. Oxendine, 193 N.C. App. 247, *5 (2008) (unpublished) (</w:t>
      </w:r>
      <w:r w:rsidR="002C3E7D">
        <w:rPr>
          <w:rFonts w:ascii="Arial" w:hAnsi="Arial" w:cs="Arial"/>
        </w:rPr>
        <w:t xml:space="preserve">citing </w:t>
      </w:r>
      <w:r w:rsidR="002C3E7D">
        <w:rPr>
          <w:rFonts w:ascii="Arial" w:hAnsi="Arial" w:cs="Arial"/>
          <w:i/>
          <w:iCs/>
        </w:rPr>
        <w:t>Tennessee v. Street</w:t>
      </w:r>
      <w:r w:rsidR="002C3E7D">
        <w:rPr>
          <w:rFonts w:ascii="Arial" w:hAnsi="Arial" w:cs="Arial"/>
        </w:rPr>
        <w:t xml:space="preserve"> and </w:t>
      </w:r>
      <w:r w:rsidR="002A5B8B">
        <w:rPr>
          <w:rFonts w:ascii="Arial" w:hAnsi="Arial" w:cs="Arial"/>
        </w:rPr>
        <w:t xml:space="preserve">finding that </w:t>
      </w:r>
      <w:r w:rsidR="002A5B8B">
        <w:rPr>
          <w:rFonts w:ascii="Arial" w:hAnsi="Arial" w:cs="Arial"/>
          <w:i/>
          <w:iCs/>
        </w:rPr>
        <w:t xml:space="preserve">Bruton </w:t>
      </w:r>
      <w:r w:rsidR="002A5B8B">
        <w:rPr>
          <w:rFonts w:ascii="Arial" w:hAnsi="Arial" w:cs="Arial"/>
        </w:rPr>
        <w:t xml:space="preserve">did not prohibit introduction of a codefendant’s </w:t>
      </w:r>
      <w:r w:rsidR="00A50965">
        <w:rPr>
          <w:rFonts w:ascii="Arial" w:hAnsi="Arial" w:cs="Arial"/>
        </w:rPr>
        <w:t xml:space="preserve">testimonial </w:t>
      </w:r>
      <w:r w:rsidR="002A5B8B">
        <w:rPr>
          <w:rFonts w:ascii="Arial" w:hAnsi="Arial" w:cs="Arial"/>
        </w:rPr>
        <w:t xml:space="preserve">statements not offered for their truth; case involved redacted statements and a limiting instruction). </w:t>
      </w:r>
      <w:r>
        <w:rPr>
          <w:rFonts w:ascii="Arial" w:hAnsi="Arial" w:cs="Arial"/>
        </w:rPr>
        <w:t xml:space="preserve">As noted below, the statutory rule concerning objections to joinder of defendants, G.S. 15A-927(c)(1), is broader than the constitutional </w:t>
      </w:r>
      <w:r>
        <w:rPr>
          <w:rFonts w:ascii="Arial" w:hAnsi="Arial" w:cs="Arial"/>
          <w:i/>
          <w:iCs/>
        </w:rPr>
        <w:t>Bruton</w:t>
      </w:r>
      <w:r>
        <w:rPr>
          <w:rFonts w:ascii="Arial" w:hAnsi="Arial" w:cs="Arial"/>
        </w:rPr>
        <w:t xml:space="preserve"> rule and severance is required if a joint trial imperils a defendant’s due process right to a fair trial. G.S. 15A-927(c)(2).</w:t>
      </w:r>
      <w:r w:rsidR="004B7AB8">
        <w:rPr>
          <w:rFonts w:ascii="Arial" w:hAnsi="Arial" w:cs="Arial"/>
        </w:rPr>
        <w:t xml:space="preserve"> </w:t>
      </w:r>
      <w:r w:rsidR="004B7AB8">
        <w:rPr>
          <w:rFonts w:ascii="Arial" w:hAnsi="Arial" w:cs="Arial"/>
          <w:i/>
          <w:iCs/>
        </w:rPr>
        <w:t>See also</w:t>
      </w:r>
      <w:r w:rsidR="004B7AB8">
        <w:rPr>
          <w:rFonts w:ascii="Arial" w:hAnsi="Arial" w:cs="Arial"/>
        </w:rPr>
        <w:t xml:space="preserve"> State v. Jones, 280 N.C. 322, 339 (1972) (noting the possibility that a defendant’s right to a fair trial could be infringed by the introduction </w:t>
      </w:r>
      <w:r w:rsidR="004B7AB8">
        <w:rPr>
          <w:rFonts w:ascii="Arial" w:hAnsi="Arial" w:cs="Arial"/>
        </w:rPr>
        <w:lastRenderedPageBreak/>
        <w:t>of a codefendant’s statement incriminating the defendant even if there is no violation of the confrontation clause).</w:t>
      </w:r>
    </w:p>
    <w:p w14:paraId="1FC72DAA" w14:textId="3FB4464E" w:rsidR="005A38D0" w:rsidRPr="007F57C7" w:rsidRDefault="00D70F9D" w:rsidP="00EF791F">
      <w:pPr>
        <w:pStyle w:val="ListParagraph"/>
        <w:spacing w:after="0" w:line="240" w:lineRule="auto"/>
        <w:ind w:left="2160" w:hanging="720"/>
        <w:rPr>
          <w:rFonts w:ascii="Arial" w:hAnsi="Arial" w:cs="Arial"/>
        </w:rPr>
      </w:pPr>
      <w:r>
        <w:rPr>
          <w:rFonts w:ascii="Arial" w:hAnsi="Arial" w:cs="Arial"/>
          <w:b/>
          <w:bCs/>
        </w:rPr>
        <w:t>3</w:t>
      </w:r>
      <w:r w:rsidR="005A38D0" w:rsidRPr="00C43B52">
        <w:rPr>
          <w:rFonts w:ascii="Arial" w:hAnsi="Arial" w:cs="Arial"/>
          <w:b/>
          <w:bCs/>
        </w:rPr>
        <w:t>.</w:t>
      </w:r>
      <w:r w:rsidR="005A38D0" w:rsidRPr="00C43B52">
        <w:rPr>
          <w:rFonts w:ascii="Arial" w:hAnsi="Arial" w:cs="Arial"/>
        </w:rPr>
        <w:tab/>
      </w:r>
      <w:r w:rsidR="005A38D0" w:rsidRPr="00C43B52">
        <w:rPr>
          <w:rFonts w:ascii="Arial" w:hAnsi="Arial" w:cs="Arial"/>
          <w:b/>
          <w:bCs/>
        </w:rPr>
        <w:t>Scope of the Rules.</w:t>
      </w:r>
      <w:r w:rsidR="005A38D0" w:rsidRPr="00C43B52">
        <w:rPr>
          <w:rFonts w:ascii="Arial" w:hAnsi="Arial" w:cs="Arial"/>
        </w:rPr>
        <w:t xml:space="preserve"> </w:t>
      </w:r>
      <w:proofErr w:type="gramStart"/>
      <w:r w:rsidR="005A38D0" w:rsidRPr="00C43B52">
        <w:rPr>
          <w:rFonts w:ascii="Arial" w:hAnsi="Arial" w:cs="Arial"/>
        </w:rPr>
        <w:t>Finally</w:t>
      </w:r>
      <w:proofErr w:type="gramEnd"/>
      <w:r w:rsidR="005A38D0" w:rsidRPr="00C43B52">
        <w:rPr>
          <w:rFonts w:ascii="Arial" w:hAnsi="Arial" w:cs="Arial"/>
        </w:rPr>
        <w:t xml:space="preserve"> it is worth noting a difference in the scope of the two </w:t>
      </w:r>
      <w:r w:rsidR="00687263">
        <w:rPr>
          <w:rFonts w:ascii="Arial" w:hAnsi="Arial" w:cs="Arial"/>
        </w:rPr>
        <w:t xml:space="preserve">constitutional </w:t>
      </w:r>
      <w:r w:rsidR="005A38D0" w:rsidRPr="00C43B52">
        <w:rPr>
          <w:rFonts w:ascii="Arial" w:hAnsi="Arial" w:cs="Arial"/>
        </w:rPr>
        <w:t xml:space="preserve">rules. </w:t>
      </w:r>
      <w:r w:rsidR="005A38D0" w:rsidRPr="00C43B52">
        <w:rPr>
          <w:rFonts w:ascii="Arial" w:hAnsi="Arial" w:cs="Arial"/>
          <w:i/>
          <w:iCs/>
        </w:rPr>
        <w:t>Crawford</w:t>
      </w:r>
      <w:r w:rsidR="005A38D0" w:rsidRPr="00C43B52">
        <w:rPr>
          <w:rFonts w:ascii="Arial" w:hAnsi="Arial" w:cs="Arial"/>
        </w:rPr>
        <w:t xml:space="preserve"> applies whenever the State seeks to admit a testimonial hearsay statement of a non-testifying declarant. </w:t>
      </w:r>
      <w:r w:rsidR="005A38D0" w:rsidRPr="00C43B52">
        <w:rPr>
          <w:rFonts w:ascii="Arial" w:hAnsi="Arial" w:cs="Arial"/>
          <w:i/>
          <w:iCs/>
        </w:rPr>
        <w:t>Bruton</w:t>
      </w:r>
      <w:r w:rsidR="005A38D0" w:rsidRPr="00C43B52">
        <w:rPr>
          <w:rFonts w:ascii="Arial" w:hAnsi="Arial" w:cs="Arial"/>
        </w:rPr>
        <w:t xml:space="preserve"> applies in a more limited context: whenever the State </w:t>
      </w:r>
      <w:r w:rsidR="008D7878">
        <w:rPr>
          <w:rFonts w:ascii="Arial" w:hAnsi="Arial" w:cs="Arial"/>
        </w:rPr>
        <w:t xml:space="preserve">in a joint trial </w:t>
      </w:r>
      <w:r w:rsidR="005A38D0" w:rsidRPr="00C43B52">
        <w:rPr>
          <w:rFonts w:ascii="Arial" w:hAnsi="Arial" w:cs="Arial"/>
        </w:rPr>
        <w:t>seeks to admit a testimonial hearsay confession of a non-testifying codefendant that directly incriminates the defendant</w:t>
      </w:r>
      <w:r>
        <w:rPr>
          <w:rFonts w:ascii="Arial" w:hAnsi="Arial" w:cs="Arial"/>
        </w:rPr>
        <w:t>.</w:t>
      </w:r>
    </w:p>
    <w:p w14:paraId="372F87BC" w14:textId="77777777" w:rsidR="005A38D0" w:rsidRPr="00C43B52" w:rsidRDefault="005A38D0" w:rsidP="007962B9">
      <w:pPr>
        <w:pStyle w:val="ListParagraph"/>
        <w:spacing w:after="0" w:line="240" w:lineRule="auto"/>
        <w:ind w:left="1440" w:hanging="360"/>
        <w:rPr>
          <w:rFonts w:ascii="Arial" w:hAnsi="Arial" w:cs="Arial"/>
          <w:b/>
          <w:bCs/>
        </w:rPr>
      </w:pPr>
    </w:p>
    <w:p w14:paraId="3576FAE2" w14:textId="164DCFDD" w:rsidR="005A38D0" w:rsidRPr="00C43B52" w:rsidRDefault="000818DB" w:rsidP="00EF791F">
      <w:pPr>
        <w:pStyle w:val="ListParagraph"/>
        <w:numPr>
          <w:ilvl w:val="0"/>
          <w:numId w:val="3"/>
        </w:numPr>
        <w:spacing w:after="0" w:line="240" w:lineRule="auto"/>
        <w:ind w:left="1440" w:hanging="720"/>
        <w:rPr>
          <w:rFonts w:ascii="Arial" w:hAnsi="Arial" w:cs="Arial"/>
        </w:rPr>
      </w:pPr>
      <w:bookmarkStart w:id="3" w:name="_Toc197096001"/>
      <w:r>
        <w:rPr>
          <w:rStyle w:val="Heading2Char"/>
        </w:rPr>
        <w:t xml:space="preserve">Statement </w:t>
      </w:r>
      <w:r w:rsidR="005A38D0" w:rsidRPr="00C279D7">
        <w:rPr>
          <w:rStyle w:val="Heading2Char"/>
        </w:rPr>
        <w:t xml:space="preserve">Must </w:t>
      </w:r>
      <w:r w:rsidR="00A16ABA">
        <w:rPr>
          <w:rStyle w:val="Heading2Char"/>
        </w:rPr>
        <w:t xml:space="preserve">Directly </w:t>
      </w:r>
      <w:r w:rsidR="005A38D0" w:rsidRPr="00C279D7">
        <w:rPr>
          <w:rStyle w:val="Heading2Char"/>
        </w:rPr>
        <w:t>Incriminate</w:t>
      </w:r>
      <w:bookmarkEnd w:id="3"/>
      <w:r w:rsidR="005A38D0" w:rsidRPr="00C43B52">
        <w:rPr>
          <w:rFonts w:ascii="Arial" w:hAnsi="Arial" w:cs="Arial"/>
          <w:b/>
          <w:bCs/>
        </w:rPr>
        <w:t xml:space="preserve">. </w:t>
      </w:r>
      <w:r w:rsidR="005A38D0" w:rsidRPr="00C43B52">
        <w:rPr>
          <w:rFonts w:ascii="Arial" w:hAnsi="Arial" w:cs="Arial"/>
        </w:rPr>
        <w:t xml:space="preserve">The </w:t>
      </w:r>
      <w:r w:rsidR="005A38D0" w:rsidRPr="00C43B52">
        <w:rPr>
          <w:rFonts w:ascii="Arial" w:hAnsi="Arial" w:cs="Arial"/>
          <w:i/>
          <w:iCs/>
        </w:rPr>
        <w:t xml:space="preserve">Bruton </w:t>
      </w:r>
      <w:r w:rsidR="005A38D0" w:rsidRPr="00C43B52">
        <w:rPr>
          <w:rFonts w:ascii="Arial" w:hAnsi="Arial" w:cs="Arial"/>
        </w:rPr>
        <w:t xml:space="preserve">rule only applies if the statement </w:t>
      </w:r>
      <w:r w:rsidR="00E016FB">
        <w:rPr>
          <w:rFonts w:ascii="Arial" w:hAnsi="Arial" w:cs="Arial"/>
        </w:rPr>
        <w:t xml:space="preserve">directly </w:t>
      </w:r>
      <w:r w:rsidR="005A38D0" w:rsidRPr="00C43B52">
        <w:rPr>
          <w:rFonts w:ascii="Arial" w:hAnsi="Arial" w:cs="Arial"/>
        </w:rPr>
        <w:t xml:space="preserve">incriminates the defendant. </w:t>
      </w:r>
      <w:r w:rsidR="00E016FB">
        <w:rPr>
          <w:rFonts w:ascii="Arial" w:hAnsi="Arial" w:cs="Arial"/>
          <w:i/>
          <w:iCs/>
        </w:rPr>
        <w:t>Samia</w:t>
      </w:r>
      <w:r w:rsidR="00E016FB">
        <w:rPr>
          <w:rFonts w:ascii="Arial" w:hAnsi="Arial" w:cs="Arial"/>
        </w:rPr>
        <w:t xml:space="preserve">, 599 U.S. at </w:t>
      </w:r>
      <w:r w:rsidR="00B8288D">
        <w:rPr>
          <w:rFonts w:ascii="Arial" w:hAnsi="Arial" w:cs="Arial"/>
        </w:rPr>
        <w:t>647-48 (so stating)</w:t>
      </w:r>
      <w:r w:rsidR="00E016FB">
        <w:rPr>
          <w:rFonts w:ascii="Arial" w:hAnsi="Arial" w:cs="Arial"/>
        </w:rPr>
        <w:t xml:space="preserve">; </w:t>
      </w:r>
      <w:r w:rsidR="005A38D0" w:rsidRPr="00C43B52">
        <w:rPr>
          <w:rFonts w:ascii="Arial" w:hAnsi="Arial" w:cs="Arial"/>
        </w:rPr>
        <w:t>State v. Brewington, 352 N.C. 489, 51</w:t>
      </w:r>
      <w:r w:rsidR="00E016FB">
        <w:rPr>
          <w:rFonts w:ascii="Arial" w:hAnsi="Arial" w:cs="Arial"/>
        </w:rPr>
        <w:t>0</w:t>
      </w:r>
      <w:r w:rsidR="005A38D0" w:rsidRPr="00C43B52">
        <w:rPr>
          <w:rFonts w:ascii="Arial" w:hAnsi="Arial" w:cs="Arial"/>
        </w:rPr>
        <w:t xml:space="preserve"> (2000)</w:t>
      </w:r>
      <w:r w:rsidR="00B8288D">
        <w:rPr>
          <w:rFonts w:ascii="Arial" w:hAnsi="Arial" w:cs="Arial"/>
        </w:rPr>
        <w:t xml:space="preserve"> (same)</w:t>
      </w:r>
      <w:r w:rsidR="005A38D0" w:rsidRPr="00C43B52">
        <w:rPr>
          <w:rFonts w:ascii="Arial" w:hAnsi="Arial" w:cs="Arial"/>
        </w:rPr>
        <w:t xml:space="preserve">. </w:t>
      </w:r>
    </w:p>
    <w:p w14:paraId="7360E4E9" w14:textId="0DD8B4B6" w:rsidR="00B8288D" w:rsidRDefault="00B8288D" w:rsidP="00B8288D">
      <w:pPr>
        <w:pStyle w:val="ListParagraph"/>
        <w:numPr>
          <w:ilvl w:val="0"/>
          <w:numId w:val="6"/>
        </w:numPr>
        <w:spacing w:after="0" w:line="240" w:lineRule="auto"/>
        <w:ind w:left="2160" w:hanging="720"/>
        <w:rPr>
          <w:rFonts w:ascii="Arial" w:hAnsi="Arial" w:cs="Arial"/>
        </w:rPr>
      </w:pPr>
      <w:r>
        <w:rPr>
          <w:rFonts w:ascii="Arial" w:hAnsi="Arial" w:cs="Arial"/>
          <w:b/>
          <w:bCs/>
        </w:rPr>
        <w:t>Statements Containing no Reference to Defendant.</w:t>
      </w:r>
      <w:r>
        <w:rPr>
          <w:rFonts w:ascii="Arial" w:hAnsi="Arial" w:cs="Arial"/>
        </w:rPr>
        <w:t xml:space="preserve"> </w:t>
      </w:r>
      <w:r w:rsidR="005A38D0" w:rsidRPr="00C43B52">
        <w:rPr>
          <w:rFonts w:ascii="Arial" w:hAnsi="Arial" w:cs="Arial"/>
        </w:rPr>
        <w:t xml:space="preserve">A statement that does not mention or refer to the defendant in any way does not incriminate the defendant. </w:t>
      </w:r>
      <w:r w:rsidR="00E016FB" w:rsidRPr="00C43B52">
        <w:rPr>
          <w:rFonts w:ascii="Arial" w:hAnsi="Arial" w:cs="Arial"/>
        </w:rPr>
        <w:t>State v. Jones, 280 N.C. 322, 340 (1972) (</w:t>
      </w:r>
      <w:r w:rsidR="00E016FB">
        <w:rPr>
          <w:rFonts w:ascii="Arial" w:hAnsi="Arial" w:cs="Arial"/>
        </w:rPr>
        <w:t xml:space="preserve">challenged statements did not reference the defendant by name or identify him in any way; </w:t>
      </w:r>
      <w:r w:rsidR="00E016FB" w:rsidRPr="00C43B52">
        <w:rPr>
          <w:rFonts w:ascii="Arial" w:hAnsi="Arial" w:cs="Arial"/>
        </w:rPr>
        <w:t xml:space="preserve">“[t]he Sine qua non for application of </w:t>
      </w:r>
      <w:r w:rsidR="00E016FB" w:rsidRPr="00C43B52">
        <w:rPr>
          <w:rFonts w:ascii="Arial" w:hAnsi="Arial" w:cs="Arial"/>
          <w:i/>
          <w:iCs/>
        </w:rPr>
        <w:t>Bruton</w:t>
      </w:r>
      <w:r w:rsidR="00E016FB" w:rsidRPr="00C43B52">
        <w:rPr>
          <w:rFonts w:ascii="Arial" w:hAnsi="Arial" w:cs="Arial"/>
        </w:rPr>
        <w:t xml:space="preserve"> is that the party claiming incrimination without confrontation at least be incriminated”)</w:t>
      </w:r>
      <w:r w:rsidR="00E016FB">
        <w:rPr>
          <w:rFonts w:ascii="Arial" w:hAnsi="Arial" w:cs="Arial"/>
        </w:rPr>
        <w:t xml:space="preserve">; </w:t>
      </w:r>
      <w:r w:rsidR="005A38D0" w:rsidRPr="00C43B52">
        <w:rPr>
          <w:rFonts w:ascii="Arial" w:hAnsi="Arial" w:cs="Arial"/>
        </w:rPr>
        <w:t xml:space="preserve">State v. Boozer, </w:t>
      </w:r>
      <w:r w:rsidR="00BE65F4">
        <w:rPr>
          <w:rFonts w:ascii="Arial" w:hAnsi="Arial" w:cs="Arial"/>
        </w:rPr>
        <w:t>210</w:t>
      </w:r>
      <w:r w:rsidR="005A38D0" w:rsidRPr="00C43B52">
        <w:rPr>
          <w:rFonts w:ascii="Arial" w:hAnsi="Arial" w:cs="Arial"/>
        </w:rPr>
        <w:t xml:space="preserve"> N.C. App. </w:t>
      </w:r>
      <w:r w:rsidR="00BE65F4">
        <w:rPr>
          <w:rFonts w:ascii="Arial" w:hAnsi="Arial" w:cs="Arial"/>
        </w:rPr>
        <w:t>371</w:t>
      </w:r>
      <w:r w:rsidR="005A38D0" w:rsidRPr="00C43B52">
        <w:rPr>
          <w:rFonts w:ascii="Arial" w:hAnsi="Arial" w:cs="Arial"/>
        </w:rPr>
        <w:t>,</w:t>
      </w:r>
      <w:r w:rsidR="00BE65F4">
        <w:rPr>
          <w:rFonts w:ascii="Arial" w:hAnsi="Arial" w:cs="Arial"/>
        </w:rPr>
        <w:t>385</w:t>
      </w:r>
      <w:r w:rsidR="005A38D0" w:rsidRPr="00C43B52">
        <w:rPr>
          <w:rFonts w:ascii="Arial" w:hAnsi="Arial" w:cs="Arial"/>
        </w:rPr>
        <w:t xml:space="preserve"> (2011) (so holding); State v. Taylor, 344 N.C. 31, 48 (1996) (same); State v. Howard, 56 N.C. App. 41, 45 (1982) (statement did not reference the defendant; the portion of her statement suggesting that the goods were stolen did not suggest that they were stolen by the defendant). </w:t>
      </w:r>
    </w:p>
    <w:p w14:paraId="308383CC" w14:textId="3DEC5497" w:rsidR="005A38D0" w:rsidRDefault="00917D08" w:rsidP="00B8288D">
      <w:pPr>
        <w:pStyle w:val="ListParagraph"/>
        <w:numPr>
          <w:ilvl w:val="0"/>
          <w:numId w:val="6"/>
        </w:numPr>
        <w:spacing w:after="0" w:line="240" w:lineRule="auto"/>
        <w:ind w:left="2160" w:hanging="720"/>
        <w:rPr>
          <w:rFonts w:ascii="Arial" w:hAnsi="Arial" w:cs="Arial"/>
        </w:rPr>
      </w:pPr>
      <w:r>
        <w:rPr>
          <w:rFonts w:ascii="Arial" w:hAnsi="Arial" w:cs="Arial"/>
          <w:b/>
          <w:bCs/>
        </w:rPr>
        <w:t xml:space="preserve">Statements that </w:t>
      </w:r>
      <w:r w:rsidR="00B8288D">
        <w:rPr>
          <w:rFonts w:ascii="Arial" w:hAnsi="Arial" w:cs="Arial"/>
          <w:b/>
          <w:bCs/>
        </w:rPr>
        <w:t>Facially Inc</w:t>
      </w:r>
      <w:r w:rsidR="00D71A1B">
        <w:rPr>
          <w:rFonts w:ascii="Arial" w:hAnsi="Arial" w:cs="Arial"/>
          <w:b/>
          <w:bCs/>
        </w:rPr>
        <w:t>riminate the</w:t>
      </w:r>
      <w:r w:rsidR="00BD2049">
        <w:rPr>
          <w:rFonts w:ascii="Arial" w:hAnsi="Arial" w:cs="Arial"/>
          <w:b/>
          <w:bCs/>
        </w:rPr>
        <w:t xml:space="preserve"> Defendant</w:t>
      </w:r>
      <w:r w:rsidR="00B8288D">
        <w:rPr>
          <w:rFonts w:ascii="Arial" w:hAnsi="Arial" w:cs="Arial"/>
          <w:b/>
          <w:bCs/>
        </w:rPr>
        <w:t>.</w:t>
      </w:r>
      <w:r w:rsidR="00B8288D">
        <w:rPr>
          <w:rFonts w:ascii="Arial" w:hAnsi="Arial" w:cs="Arial"/>
        </w:rPr>
        <w:t xml:space="preserve"> </w:t>
      </w:r>
      <w:r>
        <w:rPr>
          <w:rFonts w:ascii="Arial" w:hAnsi="Arial" w:cs="Arial"/>
        </w:rPr>
        <w:t>A</w:t>
      </w:r>
      <w:r w:rsidR="005A38D0" w:rsidRPr="00C43B52">
        <w:rPr>
          <w:rFonts w:ascii="Arial" w:hAnsi="Arial" w:cs="Arial"/>
        </w:rPr>
        <w:t xml:space="preserve"> statement that is facially inculpatory (</w:t>
      </w:r>
      <w:proofErr w:type="spellStart"/>
      <w:proofErr w:type="gramStart"/>
      <w:r w:rsidR="005A38D0" w:rsidRPr="00C43B52">
        <w:rPr>
          <w:rFonts w:ascii="Arial" w:hAnsi="Arial" w:cs="Arial"/>
        </w:rPr>
        <w:t>e.g.,“</w:t>
      </w:r>
      <w:proofErr w:type="gramEnd"/>
      <w:r w:rsidR="005A38D0" w:rsidRPr="00C43B52">
        <w:rPr>
          <w:rFonts w:ascii="Arial" w:hAnsi="Arial" w:cs="Arial"/>
        </w:rPr>
        <w:t>the</w:t>
      </w:r>
      <w:proofErr w:type="spellEnd"/>
      <w:r w:rsidR="005A38D0" w:rsidRPr="00C43B52">
        <w:rPr>
          <w:rFonts w:ascii="Arial" w:hAnsi="Arial" w:cs="Arial"/>
        </w:rPr>
        <w:t xml:space="preserve"> defendant helped me commit the crime”) clearly incriminates the defendant. Richardson v. Marsh, 481 U.S. 200, 208 (1987) (describing such a statement as “vivid[</w:t>
      </w:r>
      <w:proofErr w:type="spellStart"/>
      <w:r w:rsidR="005A38D0" w:rsidRPr="00C43B52">
        <w:rPr>
          <w:rFonts w:ascii="Arial" w:hAnsi="Arial" w:cs="Arial"/>
        </w:rPr>
        <w:t>ly</w:t>
      </w:r>
      <w:proofErr w:type="spellEnd"/>
      <w:r w:rsidR="005A38D0" w:rsidRPr="00C43B52">
        <w:rPr>
          <w:rFonts w:ascii="Arial" w:hAnsi="Arial" w:cs="Arial"/>
        </w:rPr>
        <w:t>]” incriminating). The facially inculpatory statement need not refer to the defendant by proper name to be incriminatory; the U</w:t>
      </w:r>
      <w:r>
        <w:rPr>
          <w:rFonts w:ascii="Arial" w:hAnsi="Arial" w:cs="Arial"/>
        </w:rPr>
        <w:t xml:space="preserve">nited </w:t>
      </w:r>
      <w:r w:rsidR="005A38D0" w:rsidRPr="00C43B52">
        <w:rPr>
          <w:rFonts w:ascii="Arial" w:hAnsi="Arial" w:cs="Arial"/>
        </w:rPr>
        <w:t>S</w:t>
      </w:r>
      <w:r>
        <w:rPr>
          <w:rFonts w:ascii="Arial" w:hAnsi="Arial" w:cs="Arial"/>
        </w:rPr>
        <w:t>tates</w:t>
      </w:r>
      <w:r w:rsidR="005A38D0" w:rsidRPr="00C43B52">
        <w:rPr>
          <w:rFonts w:ascii="Arial" w:hAnsi="Arial" w:cs="Arial"/>
        </w:rPr>
        <w:t xml:space="preserve"> Supreme Court has recognized that use of nicknames and specific descriptions (“red-haired, bearded, one-eyed man–with-a-limp”) fall within </w:t>
      </w:r>
      <w:r w:rsidR="005A38D0" w:rsidRPr="00C43B52">
        <w:rPr>
          <w:rFonts w:ascii="Arial" w:hAnsi="Arial" w:cs="Arial"/>
          <w:i/>
          <w:iCs/>
        </w:rPr>
        <w:t>Bruton</w:t>
      </w:r>
      <w:r w:rsidR="005A38D0" w:rsidRPr="00C43B52">
        <w:rPr>
          <w:rFonts w:ascii="Arial" w:hAnsi="Arial" w:cs="Arial"/>
        </w:rPr>
        <w:t xml:space="preserve">. Gray v. Maryland, 523 U.S. 185, 195 (1998). </w:t>
      </w:r>
    </w:p>
    <w:p w14:paraId="1E53869D" w14:textId="6BBE4EF6" w:rsidR="00917D08" w:rsidRPr="00C43B52" w:rsidRDefault="00917D08" w:rsidP="00B8288D">
      <w:pPr>
        <w:pStyle w:val="ListParagraph"/>
        <w:numPr>
          <w:ilvl w:val="0"/>
          <w:numId w:val="6"/>
        </w:numPr>
        <w:spacing w:after="0" w:line="240" w:lineRule="auto"/>
        <w:ind w:left="2160" w:hanging="720"/>
        <w:rPr>
          <w:rFonts w:ascii="Arial" w:hAnsi="Arial" w:cs="Arial"/>
        </w:rPr>
      </w:pPr>
      <w:r>
        <w:rPr>
          <w:rFonts w:ascii="Arial" w:hAnsi="Arial" w:cs="Arial"/>
          <w:b/>
          <w:bCs/>
        </w:rPr>
        <w:t>Statements that I</w:t>
      </w:r>
      <w:r w:rsidR="00BD2049">
        <w:rPr>
          <w:rFonts w:ascii="Arial" w:hAnsi="Arial" w:cs="Arial"/>
          <w:b/>
          <w:bCs/>
        </w:rPr>
        <w:t>nc</w:t>
      </w:r>
      <w:r w:rsidR="00D71A1B">
        <w:rPr>
          <w:rFonts w:ascii="Arial" w:hAnsi="Arial" w:cs="Arial"/>
          <w:b/>
          <w:bCs/>
        </w:rPr>
        <w:t>riminate</w:t>
      </w:r>
      <w:r>
        <w:rPr>
          <w:rFonts w:ascii="Arial" w:hAnsi="Arial" w:cs="Arial"/>
          <w:b/>
          <w:bCs/>
        </w:rPr>
        <w:t xml:space="preserve"> </w:t>
      </w:r>
      <w:r w:rsidR="00D71A1B">
        <w:rPr>
          <w:rFonts w:ascii="Arial" w:hAnsi="Arial" w:cs="Arial"/>
          <w:b/>
          <w:bCs/>
        </w:rPr>
        <w:t xml:space="preserve">the </w:t>
      </w:r>
      <w:r>
        <w:rPr>
          <w:rFonts w:ascii="Arial" w:hAnsi="Arial" w:cs="Arial"/>
          <w:b/>
          <w:bCs/>
        </w:rPr>
        <w:t xml:space="preserve">Defendant </w:t>
      </w:r>
      <w:r w:rsidR="00165495">
        <w:rPr>
          <w:rFonts w:ascii="Arial" w:hAnsi="Arial" w:cs="Arial"/>
          <w:b/>
          <w:bCs/>
        </w:rPr>
        <w:t>by Inference</w:t>
      </w:r>
      <w:r>
        <w:rPr>
          <w:rFonts w:ascii="Arial" w:hAnsi="Arial" w:cs="Arial"/>
          <w:b/>
          <w:bCs/>
        </w:rPr>
        <w:t>.</w:t>
      </w:r>
      <w:r>
        <w:rPr>
          <w:rFonts w:ascii="Arial" w:hAnsi="Arial" w:cs="Arial"/>
        </w:rPr>
        <w:t xml:space="preserve"> The United States Supreme Court </w:t>
      </w:r>
      <w:r w:rsidR="000E4BC1">
        <w:rPr>
          <w:rFonts w:ascii="Arial" w:hAnsi="Arial" w:cs="Arial"/>
        </w:rPr>
        <w:t xml:space="preserve">has held that the </w:t>
      </w:r>
      <w:r w:rsidR="000E4BC1">
        <w:rPr>
          <w:rFonts w:ascii="Arial" w:hAnsi="Arial" w:cs="Arial"/>
          <w:i/>
          <w:iCs/>
        </w:rPr>
        <w:t>Bruton</w:t>
      </w:r>
      <w:r w:rsidR="000E4BC1">
        <w:rPr>
          <w:rFonts w:ascii="Arial" w:hAnsi="Arial" w:cs="Arial"/>
        </w:rPr>
        <w:t xml:space="preserve"> rule does not apply to statements that </w:t>
      </w:r>
      <w:r w:rsidR="00D6621B">
        <w:rPr>
          <w:rFonts w:ascii="Arial" w:hAnsi="Arial" w:cs="Arial"/>
        </w:rPr>
        <w:t>incriminate</w:t>
      </w:r>
      <w:r w:rsidR="000E4BC1">
        <w:rPr>
          <w:rFonts w:ascii="Arial" w:hAnsi="Arial" w:cs="Arial"/>
        </w:rPr>
        <w:t xml:space="preserve"> a defendant only when linked with other evidence. </w:t>
      </w:r>
      <w:r w:rsidR="00E276D8">
        <w:rPr>
          <w:rFonts w:ascii="Arial" w:hAnsi="Arial" w:cs="Arial"/>
          <w:i/>
          <w:iCs/>
        </w:rPr>
        <w:t>Richardson</w:t>
      </w:r>
      <w:r w:rsidR="000E4BC1">
        <w:rPr>
          <w:rFonts w:ascii="Arial" w:hAnsi="Arial" w:cs="Arial"/>
        </w:rPr>
        <w:t xml:space="preserve">, </w:t>
      </w:r>
      <w:r w:rsidR="00E276D8">
        <w:rPr>
          <w:rFonts w:ascii="Arial" w:hAnsi="Arial" w:cs="Arial"/>
        </w:rPr>
        <w:t>481</w:t>
      </w:r>
      <w:r w:rsidR="000E4BC1">
        <w:rPr>
          <w:rFonts w:ascii="Arial" w:hAnsi="Arial" w:cs="Arial"/>
        </w:rPr>
        <w:t xml:space="preserve"> U.S. at </w:t>
      </w:r>
      <w:r w:rsidR="00E276D8">
        <w:rPr>
          <w:rFonts w:ascii="Arial" w:hAnsi="Arial" w:cs="Arial"/>
        </w:rPr>
        <w:t xml:space="preserve">208; </w:t>
      </w:r>
      <w:r w:rsidR="00E276D8">
        <w:rPr>
          <w:rFonts w:ascii="Arial" w:hAnsi="Arial" w:cs="Arial"/>
          <w:i/>
          <w:iCs/>
        </w:rPr>
        <w:t>see also Samia</w:t>
      </w:r>
      <w:r w:rsidR="00E276D8">
        <w:rPr>
          <w:rFonts w:ascii="Arial" w:hAnsi="Arial" w:cs="Arial"/>
        </w:rPr>
        <w:t>, 599 U.S. at 652-53</w:t>
      </w:r>
      <w:r w:rsidR="000E4BC1">
        <w:rPr>
          <w:rFonts w:ascii="Arial" w:hAnsi="Arial" w:cs="Arial"/>
        </w:rPr>
        <w:t>.</w:t>
      </w:r>
      <w:r w:rsidR="00E276D8">
        <w:rPr>
          <w:rFonts w:ascii="Arial" w:hAnsi="Arial" w:cs="Arial"/>
        </w:rPr>
        <w:t xml:space="preserve"> </w:t>
      </w:r>
      <w:r w:rsidR="00E276D8">
        <w:rPr>
          <w:rFonts w:ascii="Arial" w:hAnsi="Arial" w:cs="Arial"/>
          <w:i/>
          <w:iCs/>
        </w:rPr>
        <w:t>Richardson</w:t>
      </w:r>
      <w:r w:rsidR="00E276D8">
        <w:rPr>
          <w:rFonts w:ascii="Arial" w:hAnsi="Arial" w:cs="Arial"/>
        </w:rPr>
        <w:t xml:space="preserve"> was a robbery and felony murder case involving three accomplices, two of whom were tried jointly. The Court held that </w:t>
      </w:r>
      <w:r w:rsidR="00E276D8">
        <w:rPr>
          <w:rFonts w:ascii="Arial" w:hAnsi="Arial" w:cs="Arial"/>
          <w:i/>
          <w:iCs/>
        </w:rPr>
        <w:t>Bruton</w:t>
      </w:r>
      <w:r w:rsidR="00E276D8">
        <w:rPr>
          <w:rFonts w:ascii="Arial" w:hAnsi="Arial" w:cs="Arial"/>
        </w:rPr>
        <w:t xml:space="preserve"> did not prohibit introduction of the codefendant’s incriminating statement recounting that</w:t>
      </w:r>
      <w:r w:rsidR="00BD2049">
        <w:rPr>
          <w:rFonts w:ascii="Arial" w:hAnsi="Arial" w:cs="Arial"/>
        </w:rPr>
        <w:t>,</w:t>
      </w:r>
      <w:r w:rsidR="00E276D8">
        <w:rPr>
          <w:rFonts w:ascii="Arial" w:hAnsi="Arial" w:cs="Arial"/>
        </w:rPr>
        <w:t xml:space="preserve"> </w:t>
      </w:r>
      <w:r w:rsidR="00BD2049">
        <w:rPr>
          <w:rFonts w:ascii="Arial" w:hAnsi="Arial" w:cs="Arial"/>
        </w:rPr>
        <w:t xml:space="preserve">while driving to the victims’ house, </w:t>
      </w:r>
      <w:r w:rsidR="00E276D8">
        <w:rPr>
          <w:rFonts w:ascii="Arial" w:hAnsi="Arial" w:cs="Arial"/>
        </w:rPr>
        <w:t>he and the</w:t>
      </w:r>
      <w:r w:rsidR="00BD2049">
        <w:rPr>
          <w:rFonts w:ascii="Arial" w:hAnsi="Arial" w:cs="Arial"/>
        </w:rPr>
        <w:t xml:space="preserve"> separately tried</w:t>
      </w:r>
      <w:r w:rsidR="00E276D8">
        <w:rPr>
          <w:rFonts w:ascii="Arial" w:hAnsi="Arial" w:cs="Arial"/>
        </w:rPr>
        <w:t xml:space="preserve"> accomplice discussed a plan to kill the victims after </w:t>
      </w:r>
      <w:r w:rsidR="00BD2049">
        <w:rPr>
          <w:rFonts w:ascii="Arial" w:hAnsi="Arial" w:cs="Arial"/>
        </w:rPr>
        <w:t xml:space="preserve">the robbery. While the statement was redacted to omit any reference to the defendant, the defendant testified later in the trial that she was in the car but did not hear any discussion of a plan to kill the victims. Describing </w:t>
      </w:r>
      <w:r w:rsidR="00BD2049">
        <w:rPr>
          <w:rFonts w:ascii="Arial" w:hAnsi="Arial" w:cs="Arial"/>
          <w:i/>
          <w:iCs/>
        </w:rPr>
        <w:t>Bruton</w:t>
      </w:r>
      <w:r w:rsidR="00BD2049">
        <w:rPr>
          <w:rFonts w:ascii="Arial" w:hAnsi="Arial" w:cs="Arial"/>
        </w:rPr>
        <w:t xml:space="preserve"> as “very narrow,” the Court declined to extend the rule beyond statements that are facially incriminating with respect to the defendant asserting a confrontation clause violation. 481 U.S. at 208-09. </w:t>
      </w:r>
      <w:r w:rsidR="00BD2049">
        <w:rPr>
          <w:rFonts w:ascii="Arial" w:hAnsi="Arial" w:cs="Arial"/>
          <w:i/>
          <w:iCs/>
        </w:rPr>
        <w:t>See also Samia</w:t>
      </w:r>
      <w:r w:rsidR="00BD2049">
        <w:rPr>
          <w:rFonts w:ascii="Arial" w:hAnsi="Arial" w:cs="Arial"/>
        </w:rPr>
        <w:t>, 599 U.S. at 652-53.</w:t>
      </w:r>
    </w:p>
    <w:p w14:paraId="17E99064" w14:textId="4D77A2A2" w:rsidR="000028A3" w:rsidRPr="00C43B52" w:rsidRDefault="00BE65F4" w:rsidP="00BE65F4">
      <w:pPr>
        <w:pStyle w:val="ListParagraph"/>
        <w:spacing w:after="0" w:line="240" w:lineRule="auto"/>
        <w:ind w:left="2160" w:firstLine="720"/>
        <w:rPr>
          <w:rFonts w:ascii="Arial" w:hAnsi="Arial" w:cs="Arial"/>
        </w:rPr>
      </w:pPr>
      <w:r>
        <w:rPr>
          <w:rFonts w:ascii="Arial" w:hAnsi="Arial" w:cs="Arial"/>
        </w:rPr>
        <w:t>Some</w:t>
      </w:r>
      <w:r w:rsidR="005A38D0" w:rsidRPr="00C43B52">
        <w:rPr>
          <w:rFonts w:ascii="Arial" w:hAnsi="Arial" w:cs="Arial"/>
        </w:rPr>
        <w:t xml:space="preserve"> North Carolina </w:t>
      </w:r>
      <w:r>
        <w:rPr>
          <w:rFonts w:ascii="Arial" w:hAnsi="Arial" w:cs="Arial"/>
        </w:rPr>
        <w:t>appellate opinions</w:t>
      </w:r>
      <w:r w:rsidR="005A38D0" w:rsidRPr="00C43B52">
        <w:rPr>
          <w:rFonts w:ascii="Arial" w:hAnsi="Arial" w:cs="Arial"/>
        </w:rPr>
        <w:t xml:space="preserve"> have </w:t>
      </w:r>
      <w:r>
        <w:rPr>
          <w:rFonts w:ascii="Arial" w:hAnsi="Arial" w:cs="Arial"/>
        </w:rPr>
        <w:t xml:space="preserve">applied </w:t>
      </w:r>
      <w:r>
        <w:rPr>
          <w:rFonts w:ascii="Arial" w:hAnsi="Arial" w:cs="Arial"/>
          <w:i/>
          <w:iCs/>
        </w:rPr>
        <w:t>Bruton</w:t>
      </w:r>
      <w:r>
        <w:rPr>
          <w:rFonts w:ascii="Arial" w:hAnsi="Arial" w:cs="Arial"/>
        </w:rPr>
        <w:t xml:space="preserve"> more broadly to</w:t>
      </w:r>
      <w:r w:rsidR="005A38D0" w:rsidRPr="00C43B52">
        <w:rPr>
          <w:rFonts w:ascii="Arial" w:hAnsi="Arial" w:cs="Arial"/>
        </w:rPr>
        <w:t xml:space="preserve"> statements that </w:t>
      </w:r>
      <w:r w:rsidR="00D70F9D">
        <w:rPr>
          <w:rFonts w:ascii="Arial" w:hAnsi="Arial" w:cs="Arial"/>
        </w:rPr>
        <w:t>incriminate</w:t>
      </w:r>
      <w:r>
        <w:rPr>
          <w:rFonts w:ascii="Arial" w:hAnsi="Arial" w:cs="Arial"/>
        </w:rPr>
        <w:t xml:space="preserve"> a defendant</w:t>
      </w:r>
      <w:r w:rsidR="005A38D0" w:rsidRPr="00C43B52">
        <w:rPr>
          <w:rFonts w:ascii="Arial" w:hAnsi="Arial" w:cs="Arial"/>
        </w:rPr>
        <w:t xml:space="preserve"> only by connection</w:t>
      </w:r>
      <w:r w:rsidR="00571216">
        <w:rPr>
          <w:rFonts w:ascii="Arial" w:hAnsi="Arial" w:cs="Arial"/>
        </w:rPr>
        <w:t xml:space="preserve"> with other evidence</w:t>
      </w:r>
      <w:r w:rsidR="005A38D0" w:rsidRPr="00C43B52">
        <w:rPr>
          <w:rFonts w:ascii="Arial" w:hAnsi="Arial" w:cs="Arial"/>
          <w:i/>
          <w:iCs/>
        </w:rPr>
        <w:t xml:space="preserve">. </w:t>
      </w:r>
      <w:r w:rsidR="005A38D0" w:rsidRPr="00C43B52">
        <w:rPr>
          <w:rFonts w:ascii="Arial" w:hAnsi="Arial" w:cs="Arial"/>
        </w:rPr>
        <w:t xml:space="preserve">For example, in </w:t>
      </w:r>
      <w:r w:rsidR="005A38D0" w:rsidRPr="00C43B52">
        <w:rPr>
          <w:rFonts w:ascii="Arial" w:hAnsi="Arial" w:cs="Arial"/>
          <w:i/>
          <w:iCs/>
        </w:rPr>
        <w:t>State v. Owens</w:t>
      </w:r>
      <w:r w:rsidR="005A38D0" w:rsidRPr="00C43B52">
        <w:rPr>
          <w:rFonts w:ascii="Arial" w:hAnsi="Arial" w:cs="Arial"/>
        </w:rPr>
        <w:t xml:space="preserve">, 75 N.C. App. 513, </w:t>
      </w:r>
      <w:r w:rsidR="005A38D0" w:rsidRPr="00C43B52">
        <w:rPr>
          <w:rFonts w:ascii="Arial" w:hAnsi="Arial" w:cs="Arial"/>
        </w:rPr>
        <w:lastRenderedPageBreak/>
        <w:t>515-16 (1985), four defendants—Owens, McClain, Tyler and Kelly</w:t>
      </w:r>
      <w:r w:rsidR="00C43B52" w:rsidRPr="00C43B52">
        <w:rPr>
          <w:rFonts w:ascii="Arial" w:hAnsi="Arial" w:cs="Arial"/>
        </w:rPr>
        <w:t>—</w:t>
      </w:r>
      <w:r w:rsidR="005A38D0" w:rsidRPr="00C43B52">
        <w:rPr>
          <w:rFonts w:ascii="Arial" w:hAnsi="Arial" w:cs="Arial"/>
        </w:rPr>
        <w:t xml:space="preserve">were charged with robbery of a store. In a joint trial of Owens, McClain and Tyler, only Tyler testified. The evidence indicated that the police apprehended the defendants shortly after the crime in a vehicle that contained guns, clothing worn by the robbers, and items taken from the store. Tyler testified she and McClain picked up Owens and Kelly along the roadway in exchange for a promise of gas money. Apparently to discredit this testimony, the State introduced McClain’s statement to an investigating detective that they picked up the two men because they had pointed guns at him and Tyler. When Owens raised a </w:t>
      </w:r>
      <w:r w:rsidR="005A38D0" w:rsidRPr="00C43B52">
        <w:rPr>
          <w:rFonts w:ascii="Arial" w:hAnsi="Arial" w:cs="Arial"/>
          <w:i/>
          <w:iCs/>
        </w:rPr>
        <w:t>Bruton</w:t>
      </w:r>
      <w:r w:rsidR="005A38D0" w:rsidRPr="00C43B52">
        <w:rPr>
          <w:rFonts w:ascii="Arial" w:hAnsi="Arial" w:cs="Arial"/>
        </w:rPr>
        <w:t xml:space="preserve"> issue as to McClain’s statement, the State argued on appeal that it did not implicate Owens in the robbery. The court disagreed, stating: “The statement was incriminating to Owens because it placed Owens and Kelly on foot near the scene of the robbery, in possession of the guns which were later identified as similar to those used in the robbery, and so anxious to flee the area that they forced their way into the truck at gunpoint.” </w:t>
      </w:r>
      <w:r w:rsidR="003A086E">
        <w:rPr>
          <w:rFonts w:ascii="Arial" w:hAnsi="Arial" w:cs="Arial"/>
        </w:rPr>
        <w:t>This</w:t>
      </w:r>
      <w:r w:rsidR="005A38D0" w:rsidRPr="00C43B52">
        <w:rPr>
          <w:rFonts w:ascii="Arial" w:hAnsi="Arial" w:cs="Arial"/>
        </w:rPr>
        <w:t xml:space="preserve"> analysis appears to be inconsistent with U.S. Supreme Court cases</w:t>
      </w:r>
      <w:r w:rsidR="003A086E">
        <w:rPr>
          <w:rFonts w:ascii="Arial" w:hAnsi="Arial" w:cs="Arial"/>
        </w:rPr>
        <w:t xml:space="preserve"> limiting the protections of Bruton to facially incriminating statements</w:t>
      </w:r>
      <w:r w:rsidR="005A38D0" w:rsidRPr="00C43B52">
        <w:rPr>
          <w:rFonts w:ascii="Arial" w:hAnsi="Arial" w:cs="Arial"/>
        </w:rPr>
        <w:t xml:space="preserve">. </w:t>
      </w:r>
      <w:r w:rsidR="005A38D0" w:rsidRPr="00C43B52">
        <w:rPr>
          <w:rFonts w:ascii="Arial" w:hAnsi="Arial" w:cs="Arial"/>
          <w:i/>
          <w:iCs/>
        </w:rPr>
        <w:t xml:space="preserve">Richardson, </w:t>
      </w:r>
      <w:r w:rsidR="005A38D0" w:rsidRPr="00C43B52">
        <w:rPr>
          <w:rFonts w:ascii="Arial" w:hAnsi="Arial" w:cs="Arial"/>
        </w:rPr>
        <w:t>481 U.S. at 208-11 (</w:t>
      </w:r>
      <w:r w:rsidR="005A38D0" w:rsidRPr="00C43B52">
        <w:rPr>
          <w:rFonts w:ascii="Arial" w:hAnsi="Arial" w:cs="Arial"/>
          <w:i/>
          <w:iCs/>
        </w:rPr>
        <w:t xml:space="preserve">Bruton </w:t>
      </w:r>
      <w:r w:rsidR="005A38D0" w:rsidRPr="00C43B52">
        <w:rPr>
          <w:rFonts w:ascii="Arial" w:hAnsi="Arial" w:cs="Arial"/>
        </w:rPr>
        <w:t xml:space="preserve">is limited to facially incriminating statements and does not apply to statements that are “incriminating by connection”); </w:t>
      </w:r>
      <w:r w:rsidR="005A38D0" w:rsidRPr="00D70F9D">
        <w:rPr>
          <w:rFonts w:ascii="Arial" w:hAnsi="Arial" w:cs="Arial"/>
          <w:i/>
          <w:iCs/>
        </w:rPr>
        <w:t>Gray</w:t>
      </w:r>
      <w:r w:rsidR="005A38D0" w:rsidRPr="00C43B52">
        <w:rPr>
          <w:rFonts w:ascii="Arial" w:hAnsi="Arial" w:cs="Arial"/>
        </w:rPr>
        <w:t xml:space="preserve">, 523 U.S. </w:t>
      </w:r>
      <w:r w:rsidR="00D70F9D">
        <w:rPr>
          <w:rFonts w:ascii="Arial" w:hAnsi="Arial" w:cs="Arial"/>
        </w:rPr>
        <w:t>at</w:t>
      </w:r>
      <w:r w:rsidR="005A38D0" w:rsidRPr="00C43B52">
        <w:rPr>
          <w:rFonts w:ascii="Arial" w:hAnsi="Arial" w:cs="Arial"/>
        </w:rPr>
        <w:t xml:space="preserve"> 195 (“</w:t>
      </w:r>
      <w:r w:rsidR="005A38D0" w:rsidRPr="00C43B52">
        <w:rPr>
          <w:rFonts w:ascii="Arial" w:hAnsi="Arial" w:cs="Arial"/>
          <w:i/>
          <w:iCs/>
        </w:rPr>
        <w:t xml:space="preserve">Richardson </w:t>
      </w:r>
      <w:r w:rsidR="005A38D0" w:rsidRPr="00C43B52">
        <w:rPr>
          <w:rFonts w:ascii="Arial" w:hAnsi="Arial" w:cs="Arial"/>
        </w:rPr>
        <w:t xml:space="preserve">placed outside the scope of </w:t>
      </w:r>
      <w:r w:rsidR="005A38D0" w:rsidRPr="00C43B52">
        <w:rPr>
          <w:rFonts w:ascii="Arial" w:hAnsi="Arial" w:cs="Arial"/>
          <w:i/>
          <w:iCs/>
        </w:rPr>
        <w:t>Bruton</w:t>
      </w:r>
      <w:r w:rsidR="005A38D0" w:rsidRPr="00C43B52">
        <w:rPr>
          <w:rFonts w:ascii="Arial" w:hAnsi="Arial" w:cs="Arial"/>
        </w:rPr>
        <w:t>’s rule those statements that incriminate inferentially”).</w:t>
      </w:r>
      <w:r w:rsidR="000028A3">
        <w:rPr>
          <w:rFonts w:ascii="Arial" w:hAnsi="Arial" w:cs="Arial"/>
        </w:rPr>
        <w:t xml:space="preserve"> </w:t>
      </w:r>
      <w:r w:rsidR="000028A3">
        <w:rPr>
          <w:rFonts w:ascii="Arial" w:hAnsi="Arial" w:cs="Arial"/>
        </w:rPr>
        <w:t xml:space="preserve">As discussed in more detail below, there also is some discrepancy between United States Supreme Court and North Carolina case law </w:t>
      </w:r>
      <w:r w:rsidR="00185E4F">
        <w:rPr>
          <w:rFonts w:ascii="Arial" w:hAnsi="Arial" w:cs="Arial"/>
        </w:rPr>
        <w:t>on</w:t>
      </w:r>
      <w:r w:rsidR="00393A39">
        <w:rPr>
          <w:rFonts w:ascii="Arial" w:hAnsi="Arial" w:cs="Arial"/>
        </w:rPr>
        <w:t xml:space="preserve"> the related issue of</w:t>
      </w:r>
      <w:r w:rsidR="000028A3">
        <w:rPr>
          <w:rFonts w:ascii="Arial" w:hAnsi="Arial" w:cs="Arial"/>
        </w:rPr>
        <w:t xml:space="preserve"> whether a statement is redacted sufficiently to comply with </w:t>
      </w:r>
      <w:r w:rsidR="000028A3">
        <w:rPr>
          <w:rFonts w:ascii="Arial" w:hAnsi="Arial" w:cs="Arial"/>
          <w:i/>
          <w:iCs/>
        </w:rPr>
        <w:t>Bruton</w:t>
      </w:r>
      <w:r w:rsidR="000028A3">
        <w:rPr>
          <w:rFonts w:ascii="Arial" w:hAnsi="Arial" w:cs="Arial"/>
        </w:rPr>
        <w:t xml:space="preserve"> when it is modified to contain only vague references to unnamed accomplices.</w:t>
      </w:r>
    </w:p>
    <w:p w14:paraId="5733DD10" w14:textId="77777777" w:rsidR="005A38D0" w:rsidRPr="00C43B52" w:rsidRDefault="005A38D0" w:rsidP="0047059E">
      <w:pPr>
        <w:spacing w:after="0" w:line="240" w:lineRule="auto"/>
        <w:rPr>
          <w:rFonts w:ascii="Arial" w:hAnsi="Arial" w:cs="Arial"/>
        </w:rPr>
      </w:pPr>
    </w:p>
    <w:p w14:paraId="7BB484AD" w14:textId="0140AC02" w:rsidR="005A38D0" w:rsidRPr="00C43B52" w:rsidRDefault="005A38D0" w:rsidP="00EF791F">
      <w:pPr>
        <w:pStyle w:val="ListParagraph"/>
        <w:numPr>
          <w:ilvl w:val="0"/>
          <w:numId w:val="3"/>
        </w:numPr>
        <w:spacing w:after="0" w:line="240" w:lineRule="auto"/>
        <w:ind w:left="1440" w:hanging="720"/>
        <w:rPr>
          <w:rFonts w:ascii="Arial" w:hAnsi="Arial" w:cs="Arial"/>
        </w:rPr>
      </w:pPr>
      <w:bookmarkStart w:id="4" w:name="_Toc197096002"/>
      <w:r w:rsidRPr="00C279D7">
        <w:rPr>
          <w:rStyle w:val="Heading2Char"/>
        </w:rPr>
        <w:t>Redaction</w:t>
      </w:r>
      <w:bookmarkEnd w:id="4"/>
      <w:r w:rsidRPr="00C43B52">
        <w:rPr>
          <w:rFonts w:ascii="Arial" w:hAnsi="Arial" w:cs="Arial"/>
          <w:b/>
          <w:bCs/>
        </w:rPr>
        <w:t xml:space="preserve">. </w:t>
      </w:r>
      <w:r w:rsidRPr="00C43B52">
        <w:rPr>
          <w:rFonts w:ascii="Arial" w:hAnsi="Arial" w:cs="Arial"/>
        </w:rPr>
        <w:t xml:space="preserve">As noted in Section I.A above, if incriminating statements by a non-testifying codefendant are sufficiently redacted and admitted with a limiting instruction, their admission does not violate the </w:t>
      </w:r>
      <w:r w:rsidRPr="00C43B52">
        <w:rPr>
          <w:rFonts w:ascii="Arial" w:hAnsi="Arial" w:cs="Arial"/>
          <w:i/>
          <w:iCs/>
        </w:rPr>
        <w:t>Bruton</w:t>
      </w:r>
      <w:r w:rsidRPr="00C43B52">
        <w:rPr>
          <w:rFonts w:ascii="Arial" w:hAnsi="Arial" w:cs="Arial"/>
        </w:rPr>
        <w:t xml:space="preserve"> rule.</w:t>
      </w:r>
    </w:p>
    <w:p w14:paraId="2E2053E8" w14:textId="59468847" w:rsidR="000028A3" w:rsidRDefault="000028A3" w:rsidP="000028A3">
      <w:pPr>
        <w:pStyle w:val="ListParagraph"/>
        <w:numPr>
          <w:ilvl w:val="0"/>
          <w:numId w:val="7"/>
        </w:numPr>
        <w:spacing w:after="0" w:line="240" w:lineRule="auto"/>
        <w:ind w:left="2160" w:hanging="720"/>
        <w:rPr>
          <w:rFonts w:ascii="Arial" w:hAnsi="Arial" w:cs="Arial"/>
        </w:rPr>
      </w:pPr>
      <w:r>
        <w:rPr>
          <w:rFonts w:ascii="Arial" w:hAnsi="Arial" w:cs="Arial"/>
          <w:b/>
          <w:bCs/>
        </w:rPr>
        <w:t>Omi</w:t>
      </w:r>
      <w:r w:rsidR="00571216">
        <w:rPr>
          <w:rFonts w:ascii="Arial" w:hAnsi="Arial" w:cs="Arial"/>
          <w:b/>
          <w:bCs/>
        </w:rPr>
        <w:t>ssion of All</w:t>
      </w:r>
      <w:r>
        <w:rPr>
          <w:rFonts w:ascii="Arial" w:hAnsi="Arial" w:cs="Arial"/>
          <w:b/>
          <w:bCs/>
        </w:rPr>
        <w:t xml:space="preserve"> Reference</w:t>
      </w:r>
      <w:r w:rsidR="00571216">
        <w:rPr>
          <w:rFonts w:ascii="Arial" w:hAnsi="Arial" w:cs="Arial"/>
          <w:b/>
          <w:bCs/>
        </w:rPr>
        <w:t>s</w:t>
      </w:r>
      <w:r>
        <w:rPr>
          <w:rFonts w:ascii="Arial" w:hAnsi="Arial" w:cs="Arial"/>
          <w:b/>
          <w:bCs/>
        </w:rPr>
        <w:t xml:space="preserve"> to Defendant.</w:t>
      </w:r>
      <w:r>
        <w:rPr>
          <w:rFonts w:ascii="Arial" w:hAnsi="Arial" w:cs="Arial"/>
        </w:rPr>
        <w:t xml:space="preserve"> A statement is sufficiently redacted if it eliminates a</w:t>
      </w:r>
      <w:r w:rsidR="00571216">
        <w:rPr>
          <w:rFonts w:ascii="Arial" w:hAnsi="Arial" w:cs="Arial"/>
        </w:rPr>
        <w:t>ll</w:t>
      </w:r>
      <w:r>
        <w:rPr>
          <w:rFonts w:ascii="Arial" w:hAnsi="Arial" w:cs="Arial"/>
        </w:rPr>
        <w:t xml:space="preserve"> specific identification of the defendant, such as his or her proper name or nickname, as well as all references to his or her existence. </w:t>
      </w:r>
      <w:r w:rsidRPr="00C43B52">
        <w:rPr>
          <w:rFonts w:ascii="Arial" w:hAnsi="Arial" w:cs="Arial"/>
          <w:i/>
          <w:iCs/>
        </w:rPr>
        <w:t>Richardson</w:t>
      </w:r>
      <w:r w:rsidRPr="00C43B52">
        <w:rPr>
          <w:rFonts w:ascii="Arial" w:hAnsi="Arial" w:cs="Arial"/>
        </w:rPr>
        <w:t>, 481 U.S. at 211</w:t>
      </w:r>
      <w:r w:rsidR="00CB3C91">
        <w:rPr>
          <w:rFonts w:ascii="Arial" w:hAnsi="Arial" w:cs="Arial"/>
        </w:rPr>
        <w:t xml:space="preserve">; </w:t>
      </w:r>
      <w:r w:rsidR="00CB3C91" w:rsidRPr="00571216">
        <w:rPr>
          <w:rFonts w:ascii="Arial" w:hAnsi="Arial" w:cs="Arial"/>
        </w:rPr>
        <w:t>State v. Brewington, 352 N.C. 489, 5</w:t>
      </w:r>
      <w:r w:rsidR="00CB3C91">
        <w:rPr>
          <w:rFonts w:ascii="Arial" w:hAnsi="Arial" w:cs="Arial"/>
        </w:rPr>
        <w:t>07</w:t>
      </w:r>
      <w:r w:rsidR="00CB3C91" w:rsidRPr="00571216">
        <w:rPr>
          <w:rFonts w:ascii="Arial" w:hAnsi="Arial" w:cs="Arial"/>
        </w:rPr>
        <w:t xml:space="preserve"> (2000)</w:t>
      </w:r>
      <w:r>
        <w:rPr>
          <w:rFonts w:ascii="Arial" w:hAnsi="Arial" w:cs="Arial"/>
        </w:rPr>
        <w:t>.</w:t>
      </w:r>
    </w:p>
    <w:p w14:paraId="5752E731" w14:textId="207F2D47" w:rsidR="005A38D0" w:rsidRDefault="00571216" w:rsidP="00571216">
      <w:pPr>
        <w:pStyle w:val="ListParagraph"/>
        <w:numPr>
          <w:ilvl w:val="0"/>
          <w:numId w:val="7"/>
        </w:numPr>
        <w:spacing w:after="0" w:line="240" w:lineRule="auto"/>
        <w:ind w:left="2160" w:hanging="720"/>
        <w:rPr>
          <w:rFonts w:ascii="Arial" w:hAnsi="Arial" w:cs="Arial"/>
        </w:rPr>
      </w:pPr>
      <w:r w:rsidRPr="00571216">
        <w:rPr>
          <w:rFonts w:ascii="Arial" w:hAnsi="Arial" w:cs="Arial"/>
          <w:b/>
          <w:bCs/>
        </w:rPr>
        <w:t>Obvious Redactions.</w:t>
      </w:r>
      <w:r>
        <w:rPr>
          <w:rFonts w:ascii="Arial" w:hAnsi="Arial" w:cs="Arial"/>
          <w:b/>
          <w:bCs/>
        </w:rPr>
        <w:t xml:space="preserve"> </w:t>
      </w:r>
      <w:r w:rsidR="00C34F1C" w:rsidRPr="00571216">
        <w:rPr>
          <w:rFonts w:ascii="Arial" w:hAnsi="Arial" w:cs="Arial"/>
        </w:rPr>
        <w:t>As a categorical rule, m</w:t>
      </w:r>
      <w:r w:rsidR="005A38D0" w:rsidRPr="00571216">
        <w:rPr>
          <w:rFonts w:ascii="Arial" w:hAnsi="Arial" w:cs="Arial"/>
        </w:rPr>
        <w:t xml:space="preserve">erely replacing the defendant’s name with a blank space or the word “deleted” </w:t>
      </w:r>
      <w:r w:rsidR="00395E39">
        <w:rPr>
          <w:rFonts w:ascii="Arial" w:hAnsi="Arial" w:cs="Arial"/>
        </w:rPr>
        <w:t>is</w:t>
      </w:r>
      <w:r w:rsidR="00395E39" w:rsidRPr="00571216">
        <w:rPr>
          <w:rFonts w:ascii="Arial" w:hAnsi="Arial" w:cs="Arial"/>
        </w:rPr>
        <w:t xml:space="preserve"> </w:t>
      </w:r>
      <w:r w:rsidR="005A38D0" w:rsidRPr="00571216">
        <w:rPr>
          <w:rFonts w:ascii="Arial" w:hAnsi="Arial" w:cs="Arial"/>
        </w:rPr>
        <w:t xml:space="preserve">not a sufficient redaction. </w:t>
      </w:r>
      <w:r w:rsidR="005A38D0" w:rsidRPr="00571216">
        <w:rPr>
          <w:rFonts w:ascii="Arial" w:hAnsi="Arial" w:cs="Arial"/>
          <w:i/>
          <w:iCs/>
        </w:rPr>
        <w:t>Gray</w:t>
      </w:r>
      <w:r w:rsidR="005A38D0" w:rsidRPr="00571216">
        <w:rPr>
          <w:rFonts w:ascii="Arial" w:hAnsi="Arial" w:cs="Arial"/>
        </w:rPr>
        <w:t xml:space="preserve"> 523 U.S. at 192-97; State v. Roope, 130 N.C. App. 356, 366-67 (1998). </w:t>
      </w:r>
      <w:r w:rsidR="00C34F1C" w:rsidRPr="00571216">
        <w:rPr>
          <w:rFonts w:ascii="Arial" w:hAnsi="Arial" w:cs="Arial"/>
        </w:rPr>
        <w:t>This</w:t>
      </w:r>
      <w:r w:rsidR="005A38D0" w:rsidRPr="00571216">
        <w:rPr>
          <w:rFonts w:ascii="Arial" w:hAnsi="Arial" w:cs="Arial"/>
        </w:rPr>
        <w:t xml:space="preserve"> approach is deficient because</w:t>
      </w:r>
      <w:r w:rsidR="00C34F1C" w:rsidRPr="00571216">
        <w:rPr>
          <w:rFonts w:ascii="Arial" w:hAnsi="Arial" w:cs="Arial"/>
        </w:rPr>
        <w:t xml:space="preserve"> such an obvious</w:t>
      </w:r>
      <w:r w:rsidR="005A38D0" w:rsidRPr="00571216">
        <w:rPr>
          <w:rFonts w:ascii="Arial" w:hAnsi="Arial" w:cs="Arial"/>
        </w:rPr>
        <w:t xml:space="preserve"> modification </w:t>
      </w:r>
      <w:r w:rsidR="00C34F1C" w:rsidRPr="00571216">
        <w:rPr>
          <w:rFonts w:ascii="Arial" w:hAnsi="Arial" w:cs="Arial"/>
        </w:rPr>
        <w:t xml:space="preserve">essentially </w:t>
      </w:r>
      <w:r w:rsidR="005A38D0" w:rsidRPr="00571216">
        <w:rPr>
          <w:rFonts w:ascii="Arial" w:hAnsi="Arial" w:cs="Arial"/>
        </w:rPr>
        <w:t xml:space="preserve">refers directly to the non-confessing defendant. </w:t>
      </w:r>
      <w:r w:rsidR="005A38D0" w:rsidRPr="00571216">
        <w:rPr>
          <w:rFonts w:ascii="Arial" w:hAnsi="Arial" w:cs="Arial"/>
          <w:i/>
          <w:iCs/>
        </w:rPr>
        <w:t xml:space="preserve">Gray, </w:t>
      </w:r>
      <w:r w:rsidR="005A38D0" w:rsidRPr="00571216">
        <w:rPr>
          <w:rFonts w:ascii="Arial" w:hAnsi="Arial" w:cs="Arial"/>
        </w:rPr>
        <w:t>523 U.S. at 192-97</w:t>
      </w:r>
      <w:r w:rsidR="00C34F1C" w:rsidRPr="00571216">
        <w:rPr>
          <w:rFonts w:ascii="Arial" w:hAnsi="Arial" w:cs="Arial"/>
        </w:rPr>
        <w:t xml:space="preserve"> (</w:t>
      </w:r>
      <w:r w:rsidR="00045993" w:rsidRPr="00571216">
        <w:rPr>
          <w:rFonts w:ascii="Arial" w:hAnsi="Arial" w:cs="Arial"/>
        </w:rPr>
        <w:t>"[C]</w:t>
      </w:r>
      <w:proofErr w:type="spellStart"/>
      <w:r w:rsidR="00045993" w:rsidRPr="00571216">
        <w:rPr>
          <w:rFonts w:ascii="Arial" w:hAnsi="Arial" w:cs="Arial"/>
        </w:rPr>
        <w:t>onsidered</w:t>
      </w:r>
      <w:proofErr w:type="spellEnd"/>
      <w:r w:rsidR="00045993" w:rsidRPr="00571216">
        <w:rPr>
          <w:rFonts w:ascii="Arial" w:hAnsi="Arial" w:cs="Arial"/>
        </w:rPr>
        <w:t xml:space="preserve"> as a class, redactions that replace a proper name with an obvious blank, the word 'delete,' a symbol, or similarly notify the jury that a name has been deleted are similar enough to Bruton's unredacted confessions as to warrant the same legal results."</w:t>
      </w:r>
      <w:r w:rsidR="00C34F1C" w:rsidRPr="00571216">
        <w:rPr>
          <w:rFonts w:ascii="Arial" w:hAnsi="Arial" w:cs="Arial"/>
        </w:rPr>
        <w:t>)</w:t>
      </w:r>
      <w:r w:rsidR="00045993" w:rsidRPr="00571216">
        <w:rPr>
          <w:rFonts w:ascii="Arial" w:hAnsi="Arial" w:cs="Arial"/>
        </w:rPr>
        <w:t xml:space="preserve">; </w:t>
      </w:r>
      <w:r w:rsidR="00045993" w:rsidRPr="00571216">
        <w:rPr>
          <w:rFonts w:ascii="Arial" w:hAnsi="Arial" w:cs="Arial"/>
          <w:i/>
          <w:iCs/>
        </w:rPr>
        <w:t>Samia</w:t>
      </w:r>
      <w:r w:rsidR="00045993" w:rsidRPr="00571216">
        <w:rPr>
          <w:rFonts w:ascii="Arial" w:hAnsi="Arial" w:cs="Arial"/>
        </w:rPr>
        <w:t>, 599 U.S. 635, 647 ("[C]</w:t>
      </w:r>
      <w:proofErr w:type="spellStart"/>
      <w:r w:rsidR="00045993" w:rsidRPr="00571216">
        <w:rPr>
          <w:rFonts w:ascii="Arial" w:hAnsi="Arial" w:cs="Arial"/>
        </w:rPr>
        <w:t>ertain</w:t>
      </w:r>
      <w:proofErr w:type="spellEnd"/>
      <w:r w:rsidR="00045993" w:rsidRPr="00571216">
        <w:rPr>
          <w:rFonts w:ascii="Arial" w:hAnsi="Arial" w:cs="Arial"/>
        </w:rPr>
        <w:t xml:space="preserve"> obviously redacted confessions might be 'directly accusatory,' and thus fall within </w:t>
      </w:r>
      <w:r w:rsidR="00045993" w:rsidRPr="00571216">
        <w:rPr>
          <w:rFonts w:ascii="Arial" w:hAnsi="Arial" w:cs="Arial"/>
          <w:i/>
          <w:iCs/>
        </w:rPr>
        <w:t>Bruton</w:t>
      </w:r>
      <w:r w:rsidR="00045993" w:rsidRPr="00571216">
        <w:rPr>
          <w:rFonts w:ascii="Arial" w:hAnsi="Arial" w:cs="Arial"/>
        </w:rPr>
        <w:t>’s rule, even if they [do] not specifically use a defendant's name.")</w:t>
      </w:r>
      <w:r w:rsidR="005A38D0" w:rsidRPr="00571216">
        <w:rPr>
          <w:rFonts w:ascii="Arial" w:hAnsi="Arial" w:cs="Arial"/>
        </w:rPr>
        <w:t>.</w:t>
      </w:r>
    </w:p>
    <w:p w14:paraId="2522A874" w14:textId="25CEFBA7" w:rsidR="00257B5E" w:rsidRPr="00257B5E" w:rsidRDefault="00571216" w:rsidP="00571216">
      <w:pPr>
        <w:pStyle w:val="ListParagraph"/>
        <w:numPr>
          <w:ilvl w:val="0"/>
          <w:numId w:val="7"/>
        </w:numPr>
        <w:spacing w:after="0" w:line="240" w:lineRule="auto"/>
        <w:ind w:left="2160" w:hanging="720"/>
        <w:rPr>
          <w:rFonts w:ascii="Arial" w:hAnsi="Arial" w:cs="Arial"/>
        </w:rPr>
      </w:pPr>
      <w:r>
        <w:rPr>
          <w:rFonts w:ascii="Arial" w:hAnsi="Arial" w:cs="Arial"/>
          <w:b/>
          <w:bCs/>
        </w:rPr>
        <w:t>Vague References to Accomplices.</w:t>
      </w:r>
      <w:r>
        <w:rPr>
          <w:rFonts w:ascii="Arial" w:hAnsi="Arial" w:cs="Arial"/>
          <w:b/>
          <w:bCs/>
        </w:rPr>
        <w:t xml:space="preserve"> </w:t>
      </w:r>
      <w:r w:rsidR="00257B5E">
        <w:rPr>
          <w:rFonts w:ascii="Arial" w:hAnsi="Arial" w:cs="Arial"/>
        </w:rPr>
        <w:t xml:space="preserve">In </w:t>
      </w:r>
      <w:r w:rsidR="00257B5E">
        <w:rPr>
          <w:rFonts w:ascii="Arial" w:hAnsi="Arial" w:cs="Arial"/>
          <w:i/>
          <w:iCs/>
        </w:rPr>
        <w:t>Samia</w:t>
      </w:r>
      <w:r w:rsidR="00257B5E">
        <w:rPr>
          <w:rFonts w:ascii="Arial" w:hAnsi="Arial" w:cs="Arial"/>
        </w:rPr>
        <w:t xml:space="preserve">, the United States Supreme Court held that a codefendant’s statement, recounted in testimony from a DEA agent, was sufficiently redacted when, instead of </w:t>
      </w:r>
      <w:r w:rsidR="00257B5E">
        <w:rPr>
          <w:rFonts w:ascii="Arial" w:hAnsi="Arial" w:cs="Arial"/>
        </w:rPr>
        <w:lastRenderedPageBreak/>
        <w:t xml:space="preserve">repeating the codefendant’s specific identification of the defendant, the agent testified to the codefendant’s description of when “the </w:t>
      </w:r>
      <w:r w:rsidR="00257B5E" w:rsidRPr="00185E4F">
        <w:rPr>
          <w:rFonts w:ascii="Arial" w:hAnsi="Arial" w:cs="Arial"/>
          <w:i/>
          <w:iCs/>
        </w:rPr>
        <w:t>other person</w:t>
      </w:r>
      <w:r w:rsidR="00257B5E">
        <w:rPr>
          <w:rFonts w:ascii="Arial" w:hAnsi="Arial" w:cs="Arial"/>
        </w:rPr>
        <w:t xml:space="preserve"> he was with pulled the trigger on [the victim].” 599 U.S. at 642-43. The defendant argued that other evidence, along with the prosecution’s opening and closing statements, so clearly identified him as the “other person” </w:t>
      </w:r>
      <w:r w:rsidR="00395E39">
        <w:rPr>
          <w:rFonts w:ascii="Arial" w:hAnsi="Arial" w:cs="Arial"/>
        </w:rPr>
        <w:t xml:space="preserve">that </w:t>
      </w:r>
      <w:r w:rsidR="00257B5E">
        <w:rPr>
          <w:rFonts w:ascii="Arial" w:hAnsi="Arial" w:cs="Arial"/>
        </w:rPr>
        <w:t xml:space="preserve">admission of the statement violated </w:t>
      </w:r>
      <w:r w:rsidR="00257B5E">
        <w:rPr>
          <w:rFonts w:ascii="Arial" w:hAnsi="Arial" w:cs="Arial"/>
          <w:i/>
          <w:iCs/>
        </w:rPr>
        <w:t xml:space="preserve">Bruton </w:t>
      </w:r>
      <w:r w:rsidR="00257B5E">
        <w:rPr>
          <w:rFonts w:ascii="Arial" w:hAnsi="Arial" w:cs="Arial"/>
        </w:rPr>
        <w:t xml:space="preserve">in a similar manner as the obviously redacted statement in </w:t>
      </w:r>
      <w:r w:rsidR="00257B5E">
        <w:rPr>
          <w:rFonts w:ascii="Arial" w:hAnsi="Arial" w:cs="Arial"/>
          <w:i/>
          <w:iCs/>
        </w:rPr>
        <w:t>Gray</w:t>
      </w:r>
      <w:r w:rsidR="00257B5E">
        <w:rPr>
          <w:rFonts w:ascii="Arial" w:hAnsi="Arial" w:cs="Arial"/>
        </w:rPr>
        <w:t xml:space="preserve">. The Court rejected this argument, explaining that “the ‘neutral’ references to some ‘other </w:t>
      </w:r>
      <w:proofErr w:type="gramStart"/>
      <w:r w:rsidR="00257B5E">
        <w:rPr>
          <w:rFonts w:ascii="Arial" w:hAnsi="Arial" w:cs="Arial"/>
        </w:rPr>
        <w:t>person</w:t>
      </w:r>
      <w:proofErr w:type="gramEnd"/>
      <w:r w:rsidR="00257B5E">
        <w:rPr>
          <w:rFonts w:ascii="Arial" w:hAnsi="Arial" w:cs="Arial"/>
        </w:rPr>
        <w:t xml:space="preserve">’ were not akin to an obvious blank or the word ‘deleted.’” </w:t>
      </w:r>
      <w:r w:rsidR="00257B5E">
        <w:rPr>
          <w:rFonts w:ascii="Arial" w:hAnsi="Arial" w:cs="Arial"/>
          <w:i/>
          <w:iCs/>
        </w:rPr>
        <w:t>Id</w:t>
      </w:r>
      <w:r w:rsidR="00257B5E">
        <w:rPr>
          <w:rFonts w:ascii="Arial" w:hAnsi="Arial" w:cs="Arial"/>
        </w:rPr>
        <w:t>. at 643. The Court’s analysis suggests that</w:t>
      </w:r>
      <w:r w:rsidR="00AF1004">
        <w:rPr>
          <w:rFonts w:ascii="Arial" w:hAnsi="Arial" w:cs="Arial"/>
        </w:rPr>
        <w:t>, as a matter of federal constitutional law,</w:t>
      </w:r>
      <w:r w:rsidR="00257B5E">
        <w:rPr>
          <w:rFonts w:ascii="Arial" w:hAnsi="Arial" w:cs="Arial"/>
        </w:rPr>
        <w:t xml:space="preserve"> replacing a specific identification of a defendant with a vague neutral reference that does not amount to an obvious redaction of the type disapproved of in </w:t>
      </w:r>
      <w:r w:rsidR="00257B5E">
        <w:rPr>
          <w:rFonts w:ascii="Arial" w:hAnsi="Arial" w:cs="Arial"/>
          <w:i/>
          <w:iCs/>
        </w:rPr>
        <w:t xml:space="preserve">Gray </w:t>
      </w:r>
      <w:r w:rsidR="00257B5E">
        <w:rPr>
          <w:rFonts w:ascii="Arial" w:hAnsi="Arial" w:cs="Arial"/>
        </w:rPr>
        <w:t xml:space="preserve">is sufficient to satisfy </w:t>
      </w:r>
      <w:r w:rsidR="00257B5E">
        <w:rPr>
          <w:rFonts w:ascii="Arial" w:hAnsi="Arial" w:cs="Arial"/>
          <w:i/>
          <w:iCs/>
        </w:rPr>
        <w:t xml:space="preserve">Bruton </w:t>
      </w:r>
      <w:r w:rsidR="00257B5E">
        <w:rPr>
          <w:rFonts w:ascii="Arial" w:hAnsi="Arial" w:cs="Arial"/>
        </w:rPr>
        <w:t xml:space="preserve">regardless of how strongly other evidence connects a defendant to the statement. </w:t>
      </w:r>
      <w:r w:rsidR="00257B5E">
        <w:rPr>
          <w:rFonts w:ascii="Arial" w:hAnsi="Arial" w:cs="Arial"/>
          <w:i/>
          <w:iCs/>
        </w:rPr>
        <w:t>See</w:t>
      </w:r>
      <w:r w:rsidR="00257B5E">
        <w:rPr>
          <w:rFonts w:ascii="Arial" w:hAnsi="Arial" w:cs="Arial"/>
        </w:rPr>
        <w:t xml:space="preserve"> </w:t>
      </w:r>
      <w:r w:rsidR="00257B5E">
        <w:rPr>
          <w:rFonts w:ascii="Arial" w:hAnsi="Arial" w:cs="Arial"/>
          <w:i/>
          <w:iCs/>
        </w:rPr>
        <w:t>Samia</w:t>
      </w:r>
      <w:r w:rsidR="00257B5E">
        <w:rPr>
          <w:rFonts w:ascii="Arial" w:hAnsi="Arial" w:cs="Arial"/>
        </w:rPr>
        <w:t>, 599 U.S. at 642 (noting that defendant could be identified by inference as the “other person” by prosecution’s opening statement asserting that the defendant shot the victim, evidence that the defendant possessed the type of gun that was used, and testimony that the defendant and codefendant lived together in the Philippines and the “other person” was the person with whom the codefendant lived in the Philippines).</w:t>
      </w:r>
    </w:p>
    <w:p w14:paraId="227C36DE" w14:textId="4160D338" w:rsidR="005A38D0" w:rsidRPr="00EE0467" w:rsidRDefault="00257B5E" w:rsidP="00257B5E">
      <w:pPr>
        <w:pStyle w:val="ListParagraph"/>
        <w:spacing w:after="0" w:line="240" w:lineRule="auto"/>
        <w:ind w:left="2160" w:firstLine="720"/>
        <w:rPr>
          <w:rFonts w:ascii="Arial" w:hAnsi="Arial" w:cs="Arial"/>
        </w:rPr>
      </w:pPr>
      <w:r>
        <w:rPr>
          <w:rFonts w:ascii="Arial" w:hAnsi="Arial" w:cs="Arial"/>
        </w:rPr>
        <w:t xml:space="preserve">North Carolina appellate cases predating </w:t>
      </w:r>
      <w:r>
        <w:rPr>
          <w:rFonts w:ascii="Arial" w:hAnsi="Arial" w:cs="Arial"/>
          <w:i/>
          <w:iCs/>
        </w:rPr>
        <w:t>Samia</w:t>
      </w:r>
      <w:r>
        <w:rPr>
          <w:rFonts w:ascii="Arial" w:hAnsi="Arial" w:cs="Arial"/>
        </w:rPr>
        <w:t xml:space="preserve"> hold that a</w:t>
      </w:r>
      <w:r w:rsidR="005A38D0" w:rsidRPr="00571216">
        <w:rPr>
          <w:rFonts w:ascii="Arial" w:hAnsi="Arial" w:cs="Arial"/>
        </w:rPr>
        <w:t xml:space="preserve"> redaction that references a vague unnamed accomplice may or may not be </w:t>
      </w:r>
      <w:r>
        <w:rPr>
          <w:rFonts w:ascii="Arial" w:hAnsi="Arial" w:cs="Arial"/>
        </w:rPr>
        <w:t xml:space="preserve">sufficient to satisfy </w:t>
      </w:r>
      <w:r>
        <w:rPr>
          <w:rFonts w:ascii="Arial" w:hAnsi="Arial" w:cs="Arial"/>
          <w:i/>
          <w:iCs/>
        </w:rPr>
        <w:t>Bruton</w:t>
      </w:r>
      <w:r w:rsidR="005A38D0" w:rsidRPr="00571216">
        <w:rPr>
          <w:rFonts w:ascii="Arial" w:hAnsi="Arial" w:cs="Arial"/>
        </w:rPr>
        <w:t xml:space="preserve">, depending on the circumstances. </w:t>
      </w:r>
      <w:r w:rsidR="005A38D0" w:rsidRPr="00571216">
        <w:rPr>
          <w:rFonts w:ascii="Arial" w:hAnsi="Arial" w:cs="Arial"/>
          <w:i/>
          <w:iCs/>
        </w:rPr>
        <w:t xml:space="preserve">Compare </w:t>
      </w:r>
      <w:r w:rsidR="005A38D0" w:rsidRPr="00571216">
        <w:rPr>
          <w:rFonts w:ascii="Arial" w:hAnsi="Arial" w:cs="Arial"/>
        </w:rPr>
        <w:t xml:space="preserve">State v. Gonzalez, 311 N.C. 80, 94 (1984) (codefendant’s confession that did not name the defendant was insufficiently sanitized when the confession included the statement: “I told him I was with some guys, but that I didn't rob anyone, they did”; because the confessor's two codefendants were being tried jointly with him, and since only two persons were seen in the service station at the time of the robbery, the statement clearly implicated the non-confessing defendant), </w:t>
      </w:r>
      <w:r w:rsidR="005A38D0" w:rsidRPr="00571216">
        <w:rPr>
          <w:rFonts w:ascii="Arial" w:hAnsi="Arial" w:cs="Arial"/>
          <w:i/>
          <w:iCs/>
        </w:rPr>
        <w:t xml:space="preserve">with </w:t>
      </w:r>
      <w:r w:rsidR="005A38D0" w:rsidRPr="00571216">
        <w:rPr>
          <w:rFonts w:ascii="Arial" w:hAnsi="Arial" w:cs="Arial"/>
        </w:rPr>
        <w:t>State v. Johnson, 71 N.C. App. 90, 93-94 (1984) (in a trial involving three accomplices, a statement by one of the co-defendants was adequately sanitized when all explicit references to the defendant were removed but the statement referred to the involvement of an unidentified male (“he”); the court noted that while “he” referred to a single person, three accomplices were on trial).</w:t>
      </w:r>
      <w:r w:rsidR="00EE0467">
        <w:rPr>
          <w:rFonts w:ascii="Arial" w:hAnsi="Arial" w:cs="Arial"/>
        </w:rPr>
        <w:t xml:space="preserve"> The North Carolina appellate courts have not addressed this issue since </w:t>
      </w:r>
      <w:r w:rsidR="00EE0467">
        <w:rPr>
          <w:rFonts w:ascii="Arial" w:hAnsi="Arial" w:cs="Arial"/>
          <w:i/>
          <w:iCs/>
        </w:rPr>
        <w:t xml:space="preserve">Samia </w:t>
      </w:r>
      <w:r w:rsidR="00EE0467">
        <w:rPr>
          <w:rFonts w:ascii="Arial" w:hAnsi="Arial" w:cs="Arial"/>
        </w:rPr>
        <w:t>was decided.</w:t>
      </w:r>
    </w:p>
    <w:p w14:paraId="4621A65F" w14:textId="2B820E1F" w:rsidR="00847AE0" w:rsidRDefault="00571216" w:rsidP="00571216">
      <w:pPr>
        <w:pStyle w:val="ListParagraph"/>
        <w:numPr>
          <w:ilvl w:val="0"/>
          <w:numId w:val="7"/>
        </w:numPr>
        <w:spacing w:after="0" w:line="240" w:lineRule="auto"/>
        <w:ind w:left="2160" w:hanging="720"/>
        <w:rPr>
          <w:rFonts w:ascii="Arial" w:hAnsi="Arial" w:cs="Arial"/>
        </w:rPr>
      </w:pPr>
      <w:r>
        <w:rPr>
          <w:rFonts w:ascii="Arial" w:hAnsi="Arial" w:cs="Arial"/>
          <w:b/>
          <w:bCs/>
        </w:rPr>
        <w:t>Practical Considerations</w:t>
      </w:r>
      <w:r>
        <w:rPr>
          <w:rFonts w:ascii="Arial" w:hAnsi="Arial" w:cs="Arial"/>
          <w:b/>
          <w:bCs/>
        </w:rPr>
        <w:t xml:space="preserve">. </w:t>
      </w:r>
      <w:proofErr w:type="gramStart"/>
      <w:r w:rsidR="005A38D0" w:rsidRPr="00571216">
        <w:rPr>
          <w:rFonts w:ascii="Arial" w:hAnsi="Arial" w:cs="Arial"/>
        </w:rPr>
        <w:t>In order to</w:t>
      </w:r>
      <w:proofErr w:type="gramEnd"/>
      <w:r w:rsidR="005A38D0" w:rsidRPr="00571216">
        <w:rPr>
          <w:rFonts w:ascii="Arial" w:hAnsi="Arial" w:cs="Arial"/>
        </w:rPr>
        <w:t xml:space="preserve"> sufficiently redact a </w:t>
      </w:r>
      <w:r w:rsidR="00847AE0">
        <w:rPr>
          <w:rFonts w:ascii="Arial" w:hAnsi="Arial" w:cs="Arial"/>
        </w:rPr>
        <w:t>statement</w:t>
      </w:r>
      <w:r w:rsidR="005A38D0" w:rsidRPr="00571216">
        <w:rPr>
          <w:rFonts w:ascii="Arial" w:hAnsi="Arial" w:cs="Arial"/>
        </w:rPr>
        <w:t xml:space="preserve">, it may be necessary to remove entire sentences. </w:t>
      </w:r>
      <w:r w:rsidR="005A38D0" w:rsidRPr="00D70F9D">
        <w:rPr>
          <w:rFonts w:ascii="Arial" w:hAnsi="Arial" w:cs="Arial"/>
          <w:i/>
          <w:iCs/>
        </w:rPr>
        <w:t>Brewington</w:t>
      </w:r>
      <w:r w:rsidR="005A38D0" w:rsidRPr="00571216">
        <w:rPr>
          <w:rFonts w:ascii="Arial" w:hAnsi="Arial" w:cs="Arial"/>
        </w:rPr>
        <w:t xml:space="preserve">, 352 N.C. </w:t>
      </w:r>
      <w:r w:rsidR="00613279">
        <w:rPr>
          <w:rFonts w:ascii="Arial" w:hAnsi="Arial" w:cs="Arial"/>
        </w:rPr>
        <w:t>at</w:t>
      </w:r>
      <w:r w:rsidR="005A38D0" w:rsidRPr="00571216">
        <w:rPr>
          <w:rFonts w:ascii="Arial" w:hAnsi="Arial" w:cs="Arial"/>
        </w:rPr>
        <w:t xml:space="preserve"> (confession was redacted appropriately when it was modified by taking out complete sentences and groups of sentences that mentioned, connected, or referenced the defendant’s existence, as redacted it retained a natural narrative flow, and it did not contain any contextual clues indicating that it was altered in any manner; the alternations were subtle and neither attract the jury's attention nor invite speculation). </w:t>
      </w:r>
      <w:r w:rsidR="00847AE0">
        <w:rPr>
          <w:rFonts w:ascii="Arial" w:hAnsi="Arial" w:cs="Arial"/>
        </w:rPr>
        <w:t>It</w:t>
      </w:r>
      <w:r w:rsidR="005A38D0" w:rsidRPr="00571216">
        <w:rPr>
          <w:rFonts w:ascii="Arial" w:hAnsi="Arial" w:cs="Arial"/>
        </w:rPr>
        <w:t xml:space="preserve"> may be necessary</w:t>
      </w:r>
      <w:r w:rsidR="00847AE0">
        <w:rPr>
          <w:rFonts w:ascii="Arial" w:hAnsi="Arial" w:cs="Arial"/>
        </w:rPr>
        <w:t xml:space="preserve"> to substitute words or phrases</w:t>
      </w:r>
      <w:r w:rsidR="005A38D0" w:rsidRPr="00571216">
        <w:rPr>
          <w:rFonts w:ascii="Arial" w:hAnsi="Arial" w:cs="Arial"/>
        </w:rPr>
        <w:t>, such as to change plural pronouns to singular pronouns, State v. Ferrell, 46 N.C. App. 52, 55 (1980) (statements were properly sanitized by substituting singular pronouns and eliminating any reference to the defendants),</w:t>
      </w:r>
      <w:r w:rsidR="00847AE0">
        <w:rPr>
          <w:rFonts w:ascii="Arial" w:hAnsi="Arial" w:cs="Arial"/>
        </w:rPr>
        <w:t xml:space="preserve"> or to substitute specific identification with a vague reference to accomplices. </w:t>
      </w:r>
      <w:r w:rsidR="00847AE0">
        <w:rPr>
          <w:rFonts w:ascii="Arial" w:hAnsi="Arial" w:cs="Arial"/>
          <w:i/>
          <w:iCs/>
        </w:rPr>
        <w:lastRenderedPageBreak/>
        <w:t>Samia</w:t>
      </w:r>
      <w:r w:rsidR="00847AE0">
        <w:rPr>
          <w:rFonts w:ascii="Arial" w:hAnsi="Arial" w:cs="Arial"/>
        </w:rPr>
        <w:t>, 599 U.S. at 642-43. It is important for a redacted statement</w:t>
      </w:r>
      <w:r w:rsidR="005A38D0" w:rsidRPr="00571216">
        <w:rPr>
          <w:rFonts w:ascii="Arial" w:hAnsi="Arial" w:cs="Arial"/>
        </w:rPr>
        <w:t xml:space="preserve"> to retain a natural flow, and to avoid the suggestion that the statement was modified, </w:t>
      </w:r>
      <w:r w:rsidR="005A38D0" w:rsidRPr="00571216">
        <w:rPr>
          <w:rFonts w:ascii="Arial" w:hAnsi="Arial" w:cs="Arial"/>
          <w:i/>
          <w:iCs/>
        </w:rPr>
        <w:t>Brewington</w:t>
      </w:r>
      <w:r w:rsidR="005A38D0" w:rsidRPr="00571216">
        <w:rPr>
          <w:rFonts w:ascii="Arial" w:hAnsi="Arial" w:cs="Arial"/>
        </w:rPr>
        <w:t>, 352 N.C. at 512.</w:t>
      </w:r>
    </w:p>
    <w:p w14:paraId="1251A3FD" w14:textId="773443C5" w:rsidR="005A38D0" w:rsidRPr="00FD1985" w:rsidRDefault="00847AE0" w:rsidP="00847AE0">
      <w:pPr>
        <w:pStyle w:val="ListParagraph"/>
        <w:spacing w:after="0" w:line="240" w:lineRule="auto"/>
        <w:ind w:left="2160" w:firstLine="720"/>
        <w:rPr>
          <w:rFonts w:ascii="Arial" w:hAnsi="Arial" w:cs="Arial"/>
        </w:rPr>
      </w:pPr>
      <w:r>
        <w:rPr>
          <w:rFonts w:ascii="Arial" w:hAnsi="Arial" w:cs="Arial"/>
        </w:rPr>
        <w:t xml:space="preserve">The </w:t>
      </w:r>
      <w:r w:rsidR="00971E68">
        <w:rPr>
          <w:rFonts w:ascii="Arial" w:hAnsi="Arial" w:cs="Arial"/>
        </w:rPr>
        <w:t>full scope</w:t>
      </w:r>
      <w:r>
        <w:rPr>
          <w:rFonts w:ascii="Arial" w:hAnsi="Arial" w:cs="Arial"/>
        </w:rPr>
        <w:t xml:space="preserve"> of permissible redaction ha</w:t>
      </w:r>
      <w:r w:rsidR="00F04110">
        <w:rPr>
          <w:rFonts w:ascii="Arial" w:hAnsi="Arial" w:cs="Arial"/>
        </w:rPr>
        <w:t>s</w:t>
      </w:r>
      <w:r>
        <w:rPr>
          <w:rFonts w:ascii="Arial" w:hAnsi="Arial" w:cs="Arial"/>
        </w:rPr>
        <w:t xml:space="preserve"> not been concretely established</w:t>
      </w:r>
      <w:r w:rsidR="00D736A6">
        <w:rPr>
          <w:rFonts w:ascii="Arial" w:hAnsi="Arial" w:cs="Arial"/>
        </w:rPr>
        <w:t xml:space="preserve"> by the courts</w:t>
      </w:r>
      <w:r>
        <w:rPr>
          <w:rFonts w:ascii="Arial" w:hAnsi="Arial" w:cs="Arial"/>
        </w:rPr>
        <w:t xml:space="preserve">. In </w:t>
      </w:r>
      <w:r>
        <w:rPr>
          <w:rFonts w:ascii="Arial" w:hAnsi="Arial" w:cs="Arial"/>
          <w:i/>
          <w:iCs/>
        </w:rPr>
        <w:t>Samia</w:t>
      </w:r>
      <w:r>
        <w:rPr>
          <w:rFonts w:ascii="Arial" w:hAnsi="Arial" w:cs="Arial"/>
        </w:rPr>
        <w:t xml:space="preserve">, the Court noted that it had “never opined as to whether rewriting a confession may serve as a proper method of redaction.” 599 U.S. at 641, n.1. </w:t>
      </w:r>
      <w:r>
        <w:rPr>
          <w:rFonts w:ascii="Arial" w:hAnsi="Arial" w:cs="Arial"/>
          <w:i/>
          <w:iCs/>
        </w:rPr>
        <w:t>See also</w:t>
      </w:r>
      <w:r>
        <w:rPr>
          <w:rFonts w:ascii="Arial" w:hAnsi="Arial" w:cs="Arial"/>
        </w:rPr>
        <w:t xml:space="preserve"> </w:t>
      </w:r>
      <w:r>
        <w:rPr>
          <w:rFonts w:ascii="Arial" w:hAnsi="Arial" w:cs="Arial"/>
          <w:i/>
          <w:iCs/>
        </w:rPr>
        <w:t>Ferrell</w:t>
      </w:r>
      <w:r>
        <w:rPr>
          <w:rFonts w:ascii="Arial" w:hAnsi="Arial" w:cs="Arial"/>
        </w:rPr>
        <w:t>, 46 N.C. App. at 55 (rejecting defendants’ argument that redaction caused statements to become “a product of the district attorney’s imagination”). As discussed below, redactions must not materially and prejudicially alter the content of a statement.</w:t>
      </w:r>
      <w:r w:rsidR="00264E3C">
        <w:rPr>
          <w:rFonts w:ascii="Arial" w:hAnsi="Arial" w:cs="Arial"/>
        </w:rPr>
        <w:t xml:space="preserve"> </w:t>
      </w:r>
      <w:r w:rsidR="00264E3C">
        <w:rPr>
          <w:rFonts w:ascii="Arial" w:hAnsi="Arial" w:cs="Arial"/>
          <w:i/>
          <w:iCs/>
        </w:rPr>
        <w:t>Samia</w:t>
      </w:r>
      <w:r w:rsidR="00264E3C">
        <w:rPr>
          <w:rFonts w:ascii="Arial" w:hAnsi="Arial" w:cs="Arial"/>
        </w:rPr>
        <w:t>, 599 U.S. at 653 (noting that, in addition to being unnecessary as a constitutional matter, modifying the statement at issue to omit all references to the existence of an accomplice would both imperil the Government’s proof of the coordination element of conspiracy and give the jury the mistaken impression that the declarant codefendant had confessed to shooting the victim)</w:t>
      </w:r>
    </w:p>
    <w:p w14:paraId="610CE35F" w14:textId="77777777" w:rsidR="005A38D0" w:rsidRPr="00C43B52" w:rsidRDefault="005A38D0" w:rsidP="00FA0A10">
      <w:pPr>
        <w:spacing w:after="0" w:line="240" w:lineRule="auto"/>
        <w:rPr>
          <w:rFonts w:ascii="Arial" w:hAnsi="Arial" w:cs="Arial"/>
        </w:rPr>
      </w:pPr>
    </w:p>
    <w:p w14:paraId="467B91C5" w14:textId="77777777" w:rsidR="005A38D0" w:rsidRPr="00C43B52" w:rsidRDefault="005A38D0" w:rsidP="00EF791F">
      <w:pPr>
        <w:pStyle w:val="ListParagraph"/>
        <w:numPr>
          <w:ilvl w:val="0"/>
          <w:numId w:val="3"/>
        </w:numPr>
        <w:spacing w:after="0" w:line="240" w:lineRule="auto"/>
        <w:ind w:left="1440" w:hanging="720"/>
        <w:rPr>
          <w:rFonts w:ascii="Arial" w:hAnsi="Arial" w:cs="Arial"/>
        </w:rPr>
      </w:pPr>
      <w:bookmarkStart w:id="5" w:name="_Toc197096003"/>
      <w:r w:rsidRPr="00C279D7">
        <w:rPr>
          <w:rStyle w:val="Heading2Char"/>
        </w:rPr>
        <w:t>Limiting Instruction</w:t>
      </w:r>
      <w:bookmarkEnd w:id="5"/>
      <w:r w:rsidRPr="00C43B52">
        <w:rPr>
          <w:rFonts w:ascii="Arial" w:hAnsi="Arial" w:cs="Arial"/>
          <w:b/>
          <w:bCs/>
        </w:rPr>
        <w:t xml:space="preserve">. </w:t>
      </w:r>
      <w:r w:rsidRPr="00C43B52">
        <w:rPr>
          <w:rFonts w:ascii="Arial" w:hAnsi="Arial" w:cs="Arial"/>
        </w:rPr>
        <w:t xml:space="preserve">As noted above in Section I.A. a properly sanitized statement may be admitted consistent with </w:t>
      </w:r>
      <w:r w:rsidRPr="00C43B52">
        <w:rPr>
          <w:rFonts w:ascii="Arial" w:hAnsi="Arial" w:cs="Arial"/>
          <w:i/>
          <w:iCs/>
        </w:rPr>
        <w:t>Bruton</w:t>
      </w:r>
      <w:r w:rsidRPr="00C43B52">
        <w:rPr>
          <w:rFonts w:ascii="Arial" w:hAnsi="Arial" w:cs="Arial"/>
        </w:rPr>
        <w:t xml:space="preserve"> if a limiting instruction is given. If defendants X and Y are being tried jointly and the statement is one of defendant X, the jury should be instructed that it may consider the statement as evidence of X’s guilt but may not consider it as evidence of Y’s guilt. </w:t>
      </w:r>
    </w:p>
    <w:p w14:paraId="0D941FBE" w14:textId="77777777" w:rsidR="005A38D0" w:rsidRPr="00C43B52" w:rsidRDefault="005A38D0" w:rsidP="00EF791F">
      <w:pPr>
        <w:pStyle w:val="ListParagraph"/>
        <w:spacing w:after="0" w:line="240" w:lineRule="auto"/>
        <w:ind w:left="1440" w:hanging="720"/>
        <w:rPr>
          <w:rFonts w:ascii="Arial" w:hAnsi="Arial" w:cs="Arial"/>
        </w:rPr>
      </w:pPr>
    </w:p>
    <w:p w14:paraId="06926217" w14:textId="6045A30A" w:rsidR="005A38D0" w:rsidRPr="00C43B52" w:rsidRDefault="005A38D0" w:rsidP="00EF791F">
      <w:pPr>
        <w:pStyle w:val="ListParagraph"/>
        <w:numPr>
          <w:ilvl w:val="0"/>
          <w:numId w:val="3"/>
        </w:numPr>
        <w:spacing w:after="0" w:line="240" w:lineRule="auto"/>
        <w:ind w:left="1440" w:hanging="720"/>
        <w:rPr>
          <w:rFonts w:ascii="Arial" w:hAnsi="Arial" w:cs="Arial"/>
        </w:rPr>
      </w:pPr>
      <w:bookmarkStart w:id="6" w:name="_Toc197096004"/>
      <w:r w:rsidRPr="00C279D7">
        <w:rPr>
          <w:rStyle w:val="Heading2Char"/>
        </w:rPr>
        <w:t>When Adequate Redaction is Not Possible</w:t>
      </w:r>
      <w:bookmarkEnd w:id="6"/>
      <w:r w:rsidRPr="00C43B52">
        <w:rPr>
          <w:rFonts w:ascii="Arial" w:hAnsi="Arial" w:cs="Arial"/>
          <w:b/>
          <w:bCs/>
        </w:rPr>
        <w:t xml:space="preserve">. </w:t>
      </w:r>
      <w:r w:rsidRPr="00C43B52">
        <w:rPr>
          <w:rFonts w:ascii="Arial" w:hAnsi="Arial" w:cs="Arial"/>
        </w:rPr>
        <w:t xml:space="preserve">There may be situations in which redaction is not possible. This may occur, for example, when the required redaction would materially alter the content of the statement in a way that prejudices the State or the declarant codefendant. </w:t>
      </w:r>
      <w:r w:rsidR="00264E3C">
        <w:rPr>
          <w:rFonts w:ascii="Arial" w:hAnsi="Arial" w:cs="Arial"/>
          <w:i/>
          <w:iCs/>
        </w:rPr>
        <w:t xml:space="preserve">See </w:t>
      </w:r>
      <w:r w:rsidR="00FD1985">
        <w:rPr>
          <w:rFonts w:ascii="Arial" w:hAnsi="Arial" w:cs="Arial"/>
        </w:rPr>
        <w:t>State v. Giles, 83 N.C. App. 487, 494 (1986) (redaction of declarant defendant’s statement to omit all references to accomplice</w:t>
      </w:r>
      <w:r w:rsidR="00264E3C">
        <w:rPr>
          <w:rFonts w:ascii="Arial" w:hAnsi="Arial" w:cs="Arial"/>
        </w:rPr>
        <w:t xml:space="preserve"> was proper as it</w:t>
      </w:r>
      <w:r w:rsidR="00FD1985">
        <w:rPr>
          <w:rFonts w:ascii="Arial" w:hAnsi="Arial" w:cs="Arial"/>
          <w:i/>
          <w:iCs/>
        </w:rPr>
        <w:t xml:space="preserve"> </w:t>
      </w:r>
      <w:r w:rsidR="00FD1985">
        <w:rPr>
          <w:rFonts w:ascii="Arial" w:hAnsi="Arial" w:cs="Arial"/>
        </w:rPr>
        <w:t>did not materially alter the statement and was not prejudicial)</w:t>
      </w:r>
      <w:r w:rsidR="006213B5">
        <w:rPr>
          <w:rFonts w:ascii="Arial" w:hAnsi="Arial" w:cs="Arial"/>
        </w:rPr>
        <w:t xml:space="preserve">; State v. Holmes, 101 N.C. App. 229, 238 (1990) (same, citing </w:t>
      </w:r>
      <w:r w:rsidR="006213B5">
        <w:rPr>
          <w:rFonts w:ascii="Arial" w:hAnsi="Arial" w:cs="Arial"/>
          <w:i/>
          <w:iCs/>
        </w:rPr>
        <w:t>Giles</w:t>
      </w:r>
      <w:r w:rsidR="006213B5">
        <w:rPr>
          <w:rFonts w:ascii="Arial" w:hAnsi="Arial" w:cs="Arial"/>
        </w:rPr>
        <w:t xml:space="preserve">), </w:t>
      </w:r>
      <w:r w:rsidR="006213B5">
        <w:rPr>
          <w:rFonts w:ascii="Arial" w:hAnsi="Arial" w:cs="Arial"/>
          <w:i/>
          <w:iCs/>
        </w:rPr>
        <w:t>aff’d on other grounds</w:t>
      </w:r>
      <w:r w:rsidR="006213B5">
        <w:rPr>
          <w:rFonts w:ascii="Arial" w:hAnsi="Arial" w:cs="Arial"/>
        </w:rPr>
        <w:t>, 330 N.C. 826 (1992)</w:t>
      </w:r>
      <w:r w:rsidR="00DE2C20">
        <w:rPr>
          <w:rFonts w:ascii="Arial" w:hAnsi="Arial" w:cs="Arial"/>
        </w:rPr>
        <w:t>.</w:t>
      </w:r>
      <w:r w:rsidR="00264E3C">
        <w:rPr>
          <w:rFonts w:ascii="Arial" w:hAnsi="Arial" w:cs="Arial"/>
        </w:rPr>
        <w:t xml:space="preserve"> </w:t>
      </w:r>
      <w:r w:rsidRPr="00C43B52">
        <w:rPr>
          <w:rFonts w:ascii="Arial" w:hAnsi="Arial" w:cs="Arial"/>
        </w:rPr>
        <w:t xml:space="preserve">In situations where the statement cannot be adequately sanitized, the prosecution must choose between relinquishing the confession or trying the defendants separately. State v. Brewington, 352 N.C. 489, 508-09 (2000); G.S. 15A–927(c)(1) (codifying this principle). </w:t>
      </w:r>
    </w:p>
    <w:p w14:paraId="38C9CA52" w14:textId="77777777" w:rsidR="005A38D0" w:rsidRPr="00C43B52" w:rsidRDefault="005A38D0" w:rsidP="00932D06">
      <w:pPr>
        <w:spacing w:after="0" w:line="240" w:lineRule="auto"/>
        <w:rPr>
          <w:rFonts w:ascii="Arial" w:hAnsi="Arial" w:cs="Arial"/>
        </w:rPr>
      </w:pPr>
    </w:p>
    <w:p w14:paraId="30638DF2" w14:textId="77777777" w:rsidR="005A38D0" w:rsidRPr="00D10444" w:rsidRDefault="005A38D0" w:rsidP="00C279D7">
      <w:pPr>
        <w:pStyle w:val="Heading1"/>
        <w:rPr>
          <w:b w:val="0"/>
        </w:rPr>
      </w:pPr>
      <w:bookmarkStart w:id="7" w:name="_Toc197096005"/>
      <w:r w:rsidRPr="00D10444">
        <w:rPr>
          <w:rStyle w:val="Heading1Char"/>
          <w:b/>
        </w:rPr>
        <w:t>Exceptions</w:t>
      </w:r>
      <w:r w:rsidRPr="00D10444">
        <w:rPr>
          <w:b w:val="0"/>
        </w:rPr>
        <w:t>.</w:t>
      </w:r>
      <w:bookmarkEnd w:id="7"/>
    </w:p>
    <w:p w14:paraId="5188E40E" w14:textId="4EE8DCED" w:rsidR="00AA6C1A" w:rsidRPr="00AA6C1A" w:rsidRDefault="00AA6C1A" w:rsidP="00EF791F">
      <w:pPr>
        <w:pStyle w:val="ListParagraph"/>
        <w:numPr>
          <w:ilvl w:val="0"/>
          <w:numId w:val="2"/>
        </w:numPr>
        <w:spacing w:after="0" w:line="240" w:lineRule="auto"/>
        <w:ind w:left="1440" w:hanging="720"/>
        <w:rPr>
          <w:rFonts w:ascii="Arial" w:hAnsi="Arial" w:cs="Arial"/>
          <w:b/>
          <w:bCs/>
        </w:rPr>
      </w:pPr>
      <w:bookmarkStart w:id="8" w:name="_Toc197096006"/>
      <w:r>
        <w:rPr>
          <w:rStyle w:val="Heading2Char"/>
        </w:rPr>
        <w:t>Hearsay Rules</w:t>
      </w:r>
      <w:bookmarkEnd w:id="8"/>
      <w:r w:rsidR="005A38D0" w:rsidRPr="00C43B52">
        <w:rPr>
          <w:rFonts w:ascii="Arial" w:hAnsi="Arial" w:cs="Arial"/>
          <w:b/>
          <w:bCs/>
        </w:rPr>
        <w:t>.</w:t>
      </w:r>
      <w:r w:rsidR="0095686E">
        <w:rPr>
          <w:rFonts w:ascii="Arial" w:hAnsi="Arial" w:cs="Arial"/>
        </w:rPr>
        <w:t xml:space="preserve"> As noted in Section I.B. above, </w:t>
      </w:r>
      <w:r w:rsidR="0095686E">
        <w:rPr>
          <w:rFonts w:ascii="Arial" w:hAnsi="Arial" w:cs="Arial"/>
          <w:i/>
          <w:iCs/>
        </w:rPr>
        <w:t xml:space="preserve">Crawford </w:t>
      </w:r>
      <w:r w:rsidR="0095686E">
        <w:rPr>
          <w:rFonts w:ascii="Arial" w:hAnsi="Arial" w:cs="Arial"/>
        </w:rPr>
        <w:t>significantly changed the analysis of the applicability of the confrontation clause</w:t>
      </w:r>
      <w:r w:rsidR="00395E39">
        <w:rPr>
          <w:rFonts w:ascii="Arial" w:hAnsi="Arial" w:cs="Arial"/>
        </w:rPr>
        <w:t xml:space="preserve"> to statements of a non-testifying declarant. After </w:t>
      </w:r>
      <w:r w:rsidR="00395E39" w:rsidRPr="00D70F9D">
        <w:rPr>
          <w:rFonts w:ascii="Arial" w:hAnsi="Arial" w:cs="Arial"/>
          <w:i/>
          <w:iCs/>
        </w:rPr>
        <w:t>Crawford</w:t>
      </w:r>
      <w:r w:rsidR="00395E39">
        <w:rPr>
          <w:rFonts w:ascii="Arial" w:hAnsi="Arial" w:cs="Arial"/>
        </w:rPr>
        <w:t xml:space="preserve">, the court must determine whether the statement is testimonial </w:t>
      </w:r>
      <w:r w:rsidR="00D70F9D">
        <w:rPr>
          <w:rFonts w:ascii="Arial" w:hAnsi="Arial" w:cs="Arial"/>
        </w:rPr>
        <w:t>and</w:t>
      </w:r>
      <w:r w:rsidR="00395E39">
        <w:rPr>
          <w:rFonts w:ascii="Arial" w:hAnsi="Arial" w:cs="Arial"/>
        </w:rPr>
        <w:t xml:space="preserve"> offered for its truth. If it is, introduction of the statement generally is barred by the confrontation clause (subject to limited exceptions), regardless of whether the statement would otherwise satisfy a hearsay exception. </w:t>
      </w:r>
      <w:r w:rsidR="0095686E">
        <w:rPr>
          <w:rFonts w:ascii="Arial" w:hAnsi="Arial" w:cs="Arial"/>
        </w:rPr>
        <w:t xml:space="preserve">Because satisfying a hearsay exception often also </w:t>
      </w:r>
      <w:r w:rsidR="00395E39">
        <w:rPr>
          <w:rFonts w:ascii="Arial" w:hAnsi="Arial" w:cs="Arial"/>
        </w:rPr>
        <w:t>was deemed to satisfy</w:t>
      </w:r>
      <w:r w:rsidR="0095686E">
        <w:rPr>
          <w:rFonts w:ascii="Arial" w:hAnsi="Arial" w:cs="Arial"/>
        </w:rPr>
        <w:t xml:space="preserve"> the confrontation clause itself prior to </w:t>
      </w:r>
      <w:r w:rsidR="0095686E">
        <w:rPr>
          <w:rFonts w:ascii="Arial" w:hAnsi="Arial" w:cs="Arial"/>
          <w:i/>
          <w:iCs/>
        </w:rPr>
        <w:t>Crawford</w:t>
      </w:r>
      <w:r w:rsidR="0095686E">
        <w:rPr>
          <w:rFonts w:ascii="Arial" w:hAnsi="Arial" w:cs="Arial"/>
        </w:rPr>
        <w:t xml:space="preserve">, </w:t>
      </w:r>
      <w:r w:rsidR="00925709">
        <w:rPr>
          <w:rFonts w:ascii="Arial" w:hAnsi="Arial" w:cs="Arial"/>
        </w:rPr>
        <w:t xml:space="preserve">older </w:t>
      </w:r>
      <w:r w:rsidR="00E90ECF">
        <w:rPr>
          <w:rFonts w:ascii="Arial" w:hAnsi="Arial" w:cs="Arial"/>
        </w:rPr>
        <w:t xml:space="preserve">North Carolina </w:t>
      </w:r>
      <w:r w:rsidR="0095686E">
        <w:rPr>
          <w:rFonts w:ascii="Arial" w:hAnsi="Arial" w:cs="Arial"/>
        </w:rPr>
        <w:t>c</w:t>
      </w:r>
      <w:r w:rsidR="00E90ECF">
        <w:rPr>
          <w:rFonts w:ascii="Arial" w:hAnsi="Arial" w:cs="Arial"/>
        </w:rPr>
        <w:t>ases</w:t>
      </w:r>
      <w:r w:rsidR="0095686E">
        <w:rPr>
          <w:rFonts w:ascii="Arial" w:hAnsi="Arial" w:cs="Arial"/>
        </w:rPr>
        <w:t xml:space="preserve"> sometimes would </w:t>
      </w:r>
      <w:r w:rsidR="00977E16">
        <w:rPr>
          <w:rFonts w:ascii="Arial" w:hAnsi="Arial" w:cs="Arial"/>
        </w:rPr>
        <w:t>broadly state</w:t>
      </w:r>
      <w:r w:rsidR="0095686E">
        <w:rPr>
          <w:rFonts w:ascii="Arial" w:hAnsi="Arial" w:cs="Arial"/>
        </w:rPr>
        <w:t xml:space="preserve"> that </w:t>
      </w:r>
      <w:r w:rsidR="0095686E">
        <w:rPr>
          <w:rFonts w:ascii="Arial" w:hAnsi="Arial" w:cs="Arial"/>
          <w:i/>
          <w:iCs/>
        </w:rPr>
        <w:t>Bruton</w:t>
      </w:r>
      <w:r w:rsidR="0095686E">
        <w:rPr>
          <w:rFonts w:ascii="Arial" w:hAnsi="Arial" w:cs="Arial"/>
        </w:rPr>
        <w:t xml:space="preserve"> did not apply to codefendant statements </w:t>
      </w:r>
      <w:r>
        <w:rPr>
          <w:rFonts w:ascii="Arial" w:hAnsi="Arial" w:cs="Arial"/>
        </w:rPr>
        <w:t>admissible against a defendant through</w:t>
      </w:r>
      <w:r w:rsidR="0095686E">
        <w:rPr>
          <w:rFonts w:ascii="Arial" w:hAnsi="Arial" w:cs="Arial"/>
        </w:rPr>
        <w:t xml:space="preserve"> a hearsay exception under the rules of evidence. </w:t>
      </w:r>
      <w:r>
        <w:rPr>
          <w:rFonts w:ascii="Arial" w:hAnsi="Arial" w:cs="Arial"/>
          <w:i/>
          <w:iCs/>
        </w:rPr>
        <w:t>Compare</w:t>
      </w:r>
      <w:r w:rsidR="0095686E" w:rsidRPr="00C43B52">
        <w:rPr>
          <w:rFonts w:ascii="Arial" w:hAnsi="Arial" w:cs="Arial"/>
          <w:i/>
          <w:iCs/>
        </w:rPr>
        <w:t xml:space="preserve"> </w:t>
      </w:r>
      <w:r>
        <w:rPr>
          <w:rFonts w:ascii="Arial" w:hAnsi="Arial" w:cs="Arial"/>
        </w:rPr>
        <w:t xml:space="preserve">State v. Willis, 332 N.C. 151, 167 (1992) (so framing </w:t>
      </w:r>
      <w:r>
        <w:rPr>
          <w:rFonts w:ascii="Arial" w:hAnsi="Arial" w:cs="Arial"/>
          <w:i/>
          <w:iCs/>
        </w:rPr>
        <w:t>Bruton</w:t>
      </w:r>
      <w:r>
        <w:rPr>
          <w:rFonts w:ascii="Arial" w:hAnsi="Arial" w:cs="Arial"/>
        </w:rPr>
        <w:t xml:space="preserve">), </w:t>
      </w:r>
      <w:r w:rsidR="0095686E" w:rsidRPr="00C43B52">
        <w:rPr>
          <w:rFonts w:ascii="Arial" w:hAnsi="Arial" w:cs="Arial"/>
        </w:rPr>
        <w:t>State v. Porter, 303 N.C. 680, 695-97 (1981)</w:t>
      </w:r>
      <w:r w:rsidR="0095686E">
        <w:rPr>
          <w:rFonts w:ascii="Arial" w:hAnsi="Arial" w:cs="Arial"/>
        </w:rPr>
        <w:t xml:space="preserve"> (</w:t>
      </w:r>
      <w:r>
        <w:rPr>
          <w:rFonts w:ascii="Arial" w:hAnsi="Arial" w:cs="Arial"/>
        </w:rPr>
        <w:t>same</w:t>
      </w:r>
      <w:r w:rsidR="0095686E">
        <w:rPr>
          <w:rFonts w:ascii="Arial" w:hAnsi="Arial" w:cs="Arial"/>
        </w:rPr>
        <w:t>)</w:t>
      </w:r>
      <w:r>
        <w:rPr>
          <w:rFonts w:ascii="Arial" w:hAnsi="Arial" w:cs="Arial"/>
        </w:rPr>
        <w:t xml:space="preserve">, </w:t>
      </w:r>
      <w:r>
        <w:rPr>
          <w:rFonts w:ascii="Arial" w:hAnsi="Arial" w:cs="Arial"/>
          <w:i/>
          <w:iCs/>
        </w:rPr>
        <w:t>and</w:t>
      </w:r>
      <w:r w:rsidR="0095686E">
        <w:rPr>
          <w:rFonts w:ascii="Arial" w:hAnsi="Arial" w:cs="Arial"/>
        </w:rPr>
        <w:t xml:space="preserve"> State v. Hardy, 293 N.C. 105, 118</w:t>
      </w:r>
      <w:r>
        <w:rPr>
          <w:rFonts w:ascii="Arial" w:hAnsi="Arial" w:cs="Arial"/>
        </w:rPr>
        <w:t xml:space="preserve"> (1977)</w:t>
      </w:r>
      <w:r w:rsidR="0095686E">
        <w:rPr>
          <w:rFonts w:ascii="Arial" w:hAnsi="Arial" w:cs="Arial"/>
        </w:rPr>
        <w:t xml:space="preserve"> (same)</w:t>
      </w:r>
      <w:r>
        <w:rPr>
          <w:rFonts w:ascii="Arial" w:hAnsi="Arial" w:cs="Arial"/>
        </w:rPr>
        <w:t xml:space="preserve">, </w:t>
      </w:r>
      <w:r>
        <w:rPr>
          <w:rFonts w:ascii="Arial" w:hAnsi="Arial" w:cs="Arial"/>
          <w:i/>
          <w:iCs/>
        </w:rPr>
        <w:t xml:space="preserve">with </w:t>
      </w:r>
      <w:r>
        <w:rPr>
          <w:rFonts w:ascii="Arial" w:hAnsi="Arial" w:cs="Arial"/>
        </w:rPr>
        <w:t>Lilly v. Virginia, 527 U.S. 116, 128</w:t>
      </w:r>
      <w:r w:rsidR="009C3FC1">
        <w:rPr>
          <w:rFonts w:ascii="Arial" w:hAnsi="Arial" w:cs="Arial"/>
        </w:rPr>
        <w:t>, n.5</w:t>
      </w:r>
      <w:r>
        <w:rPr>
          <w:rFonts w:ascii="Arial" w:hAnsi="Arial" w:cs="Arial"/>
        </w:rPr>
        <w:t xml:space="preserve"> (1999) (</w:t>
      </w:r>
      <w:r w:rsidR="00977E16">
        <w:rPr>
          <w:rFonts w:ascii="Arial" w:hAnsi="Arial" w:cs="Arial"/>
        </w:rPr>
        <w:t xml:space="preserve">plurality </w:t>
      </w:r>
      <w:r w:rsidR="009C3FC1">
        <w:rPr>
          <w:rFonts w:ascii="Arial" w:hAnsi="Arial" w:cs="Arial"/>
        </w:rPr>
        <w:t>hold</w:t>
      </w:r>
      <w:r w:rsidR="00977E16">
        <w:rPr>
          <w:rFonts w:ascii="Arial" w:hAnsi="Arial" w:cs="Arial"/>
        </w:rPr>
        <w:t>s</w:t>
      </w:r>
      <w:r w:rsidR="009C3FC1">
        <w:rPr>
          <w:rFonts w:ascii="Arial" w:hAnsi="Arial" w:cs="Arial"/>
        </w:rPr>
        <w:t xml:space="preserve"> that a codefendant’s </w:t>
      </w:r>
      <w:r w:rsidR="009C3FC1">
        <w:rPr>
          <w:rFonts w:ascii="Arial" w:hAnsi="Arial" w:cs="Arial"/>
        </w:rPr>
        <w:lastRenderedPageBreak/>
        <w:t xml:space="preserve">statement against penal interest that also incriminates the defendant </w:t>
      </w:r>
      <w:r w:rsidR="00E90ECF">
        <w:rPr>
          <w:rFonts w:ascii="Arial" w:hAnsi="Arial" w:cs="Arial"/>
        </w:rPr>
        <w:t>did not fall within</w:t>
      </w:r>
      <w:r w:rsidR="009C3FC1">
        <w:rPr>
          <w:rFonts w:ascii="Arial" w:hAnsi="Arial" w:cs="Arial"/>
        </w:rPr>
        <w:t xml:space="preserve"> a “firmly-rooted” hearsay exception</w:t>
      </w:r>
      <w:r w:rsidR="00E90ECF">
        <w:rPr>
          <w:rFonts w:ascii="Arial" w:hAnsi="Arial" w:cs="Arial"/>
        </w:rPr>
        <w:t xml:space="preserve"> </w:t>
      </w:r>
      <w:r w:rsidR="009C3FC1">
        <w:rPr>
          <w:rFonts w:ascii="Arial" w:hAnsi="Arial" w:cs="Arial"/>
        </w:rPr>
        <w:t>satisf</w:t>
      </w:r>
      <w:r w:rsidR="00E90ECF">
        <w:rPr>
          <w:rFonts w:ascii="Arial" w:hAnsi="Arial" w:cs="Arial"/>
        </w:rPr>
        <w:t>ying</w:t>
      </w:r>
      <w:r w:rsidR="009C3FC1">
        <w:rPr>
          <w:rFonts w:ascii="Arial" w:hAnsi="Arial" w:cs="Arial"/>
        </w:rPr>
        <w:t xml:space="preserve"> the confrontation clause under pre-</w:t>
      </w:r>
      <w:r w:rsidR="009C3FC1">
        <w:rPr>
          <w:rFonts w:ascii="Arial" w:hAnsi="Arial" w:cs="Arial"/>
          <w:i/>
          <w:iCs/>
        </w:rPr>
        <w:t xml:space="preserve">Crawford </w:t>
      </w:r>
      <w:r w:rsidR="009C3FC1">
        <w:rPr>
          <w:rFonts w:ascii="Arial" w:hAnsi="Arial" w:cs="Arial"/>
        </w:rPr>
        <w:t xml:space="preserve">analysis; noting that </w:t>
      </w:r>
      <w:r w:rsidR="009C3FC1">
        <w:rPr>
          <w:rFonts w:ascii="Arial" w:hAnsi="Arial" w:cs="Arial"/>
          <w:i/>
          <w:iCs/>
        </w:rPr>
        <w:t>Bruton</w:t>
      </w:r>
      <w:r w:rsidR="009C3FC1">
        <w:rPr>
          <w:rFonts w:ascii="Arial" w:hAnsi="Arial" w:cs="Arial"/>
        </w:rPr>
        <w:t xml:space="preserve"> was implicitly premised on this principle)</w:t>
      </w:r>
      <w:r w:rsidR="00977E16">
        <w:rPr>
          <w:rFonts w:ascii="Arial" w:hAnsi="Arial" w:cs="Arial"/>
        </w:rPr>
        <w:t xml:space="preserve">, </w:t>
      </w:r>
      <w:r w:rsidR="00977E16">
        <w:rPr>
          <w:rFonts w:ascii="Arial" w:hAnsi="Arial" w:cs="Arial"/>
          <w:i/>
          <w:iCs/>
        </w:rPr>
        <w:t xml:space="preserve">and </w:t>
      </w:r>
      <w:r w:rsidR="00977E16">
        <w:rPr>
          <w:rFonts w:ascii="Arial" w:hAnsi="Arial" w:cs="Arial"/>
        </w:rPr>
        <w:t xml:space="preserve">State v. Kimble, 140 N.C. App. 153, 158 (2000) (applying </w:t>
      </w:r>
      <w:r w:rsidR="00977E16">
        <w:rPr>
          <w:rFonts w:ascii="Arial" w:hAnsi="Arial" w:cs="Arial"/>
          <w:i/>
          <w:iCs/>
        </w:rPr>
        <w:t>Lilly</w:t>
      </w:r>
      <w:r w:rsidR="00977E16">
        <w:rPr>
          <w:rFonts w:ascii="Arial" w:hAnsi="Arial" w:cs="Arial"/>
        </w:rPr>
        <w:t>)</w:t>
      </w:r>
      <w:r w:rsidR="009C3FC1">
        <w:rPr>
          <w:rFonts w:ascii="Arial" w:hAnsi="Arial" w:cs="Arial"/>
        </w:rPr>
        <w:t>.</w:t>
      </w:r>
    </w:p>
    <w:p w14:paraId="01B1A124" w14:textId="1FBCD0BD" w:rsidR="0095686E" w:rsidRPr="00AA6C1A" w:rsidRDefault="0095686E" w:rsidP="00D70F9D">
      <w:pPr>
        <w:pStyle w:val="ListParagraph"/>
        <w:spacing w:after="0" w:line="240" w:lineRule="auto"/>
        <w:ind w:left="1440" w:firstLine="720"/>
        <w:rPr>
          <w:rStyle w:val="Heading2Char"/>
        </w:rPr>
      </w:pPr>
      <w:r>
        <w:rPr>
          <w:rFonts w:ascii="Arial" w:hAnsi="Arial" w:cs="Arial"/>
        </w:rPr>
        <w:t>Post-</w:t>
      </w:r>
      <w:r>
        <w:rPr>
          <w:rFonts w:ascii="Arial" w:hAnsi="Arial" w:cs="Arial"/>
          <w:i/>
          <w:iCs/>
        </w:rPr>
        <w:t>Crawford</w:t>
      </w:r>
      <w:r>
        <w:rPr>
          <w:rFonts w:ascii="Arial" w:hAnsi="Arial" w:cs="Arial"/>
        </w:rPr>
        <w:t xml:space="preserve">, the confrontation clause </w:t>
      </w:r>
      <w:r w:rsidR="00E90ECF">
        <w:rPr>
          <w:rFonts w:ascii="Arial" w:hAnsi="Arial" w:cs="Arial"/>
        </w:rPr>
        <w:t>is a</w:t>
      </w:r>
      <w:r>
        <w:rPr>
          <w:rFonts w:ascii="Arial" w:hAnsi="Arial" w:cs="Arial"/>
        </w:rPr>
        <w:t xml:space="preserve">n independent bar to a </w:t>
      </w:r>
      <w:r w:rsidR="00E90ECF">
        <w:rPr>
          <w:rFonts w:ascii="Arial" w:hAnsi="Arial" w:cs="Arial"/>
        </w:rPr>
        <w:t xml:space="preserve">non-testifying codefendant’s </w:t>
      </w:r>
      <w:r>
        <w:rPr>
          <w:rFonts w:ascii="Arial" w:hAnsi="Arial" w:cs="Arial"/>
        </w:rPr>
        <w:t xml:space="preserve">testimonial statement offered for its truth, regardless of whether the statement satisfies a hearsay exception. </w:t>
      </w:r>
      <w:r>
        <w:rPr>
          <w:rFonts w:ascii="Arial" w:hAnsi="Arial" w:cs="Arial"/>
          <w:i/>
          <w:iCs/>
        </w:rPr>
        <w:t>See Crawford</w:t>
      </w:r>
      <w:r>
        <w:rPr>
          <w:rFonts w:ascii="Arial" w:hAnsi="Arial" w:cs="Arial"/>
        </w:rPr>
        <w:t>, 541 U.S. at 61 (“[W]</w:t>
      </w:r>
      <w:r w:rsidRPr="0095686E">
        <w:rPr>
          <w:rFonts w:ascii="Arial" w:hAnsi="Arial" w:cs="Arial"/>
        </w:rPr>
        <w:t>e do not think the Framers meant to leave the Sixth Amendment's protection to the vagaries of the rules of evidence</w:t>
      </w:r>
      <w:proofErr w:type="gramStart"/>
      <w:r>
        <w:rPr>
          <w:rFonts w:ascii="Arial" w:hAnsi="Arial" w:cs="Arial"/>
        </w:rPr>
        <w:t>. . . .</w:t>
      </w:r>
      <w:proofErr w:type="gramEnd"/>
      <w:r>
        <w:rPr>
          <w:rFonts w:ascii="Arial" w:hAnsi="Arial" w:cs="Arial"/>
        </w:rPr>
        <w:t>”).</w:t>
      </w:r>
      <w:r w:rsidR="00613279">
        <w:rPr>
          <w:rFonts w:ascii="Arial" w:hAnsi="Arial" w:cs="Arial"/>
        </w:rPr>
        <w:t xml:space="preserve"> </w:t>
      </w:r>
      <w:r w:rsidR="00AA6C1A">
        <w:rPr>
          <w:rStyle w:val="Heading2Char"/>
          <w:b w:val="0"/>
          <w:bCs w:val="0"/>
        </w:rPr>
        <w:t>Thus,</w:t>
      </w:r>
      <w:r w:rsidRPr="0095686E">
        <w:rPr>
          <w:rStyle w:val="Heading2Char"/>
          <w:b w:val="0"/>
          <w:bCs w:val="0"/>
        </w:rPr>
        <w:t xml:space="preserve"> it no longer is accurate</w:t>
      </w:r>
      <w:r>
        <w:rPr>
          <w:rStyle w:val="Heading2Char"/>
          <w:b w:val="0"/>
          <w:bCs w:val="0"/>
        </w:rPr>
        <w:t xml:space="preserve"> </w:t>
      </w:r>
      <w:r w:rsidRPr="0095686E">
        <w:rPr>
          <w:rStyle w:val="Heading2Char"/>
          <w:b w:val="0"/>
          <w:bCs w:val="0"/>
        </w:rPr>
        <w:t>to</w:t>
      </w:r>
      <w:r>
        <w:rPr>
          <w:rStyle w:val="Heading2Char"/>
          <w:b w:val="0"/>
          <w:bCs w:val="0"/>
        </w:rPr>
        <w:t xml:space="preserve"> say that</w:t>
      </w:r>
      <w:r w:rsidRPr="0095686E">
        <w:rPr>
          <w:rStyle w:val="Heading2Char"/>
          <w:b w:val="0"/>
          <w:bCs w:val="0"/>
        </w:rPr>
        <w:t xml:space="preserve"> </w:t>
      </w:r>
      <w:r w:rsidRPr="0095686E">
        <w:rPr>
          <w:rStyle w:val="Heading2Char"/>
          <w:b w:val="0"/>
          <w:bCs w:val="0"/>
          <w:i/>
          <w:iCs/>
        </w:rPr>
        <w:t>Bruton</w:t>
      </w:r>
      <w:r w:rsidRPr="0095686E">
        <w:rPr>
          <w:rStyle w:val="Heading2Char"/>
          <w:b w:val="0"/>
          <w:bCs w:val="0"/>
        </w:rPr>
        <w:t xml:space="preserve"> </w:t>
      </w:r>
      <w:r>
        <w:rPr>
          <w:rStyle w:val="Heading2Char"/>
          <w:b w:val="0"/>
          <w:bCs w:val="0"/>
        </w:rPr>
        <w:t xml:space="preserve">does not apply if a </w:t>
      </w:r>
      <w:r w:rsidRPr="0095686E">
        <w:rPr>
          <w:rStyle w:val="Heading2Char"/>
          <w:b w:val="0"/>
          <w:bCs w:val="0"/>
        </w:rPr>
        <w:t>statement fall</w:t>
      </w:r>
      <w:r>
        <w:rPr>
          <w:rStyle w:val="Heading2Char"/>
          <w:b w:val="0"/>
          <w:bCs w:val="0"/>
        </w:rPr>
        <w:t>s</w:t>
      </w:r>
      <w:r w:rsidRPr="0095686E">
        <w:rPr>
          <w:rStyle w:val="Heading2Char"/>
          <w:b w:val="0"/>
          <w:bCs w:val="0"/>
        </w:rPr>
        <w:t xml:space="preserve"> within </w:t>
      </w:r>
      <w:r>
        <w:rPr>
          <w:rStyle w:val="Heading2Char"/>
          <w:b w:val="0"/>
          <w:bCs w:val="0"/>
        </w:rPr>
        <w:t xml:space="preserve">a </w:t>
      </w:r>
      <w:r w:rsidRPr="0095686E">
        <w:rPr>
          <w:rStyle w:val="Heading2Char"/>
          <w:b w:val="0"/>
          <w:bCs w:val="0"/>
        </w:rPr>
        <w:t xml:space="preserve">hearsay </w:t>
      </w:r>
      <w:r>
        <w:rPr>
          <w:rStyle w:val="Heading2Char"/>
          <w:b w:val="0"/>
          <w:bCs w:val="0"/>
        </w:rPr>
        <w:t>exception</w:t>
      </w:r>
      <w:r w:rsidR="00AA6C1A">
        <w:rPr>
          <w:rStyle w:val="Heading2Char"/>
          <w:b w:val="0"/>
          <w:bCs w:val="0"/>
        </w:rPr>
        <w:t>.</w:t>
      </w:r>
      <w:r>
        <w:rPr>
          <w:rStyle w:val="Heading2Char"/>
          <w:b w:val="0"/>
          <w:bCs w:val="0"/>
        </w:rPr>
        <w:t xml:space="preserve"> </w:t>
      </w:r>
      <w:r w:rsidR="00AA6C1A">
        <w:rPr>
          <w:rStyle w:val="Heading2Char"/>
          <w:b w:val="0"/>
          <w:bCs w:val="0"/>
        </w:rPr>
        <w:t xml:space="preserve">However, </w:t>
      </w:r>
      <w:r>
        <w:rPr>
          <w:rStyle w:val="Heading2Char"/>
          <w:b w:val="0"/>
          <w:bCs w:val="0"/>
        </w:rPr>
        <w:t xml:space="preserve">as a practical matter many hearsay exceptions involve statements likely to be deemed non-testimonial regardless of hearsay rules. </w:t>
      </w:r>
      <w:r>
        <w:rPr>
          <w:rStyle w:val="Heading2Char"/>
          <w:b w:val="0"/>
          <w:bCs w:val="0"/>
          <w:i/>
          <w:iCs/>
        </w:rPr>
        <w:t xml:space="preserve">Cf. </w:t>
      </w:r>
      <w:r w:rsidR="00AA6C1A">
        <w:rPr>
          <w:rStyle w:val="Heading2Char"/>
          <w:b w:val="0"/>
          <w:bCs w:val="0"/>
          <w:i/>
          <w:iCs/>
        </w:rPr>
        <w:t>Willis</w:t>
      </w:r>
      <w:r w:rsidR="00AA6C1A">
        <w:rPr>
          <w:rStyle w:val="Heading2Char"/>
          <w:b w:val="0"/>
          <w:bCs w:val="0"/>
        </w:rPr>
        <w:t>, 332 N.C. at 168 (codefendant made statement in furtherance of conspiracy);</w:t>
      </w:r>
      <w:r w:rsidR="00AA6C1A">
        <w:rPr>
          <w:rStyle w:val="Heading2Char"/>
          <w:b w:val="0"/>
          <w:bCs w:val="0"/>
          <w:i/>
          <w:iCs/>
        </w:rPr>
        <w:t xml:space="preserve"> </w:t>
      </w:r>
      <w:r>
        <w:rPr>
          <w:rStyle w:val="Heading2Char"/>
          <w:b w:val="0"/>
          <w:bCs w:val="0"/>
          <w:i/>
          <w:iCs/>
        </w:rPr>
        <w:t>Porter</w:t>
      </w:r>
      <w:r>
        <w:rPr>
          <w:rStyle w:val="Heading2Char"/>
          <w:b w:val="0"/>
          <w:bCs w:val="0"/>
        </w:rPr>
        <w:t xml:space="preserve">, 303 N.C. at 696 (codefendant made excited utterance in response to overhearing police radio communication immediately after arrest); </w:t>
      </w:r>
      <w:r>
        <w:rPr>
          <w:rStyle w:val="Heading2Char"/>
          <w:b w:val="0"/>
          <w:bCs w:val="0"/>
          <w:i/>
          <w:iCs/>
        </w:rPr>
        <w:t>Hardy</w:t>
      </w:r>
      <w:r>
        <w:rPr>
          <w:rStyle w:val="Heading2Char"/>
          <w:b w:val="0"/>
          <w:bCs w:val="0"/>
        </w:rPr>
        <w:t xml:space="preserve">, 293 N.C.at 117 (jail house informant </w:t>
      </w:r>
      <w:r w:rsidR="00371AC9">
        <w:rPr>
          <w:rStyle w:val="Heading2Char"/>
          <w:b w:val="0"/>
          <w:bCs w:val="0"/>
        </w:rPr>
        <w:t>recoun</w:t>
      </w:r>
      <w:r w:rsidR="00D70F9D">
        <w:rPr>
          <w:rStyle w:val="Heading2Char"/>
          <w:b w:val="0"/>
          <w:bCs w:val="0"/>
        </w:rPr>
        <w:t>ted</w:t>
      </w:r>
      <w:r>
        <w:rPr>
          <w:rStyle w:val="Heading2Char"/>
          <w:b w:val="0"/>
          <w:bCs w:val="0"/>
        </w:rPr>
        <w:t xml:space="preserve"> codefendant</w:t>
      </w:r>
      <w:r w:rsidR="00D70F9D">
        <w:rPr>
          <w:rStyle w:val="Heading2Char"/>
          <w:b w:val="0"/>
          <w:bCs w:val="0"/>
        </w:rPr>
        <w:t xml:space="preserve"> statements</w:t>
      </w:r>
      <w:r>
        <w:rPr>
          <w:rStyle w:val="Heading2Char"/>
          <w:b w:val="0"/>
          <w:bCs w:val="0"/>
        </w:rPr>
        <w:t xml:space="preserve"> </w:t>
      </w:r>
      <w:r w:rsidR="00D70F9D">
        <w:rPr>
          <w:rStyle w:val="Heading2Char"/>
          <w:b w:val="0"/>
          <w:bCs w:val="0"/>
        </w:rPr>
        <w:t xml:space="preserve">falling within the </w:t>
      </w:r>
      <w:r w:rsidR="00D70F9D">
        <w:rPr>
          <w:rStyle w:val="Heading2Char"/>
          <w:b w:val="0"/>
          <w:bCs w:val="0"/>
        </w:rPr>
        <w:t xml:space="preserve">adopted admission hearsay exception </w:t>
      </w:r>
      <w:r w:rsidR="00D70F9D">
        <w:rPr>
          <w:rStyle w:val="Heading2Char"/>
          <w:b w:val="0"/>
          <w:bCs w:val="0"/>
        </w:rPr>
        <w:t xml:space="preserve">that the informant </w:t>
      </w:r>
      <w:r>
        <w:rPr>
          <w:rStyle w:val="Heading2Char"/>
          <w:b w:val="0"/>
          <w:bCs w:val="0"/>
        </w:rPr>
        <w:t>overheard while sharing a cell).</w:t>
      </w:r>
    </w:p>
    <w:p w14:paraId="76473F25" w14:textId="77777777" w:rsidR="005A38D0" w:rsidRPr="00C43B52" w:rsidRDefault="005A38D0" w:rsidP="00EF791F">
      <w:pPr>
        <w:pStyle w:val="ListParagraph"/>
        <w:spacing w:after="0" w:line="240" w:lineRule="auto"/>
        <w:ind w:left="1440" w:hanging="720"/>
        <w:rPr>
          <w:rFonts w:ascii="Arial" w:hAnsi="Arial" w:cs="Arial"/>
        </w:rPr>
      </w:pPr>
    </w:p>
    <w:p w14:paraId="264E6641" w14:textId="77777777" w:rsidR="005A38D0" w:rsidRPr="00C43B52" w:rsidRDefault="005A38D0" w:rsidP="00EF791F">
      <w:pPr>
        <w:pStyle w:val="ListParagraph"/>
        <w:numPr>
          <w:ilvl w:val="0"/>
          <w:numId w:val="2"/>
        </w:numPr>
        <w:spacing w:after="0" w:line="240" w:lineRule="auto"/>
        <w:ind w:left="1440" w:hanging="720"/>
        <w:rPr>
          <w:rFonts w:ascii="Arial" w:hAnsi="Arial" w:cs="Arial"/>
        </w:rPr>
      </w:pPr>
      <w:bookmarkStart w:id="9" w:name="_Toc197096007"/>
      <w:r w:rsidRPr="00C279D7">
        <w:rPr>
          <w:rStyle w:val="Heading2Char"/>
        </w:rPr>
        <w:t>Declarant Takes the Stand</w:t>
      </w:r>
      <w:bookmarkEnd w:id="9"/>
      <w:r w:rsidRPr="00C43B52">
        <w:rPr>
          <w:rFonts w:ascii="Arial" w:hAnsi="Arial" w:cs="Arial"/>
          <w:b/>
          <w:bCs/>
        </w:rPr>
        <w:t>.</w:t>
      </w:r>
      <w:r w:rsidRPr="00C43B52">
        <w:rPr>
          <w:rFonts w:ascii="Arial" w:hAnsi="Arial" w:cs="Arial"/>
        </w:rPr>
        <w:t xml:space="preserve"> If the declarant takes the stand and is cross-examined, a defendant has been afforded his or her right to confrontation and the </w:t>
      </w:r>
      <w:r w:rsidRPr="00C43B52">
        <w:rPr>
          <w:rFonts w:ascii="Arial" w:hAnsi="Arial" w:cs="Arial"/>
          <w:i/>
          <w:iCs/>
        </w:rPr>
        <w:t>Bruton</w:t>
      </w:r>
      <w:r w:rsidRPr="00C43B52">
        <w:rPr>
          <w:rFonts w:ascii="Arial" w:hAnsi="Arial" w:cs="Arial"/>
        </w:rPr>
        <w:t xml:space="preserve"> rule does not apply. </w:t>
      </w:r>
      <w:r w:rsidRPr="00C43B52">
        <w:rPr>
          <w:rFonts w:ascii="Arial" w:hAnsi="Arial" w:cs="Arial"/>
          <w:i/>
          <w:iCs/>
        </w:rPr>
        <w:t>See, e.g.</w:t>
      </w:r>
      <w:r w:rsidRPr="00C43B52">
        <w:rPr>
          <w:rFonts w:ascii="Arial" w:hAnsi="Arial" w:cs="Arial"/>
        </w:rPr>
        <w:t>, State v. Evans, 346 N.C. 221, 232 (1997); State v. Workman, 344 N.C. 482, 496 (1996).</w:t>
      </w:r>
    </w:p>
    <w:p w14:paraId="28B5902D" w14:textId="77777777" w:rsidR="005A38D0" w:rsidRDefault="005A38D0" w:rsidP="00E14468">
      <w:pPr>
        <w:pStyle w:val="ListParagraph"/>
        <w:spacing w:after="0" w:line="240" w:lineRule="auto"/>
        <w:ind w:left="0"/>
        <w:rPr>
          <w:rFonts w:ascii="Arial" w:hAnsi="Arial" w:cs="Arial"/>
        </w:rPr>
      </w:pPr>
    </w:p>
    <w:p w14:paraId="649B5A5B" w14:textId="6B7D6D54" w:rsidR="00481F47" w:rsidRPr="00481F47" w:rsidRDefault="00481F47" w:rsidP="006F082B">
      <w:pPr>
        <w:pStyle w:val="Heading1"/>
        <w:rPr>
          <w:vanish/>
          <w:specVanish/>
        </w:rPr>
      </w:pPr>
      <w:bookmarkStart w:id="10" w:name="_Toc197096008"/>
      <w:r>
        <w:t>Defendant’s Objection to Joinder</w:t>
      </w:r>
      <w:r>
        <w:t>.</w:t>
      </w:r>
      <w:bookmarkEnd w:id="10"/>
    </w:p>
    <w:p w14:paraId="35E96712" w14:textId="1D4EBB2D" w:rsidR="00481F47" w:rsidRDefault="00481F47" w:rsidP="00481F47">
      <w:pPr>
        <w:spacing w:after="0" w:line="240" w:lineRule="auto"/>
        <w:ind w:left="720"/>
        <w:rPr>
          <w:rFonts w:ascii="Arial" w:hAnsi="Arial" w:cs="Arial"/>
        </w:rPr>
      </w:pPr>
      <w:r>
        <w:t xml:space="preserve"> </w:t>
      </w:r>
      <w:r>
        <w:rPr>
          <w:rFonts w:ascii="Arial" w:hAnsi="Arial" w:cs="Arial"/>
        </w:rPr>
        <w:t xml:space="preserve">G.S. 15A-927(c)(1) codifies </w:t>
      </w:r>
      <w:r>
        <w:rPr>
          <w:rFonts w:ascii="Arial" w:hAnsi="Arial" w:cs="Arial"/>
          <w:i/>
          <w:iCs/>
        </w:rPr>
        <w:t>Bruton</w:t>
      </w:r>
      <w:r>
        <w:rPr>
          <w:rFonts w:ascii="Arial" w:hAnsi="Arial" w:cs="Arial"/>
        </w:rPr>
        <w:t xml:space="preserve"> principles</w:t>
      </w:r>
      <w:r w:rsidR="00B951F7">
        <w:rPr>
          <w:rFonts w:ascii="Arial" w:hAnsi="Arial" w:cs="Arial"/>
        </w:rPr>
        <w:t xml:space="preserve"> by requiring that trials of codefendants be severed in certain circumstances.</w:t>
      </w:r>
      <w:r w:rsidR="00EF7D4D">
        <w:rPr>
          <w:rFonts w:ascii="Arial" w:hAnsi="Arial" w:cs="Arial"/>
          <w:bCs/>
        </w:rPr>
        <w:t xml:space="preserve"> State v. Johnston, 39 N.C. App. 179, 182</w:t>
      </w:r>
      <w:r w:rsidR="00E90ECF">
        <w:rPr>
          <w:rFonts w:ascii="Arial" w:hAnsi="Arial" w:cs="Arial"/>
          <w:bCs/>
        </w:rPr>
        <w:t xml:space="preserve"> (1978)</w:t>
      </w:r>
      <w:r w:rsidR="00EF7D4D">
        <w:rPr>
          <w:rFonts w:ascii="Arial" w:hAnsi="Arial" w:cs="Arial"/>
          <w:bCs/>
        </w:rPr>
        <w:t xml:space="preserve"> (G.S. 15A-927(c)(1) codifies </w:t>
      </w:r>
      <w:r w:rsidR="00EF7D4D">
        <w:rPr>
          <w:rFonts w:ascii="Arial" w:hAnsi="Arial" w:cs="Arial"/>
          <w:bCs/>
          <w:i/>
          <w:iCs/>
        </w:rPr>
        <w:t>Bruton</w:t>
      </w:r>
      <w:r w:rsidR="00EF7D4D">
        <w:rPr>
          <w:rFonts w:ascii="Arial" w:hAnsi="Arial" w:cs="Arial"/>
          <w:bCs/>
        </w:rPr>
        <w:t>).</w:t>
      </w:r>
      <w:r>
        <w:rPr>
          <w:rFonts w:ascii="Arial" w:hAnsi="Arial" w:cs="Arial"/>
          <w:bCs/>
        </w:rPr>
        <w:t xml:space="preserve"> If a defendant </w:t>
      </w:r>
      <w:r w:rsidR="00B951F7">
        <w:rPr>
          <w:rFonts w:ascii="Arial" w:hAnsi="Arial" w:cs="Arial"/>
        </w:rPr>
        <w:t xml:space="preserve">objects to a joint trial </w:t>
      </w:r>
      <w:r w:rsidR="00B951F7">
        <w:rPr>
          <w:rFonts w:ascii="Arial" w:hAnsi="Arial" w:cs="Arial"/>
          <w:bCs/>
        </w:rPr>
        <w:t xml:space="preserve">because an out-of-court statement of a codefendant </w:t>
      </w:r>
      <w:proofErr w:type="gramStart"/>
      <w:r w:rsidR="00B951F7">
        <w:rPr>
          <w:rFonts w:ascii="Arial" w:hAnsi="Arial" w:cs="Arial"/>
          <w:bCs/>
        </w:rPr>
        <w:t>makes reference</w:t>
      </w:r>
      <w:proofErr w:type="gramEnd"/>
      <w:r w:rsidR="00B951F7">
        <w:rPr>
          <w:rFonts w:ascii="Arial" w:hAnsi="Arial" w:cs="Arial"/>
          <w:bCs/>
        </w:rPr>
        <w:t xml:space="preserve"> to the defendant but is not admissible against him</w:t>
      </w:r>
      <w:r>
        <w:rPr>
          <w:rFonts w:ascii="Arial" w:hAnsi="Arial" w:cs="Arial"/>
          <w:bCs/>
        </w:rPr>
        <w:t>, the</w:t>
      </w:r>
      <w:r w:rsidR="00C84C5D">
        <w:rPr>
          <w:rFonts w:ascii="Arial" w:hAnsi="Arial" w:cs="Arial"/>
          <w:bCs/>
        </w:rPr>
        <w:t xml:space="preserve"> </w:t>
      </w:r>
      <w:r w:rsidRPr="00AA077E">
        <w:rPr>
          <w:rFonts w:ascii="Arial" w:hAnsi="Arial" w:cs="Arial"/>
        </w:rPr>
        <w:t>trial court must require the prosecutor to select one of the following courses</w:t>
      </w:r>
      <w:r w:rsidR="00B951F7">
        <w:rPr>
          <w:rFonts w:ascii="Arial" w:hAnsi="Arial" w:cs="Arial"/>
        </w:rPr>
        <w:t xml:space="preserve"> of action</w:t>
      </w:r>
      <w:r w:rsidRPr="00AA077E">
        <w:rPr>
          <w:rFonts w:ascii="Arial" w:hAnsi="Arial" w:cs="Arial"/>
        </w:rPr>
        <w:t xml:space="preserve">: </w:t>
      </w:r>
    </w:p>
    <w:p w14:paraId="5623DB94" w14:textId="77777777" w:rsidR="00481F47" w:rsidRDefault="00481F47" w:rsidP="00481F47">
      <w:pPr>
        <w:spacing w:after="0"/>
        <w:ind w:left="2160" w:firstLine="720"/>
        <w:rPr>
          <w:rFonts w:ascii="Arial" w:hAnsi="Arial" w:cs="Arial"/>
        </w:rPr>
      </w:pPr>
    </w:p>
    <w:p w14:paraId="38ABA5E4" w14:textId="77777777" w:rsidR="00481F47" w:rsidRPr="00455FD9" w:rsidRDefault="00481F47" w:rsidP="00481F47">
      <w:pPr>
        <w:pStyle w:val="ListParagraph"/>
        <w:numPr>
          <w:ilvl w:val="0"/>
          <w:numId w:val="8"/>
        </w:numPr>
        <w:spacing w:after="0" w:line="240" w:lineRule="auto"/>
        <w:contextualSpacing/>
        <w:rPr>
          <w:rFonts w:ascii="Arial" w:hAnsi="Arial" w:cs="Arial"/>
        </w:rPr>
      </w:pPr>
      <w:r w:rsidRPr="00455FD9">
        <w:rPr>
          <w:rFonts w:ascii="Arial" w:hAnsi="Arial" w:cs="Arial"/>
        </w:rPr>
        <w:t xml:space="preserve">a joint trial at which the statement is not admitted into </w:t>
      </w:r>
      <w:proofErr w:type="gramStart"/>
      <w:r w:rsidRPr="00455FD9">
        <w:rPr>
          <w:rFonts w:ascii="Arial" w:hAnsi="Arial" w:cs="Arial"/>
        </w:rPr>
        <w:t>evidence;</w:t>
      </w:r>
      <w:proofErr w:type="gramEnd"/>
      <w:r w:rsidRPr="00455FD9">
        <w:rPr>
          <w:rFonts w:ascii="Arial" w:hAnsi="Arial" w:cs="Arial"/>
        </w:rPr>
        <w:t xml:space="preserve"> </w:t>
      </w:r>
    </w:p>
    <w:p w14:paraId="2C07EF99" w14:textId="77777777" w:rsidR="00481F47" w:rsidRPr="00455FD9" w:rsidRDefault="00481F47" w:rsidP="00481F47">
      <w:pPr>
        <w:pStyle w:val="ListParagraph"/>
        <w:numPr>
          <w:ilvl w:val="0"/>
          <w:numId w:val="8"/>
        </w:numPr>
        <w:spacing w:after="0" w:line="240" w:lineRule="auto"/>
        <w:contextualSpacing/>
        <w:rPr>
          <w:rFonts w:ascii="Arial" w:hAnsi="Arial" w:cs="Arial"/>
        </w:rPr>
      </w:pPr>
      <w:r w:rsidRPr="00455FD9">
        <w:rPr>
          <w:rFonts w:ascii="Arial" w:hAnsi="Arial" w:cs="Arial"/>
        </w:rPr>
        <w:t xml:space="preserve">a joint trial at which the statement is admitted into evidence only after all references to the defendant have been effectively deleted so that the statement will not prejudice the defendant; or </w:t>
      </w:r>
    </w:p>
    <w:p w14:paraId="477F9D45" w14:textId="77777777" w:rsidR="00481F47" w:rsidRDefault="00481F47" w:rsidP="00481F47">
      <w:pPr>
        <w:pStyle w:val="ListParagraph"/>
        <w:numPr>
          <w:ilvl w:val="0"/>
          <w:numId w:val="8"/>
        </w:numPr>
        <w:spacing w:after="0" w:line="240" w:lineRule="auto"/>
        <w:contextualSpacing/>
        <w:rPr>
          <w:rFonts w:ascii="Arial" w:hAnsi="Arial" w:cs="Arial"/>
        </w:rPr>
      </w:pPr>
      <w:r w:rsidRPr="00455FD9">
        <w:rPr>
          <w:rFonts w:ascii="Arial" w:hAnsi="Arial" w:cs="Arial"/>
        </w:rPr>
        <w:t xml:space="preserve">a separate trial of the objecting defendant. </w:t>
      </w:r>
    </w:p>
    <w:p w14:paraId="05C12DFF" w14:textId="77777777" w:rsidR="00481F47" w:rsidRDefault="00481F47" w:rsidP="00481F47">
      <w:pPr>
        <w:spacing w:after="0"/>
        <w:rPr>
          <w:rFonts w:ascii="Arial" w:hAnsi="Arial" w:cs="Arial"/>
        </w:rPr>
      </w:pPr>
    </w:p>
    <w:p w14:paraId="523FDA9C" w14:textId="1CEF7F59" w:rsidR="0026508D" w:rsidRPr="00D70F9D" w:rsidRDefault="00481F47" w:rsidP="0026508D">
      <w:pPr>
        <w:pStyle w:val="ListParagraph"/>
        <w:spacing w:after="0" w:line="240" w:lineRule="auto"/>
        <w:rPr>
          <w:rFonts w:ascii="Arial" w:hAnsi="Arial" w:cs="Arial"/>
        </w:rPr>
      </w:pPr>
      <w:r w:rsidRPr="00455FD9">
        <w:rPr>
          <w:rFonts w:ascii="Arial" w:hAnsi="Arial" w:cs="Arial"/>
        </w:rPr>
        <w:t>G.S. 15A-927(c)(</w:t>
      </w:r>
      <w:proofErr w:type="gramStart"/>
      <w:r w:rsidRPr="00455FD9">
        <w:rPr>
          <w:rFonts w:ascii="Arial" w:hAnsi="Arial" w:cs="Arial"/>
        </w:rPr>
        <w:t>1)a.</w:t>
      </w:r>
      <w:proofErr w:type="gramEnd"/>
      <w:r w:rsidRPr="00455FD9">
        <w:rPr>
          <w:rFonts w:ascii="Arial" w:hAnsi="Arial" w:cs="Arial"/>
        </w:rPr>
        <w:t>-c.</w:t>
      </w:r>
      <w:r>
        <w:rPr>
          <w:rFonts w:ascii="Arial" w:hAnsi="Arial" w:cs="Arial"/>
        </w:rPr>
        <w:t xml:space="preserve"> </w:t>
      </w:r>
    </w:p>
    <w:p w14:paraId="6678E373" w14:textId="19F6BEFC" w:rsidR="0026508D" w:rsidRPr="00D70F9D" w:rsidRDefault="0026508D" w:rsidP="00D70F9D">
      <w:pPr>
        <w:pStyle w:val="ListParagraph"/>
        <w:spacing w:after="0" w:line="240" w:lineRule="auto"/>
        <w:ind w:firstLine="720"/>
        <w:rPr>
          <w:rFonts w:ascii="Arial" w:hAnsi="Arial" w:cs="Arial"/>
        </w:rPr>
      </w:pPr>
      <w:r>
        <w:rPr>
          <w:rFonts w:ascii="Arial" w:hAnsi="Arial" w:cs="Arial"/>
        </w:rPr>
        <w:t>G.S. 15A-927(c)(3) authorizes a trial court to order the State to disclose, outside the presence of jurors, any statements made by the defendants which the State intends to introduce at trial when that information would assist the court in ruling on an objection to joinder or severance of defendants.</w:t>
      </w:r>
    </w:p>
    <w:p w14:paraId="328CC566" w14:textId="282CBECB" w:rsidR="00BF4177" w:rsidRDefault="00481F47" w:rsidP="00D70F9D">
      <w:pPr>
        <w:pStyle w:val="ListParagraph"/>
        <w:spacing w:after="0" w:line="240" w:lineRule="auto"/>
        <w:ind w:firstLine="720"/>
        <w:rPr>
          <w:rFonts w:ascii="Arial" w:hAnsi="Arial" w:cs="Arial"/>
        </w:rPr>
      </w:pPr>
      <w:r>
        <w:rPr>
          <w:rFonts w:ascii="Arial" w:hAnsi="Arial" w:cs="Arial"/>
        </w:rPr>
        <w:t xml:space="preserve">Because </w:t>
      </w:r>
      <w:r w:rsidR="0026508D">
        <w:rPr>
          <w:rFonts w:ascii="Arial" w:hAnsi="Arial" w:cs="Arial"/>
        </w:rPr>
        <w:t xml:space="preserve">G.S. </w:t>
      </w:r>
      <w:r w:rsidR="0026508D" w:rsidRPr="00455FD9">
        <w:rPr>
          <w:rFonts w:ascii="Arial" w:hAnsi="Arial" w:cs="Arial"/>
        </w:rPr>
        <w:t>15A-927(c)(1)</w:t>
      </w:r>
      <w:r w:rsidR="0026508D">
        <w:rPr>
          <w:rFonts w:ascii="Arial" w:hAnsi="Arial" w:cs="Arial"/>
        </w:rPr>
        <w:t xml:space="preserve"> </w:t>
      </w:r>
      <w:r>
        <w:rPr>
          <w:rFonts w:ascii="Arial" w:hAnsi="Arial" w:cs="Arial"/>
        </w:rPr>
        <w:t xml:space="preserve">applies to any codefendant statement that “makes reference” to the defendant, </w:t>
      </w:r>
      <w:r w:rsidR="00A875CF">
        <w:rPr>
          <w:rFonts w:ascii="Arial" w:hAnsi="Arial" w:cs="Arial"/>
        </w:rPr>
        <w:t>it</w:t>
      </w:r>
      <w:r>
        <w:rPr>
          <w:rFonts w:ascii="Arial" w:hAnsi="Arial" w:cs="Arial"/>
        </w:rPr>
        <w:t xml:space="preserve"> covers a broader range of statements than the </w:t>
      </w:r>
      <w:r w:rsidRPr="00481F47">
        <w:rPr>
          <w:rFonts w:ascii="Arial" w:hAnsi="Arial" w:cs="Arial"/>
          <w:i/>
          <w:iCs/>
        </w:rPr>
        <w:t>Bruton</w:t>
      </w:r>
      <w:r>
        <w:rPr>
          <w:rFonts w:ascii="Arial" w:hAnsi="Arial" w:cs="Arial"/>
        </w:rPr>
        <w:t xml:space="preserve"> rule.</w:t>
      </w:r>
      <w:r w:rsidR="00252E99" w:rsidRPr="00DA33A1">
        <w:rPr>
          <w:rFonts w:ascii="Arial" w:hAnsi="Arial" w:cs="Arial"/>
          <w:i/>
          <w:iCs/>
        </w:rPr>
        <w:t xml:space="preserve"> </w:t>
      </w:r>
      <w:r w:rsidR="00A875CF">
        <w:rPr>
          <w:rFonts w:ascii="Arial" w:hAnsi="Arial" w:cs="Arial"/>
        </w:rPr>
        <w:t>T</w:t>
      </w:r>
      <w:r w:rsidR="00252E99" w:rsidRPr="00DA33A1">
        <w:rPr>
          <w:rFonts w:ascii="Arial" w:hAnsi="Arial" w:cs="Arial"/>
        </w:rPr>
        <w:t xml:space="preserve">he North Carolina appellate courts have not </w:t>
      </w:r>
      <w:r w:rsidR="00A875CF">
        <w:rPr>
          <w:rFonts w:ascii="Arial" w:hAnsi="Arial" w:cs="Arial"/>
        </w:rPr>
        <w:t>addressed</w:t>
      </w:r>
      <w:r w:rsidR="00252E99" w:rsidRPr="00DA33A1">
        <w:rPr>
          <w:rFonts w:ascii="Arial" w:hAnsi="Arial" w:cs="Arial"/>
        </w:rPr>
        <w:t xml:space="preserve"> whether the statutory requirement that all references to a non-testifying defendant be “effectively deleted” imposes a higher standard for redaction than</w:t>
      </w:r>
      <w:r w:rsidR="0030550A">
        <w:rPr>
          <w:rFonts w:ascii="Arial" w:hAnsi="Arial" w:cs="Arial"/>
        </w:rPr>
        <w:t xml:space="preserve"> the constitutional</w:t>
      </w:r>
      <w:r w:rsidR="00252E99" w:rsidRPr="00DA33A1">
        <w:rPr>
          <w:rFonts w:ascii="Arial" w:hAnsi="Arial" w:cs="Arial"/>
        </w:rPr>
        <w:t xml:space="preserve"> </w:t>
      </w:r>
      <w:r w:rsidR="00252E99" w:rsidRPr="00DA33A1">
        <w:rPr>
          <w:rFonts w:ascii="Arial" w:hAnsi="Arial" w:cs="Arial"/>
          <w:i/>
          <w:iCs/>
        </w:rPr>
        <w:t>Bruton</w:t>
      </w:r>
      <w:r w:rsidR="00252E99" w:rsidRPr="00DA33A1">
        <w:rPr>
          <w:rFonts w:ascii="Arial" w:hAnsi="Arial" w:cs="Arial"/>
        </w:rPr>
        <w:t xml:space="preserve"> rule</w:t>
      </w:r>
      <w:r w:rsidR="00A875CF">
        <w:rPr>
          <w:rFonts w:ascii="Arial" w:hAnsi="Arial" w:cs="Arial"/>
        </w:rPr>
        <w:t xml:space="preserve"> as interpreted in </w:t>
      </w:r>
      <w:r w:rsidR="00A875CF">
        <w:rPr>
          <w:rFonts w:ascii="Arial" w:hAnsi="Arial" w:cs="Arial"/>
          <w:i/>
          <w:iCs/>
        </w:rPr>
        <w:t>Samia</w:t>
      </w:r>
      <w:r w:rsidR="00252E99" w:rsidRPr="00DA33A1">
        <w:rPr>
          <w:rFonts w:ascii="Arial" w:hAnsi="Arial" w:cs="Arial"/>
        </w:rPr>
        <w:t xml:space="preserve">. </w:t>
      </w:r>
      <w:r w:rsidR="004D5FD0" w:rsidRPr="00DA33A1">
        <w:rPr>
          <w:rFonts w:ascii="Arial" w:hAnsi="Arial" w:cs="Arial"/>
        </w:rPr>
        <w:t>As discussed above, there is some discrepancy between United States Supreme Court and North Carolina case law concerning both statements that inculpate by inference and statements that are redacted with vague references to accomplices.</w:t>
      </w:r>
    </w:p>
    <w:p w14:paraId="1A91D505" w14:textId="28C9DFF8" w:rsidR="00157C35" w:rsidRPr="00D70F9D" w:rsidRDefault="001A63F3" w:rsidP="001A63F3">
      <w:pPr>
        <w:pStyle w:val="ListParagraph"/>
        <w:spacing w:after="0" w:line="240" w:lineRule="auto"/>
        <w:ind w:firstLine="720"/>
        <w:rPr>
          <w:rFonts w:ascii="Arial" w:hAnsi="Arial" w:cs="Arial"/>
        </w:rPr>
      </w:pPr>
      <w:r>
        <w:rPr>
          <w:rFonts w:ascii="Arial" w:hAnsi="Arial" w:cs="Arial"/>
        </w:rPr>
        <w:lastRenderedPageBreak/>
        <w:t xml:space="preserve">G.S. 15A-927(c)(2) addresses broader grounds for granting joinder or severance (discussed in greater detail in </w:t>
      </w:r>
      <w:hyperlink r:id="rId11" w:history="1">
        <w:r w:rsidRPr="00481F47">
          <w:rPr>
            <w:rStyle w:val="Hyperlink"/>
            <w:rFonts w:ascii="Arial" w:hAnsi="Arial" w:cs="Arial"/>
          </w:rPr>
          <w:t>Joinder and Severance</w:t>
        </w:r>
      </w:hyperlink>
      <w:r>
        <w:rPr>
          <w:rFonts w:ascii="Arial" w:hAnsi="Arial" w:cs="Arial"/>
        </w:rPr>
        <w:t xml:space="preserve">). </w:t>
      </w:r>
      <w:r w:rsidR="004D5FD0" w:rsidRPr="00D70F9D">
        <w:rPr>
          <w:rFonts w:ascii="Arial" w:hAnsi="Arial" w:cs="Arial"/>
        </w:rPr>
        <w:t>In</w:t>
      </w:r>
      <w:r w:rsidR="0030550A" w:rsidRPr="00D70F9D">
        <w:rPr>
          <w:rFonts w:ascii="Arial" w:hAnsi="Arial" w:cs="Arial"/>
        </w:rPr>
        <w:t xml:space="preserve"> </w:t>
      </w:r>
      <w:r w:rsidR="0030550A" w:rsidRPr="00D70F9D">
        <w:rPr>
          <w:rFonts w:ascii="Arial" w:hAnsi="Arial" w:cs="Arial"/>
          <w:i/>
          <w:iCs/>
        </w:rPr>
        <w:t>State v. Evans</w:t>
      </w:r>
      <w:r w:rsidR="0030550A" w:rsidRPr="00D70F9D">
        <w:rPr>
          <w:rFonts w:ascii="Arial" w:hAnsi="Arial" w:cs="Arial"/>
        </w:rPr>
        <w:t>,</w:t>
      </w:r>
      <w:r w:rsidR="004D5FD0" w:rsidRPr="00D70F9D">
        <w:rPr>
          <w:rFonts w:ascii="Arial" w:hAnsi="Arial" w:cs="Arial"/>
        </w:rPr>
        <w:t xml:space="preserve"> </w:t>
      </w:r>
      <w:r w:rsidR="00157C35" w:rsidRPr="00D70F9D">
        <w:rPr>
          <w:rFonts w:ascii="Arial" w:hAnsi="Arial" w:cs="Arial"/>
        </w:rPr>
        <w:t xml:space="preserve">346 N.C. 221, 232 (1997), </w:t>
      </w:r>
      <w:r w:rsidRPr="00D70F9D">
        <w:rPr>
          <w:rFonts w:ascii="Arial" w:hAnsi="Arial" w:cs="Arial"/>
        </w:rPr>
        <w:t xml:space="preserve">the North Carolina Supreme Court considered both G.S. 15A-927(c)(1) and (c)(2) in determining whether the trial court erred in </w:t>
      </w:r>
      <w:r w:rsidR="00ED782A" w:rsidRPr="00D70F9D">
        <w:rPr>
          <w:rFonts w:ascii="Arial" w:hAnsi="Arial" w:cs="Arial"/>
        </w:rPr>
        <w:t>admitting</w:t>
      </w:r>
      <w:r w:rsidRPr="00D70F9D">
        <w:rPr>
          <w:rFonts w:ascii="Arial" w:hAnsi="Arial" w:cs="Arial"/>
        </w:rPr>
        <w:t xml:space="preserve"> a codefendant’s confession</w:t>
      </w:r>
      <w:r w:rsidR="00ED782A" w:rsidRPr="00D70F9D">
        <w:rPr>
          <w:rFonts w:ascii="Arial" w:hAnsi="Arial" w:cs="Arial"/>
        </w:rPr>
        <w:t xml:space="preserve"> at </w:t>
      </w:r>
      <w:r w:rsidR="007A5431" w:rsidRPr="00D70F9D">
        <w:rPr>
          <w:rFonts w:ascii="Arial" w:hAnsi="Arial" w:cs="Arial"/>
        </w:rPr>
        <w:t>his joint trial with the</w:t>
      </w:r>
      <w:r w:rsidR="00ED782A" w:rsidRPr="00D70F9D">
        <w:rPr>
          <w:rFonts w:ascii="Arial" w:hAnsi="Arial" w:cs="Arial"/>
        </w:rPr>
        <w:t xml:space="preserve"> defendant</w:t>
      </w:r>
      <w:r w:rsidR="007A5431" w:rsidRPr="00D70F9D">
        <w:rPr>
          <w:rFonts w:ascii="Arial" w:hAnsi="Arial" w:cs="Arial"/>
        </w:rPr>
        <w:t xml:space="preserve"> </w:t>
      </w:r>
      <w:r w:rsidRPr="00D70F9D">
        <w:rPr>
          <w:rFonts w:ascii="Arial" w:hAnsi="Arial" w:cs="Arial"/>
        </w:rPr>
        <w:t xml:space="preserve">and in denying </w:t>
      </w:r>
      <w:r w:rsidR="00ED782A" w:rsidRPr="00D70F9D">
        <w:rPr>
          <w:rFonts w:ascii="Arial" w:hAnsi="Arial" w:cs="Arial"/>
        </w:rPr>
        <w:t>the defendant’s motion for</w:t>
      </w:r>
      <w:r w:rsidRPr="00D70F9D">
        <w:rPr>
          <w:rFonts w:ascii="Arial" w:hAnsi="Arial" w:cs="Arial"/>
        </w:rPr>
        <w:t xml:space="preserve"> severance. </w:t>
      </w:r>
      <w:r w:rsidR="00ED782A" w:rsidRPr="00D70F9D">
        <w:rPr>
          <w:rFonts w:ascii="Arial" w:hAnsi="Arial" w:cs="Arial"/>
        </w:rPr>
        <w:t xml:space="preserve">There, the State attempted to introduce </w:t>
      </w:r>
      <w:r w:rsidR="00C05A00" w:rsidRPr="00D70F9D">
        <w:rPr>
          <w:rFonts w:ascii="Arial" w:hAnsi="Arial" w:cs="Arial"/>
        </w:rPr>
        <w:t xml:space="preserve">a redacted version of </w:t>
      </w:r>
      <w:r w:rsidR="00ED782A" w:rsidRPr="00D70F9D">
        <w:rPr>
          <w:rFonts w:ascii="Arial" w:hAnsi="Arial" w:cs="Arial"/>
        </w:rPr>
        <w:t>the</w:t>
      </w:r>
      <w:r w:rsidR="00C05A00" w:rsidRPr="00D70F9D">
        <w:rPr>
          <w:rFonts w:ascii="Arial" w:hAnsi="Arial" w:cs="Arial"/>
        </w:rPr>
        <w:t xml:space="preserve"> codefendant’s confession</w:t>
      </w:r>
      <w:r w:rsidR="00ED782A" w:rsidRPr="00D70F9D">
        <w:rPr>
          <w:rFonts w:ascii="Arial" w:hAnsi="Arial" w:cs="Arial"/>
        </w:rPr>
        <w:t xml:space="preserve"> during the testimony of the law enforcement officer who had interrogated the codefendant. </w:t>
      </w:r>
      <w:r w:rsidR="00C05A00" w:rsidRPr="00D70F9D">
        <w:rPr>
          <w:rFonts w:ascii="Arial" w:hAnsi="Arial" w:cs="Arial"/>
        </w:rPr>
        <w:t xml:space="preserve">The codefendant later testified </w:t>
      </w:r>
      <w:r w:rsidR="00157C35" w:rsidRPr="00D70F9D">
        <w:rPr>
          <w:rFonts w:ascii="Arial" w:hAnsi="Arial" w:cs="Arial"/>
        </w:rPr>
        <w:t>to an alibi defense</w:t>
      </w:r>
      <w:r w:rsidR="00C05A00" w:rsidRPr="00D70F9D">
        <w:rPr>
          <w:rFonts w:ascii="Arial" w:hAnsi="Arial" w:cs="Arial"/>
        </w:rPr>
        <w:t xml:space="preserve"> that was</w:t>
      </w:r>
      <w:r w:rsidR="00157C35" w:rsidRPr="00D70F9D">
        <w:rPr>
          <w:rFonts w:ascii="Arial" w:hAnsi="Arial" w:cs="Arial"/>
        </w:rPr>
        <w:t xml:space="preserve"> inconsistent with the redacted confession.</w:t>
      </w:r>
      <w:r w:rsidR="00C05A00" w:rsidRPr="00D70F9D">
        <w:rPr>
          <w:rFonts w:ascii="Arial" w:hAnsi="Arial" w:cs="Arial"/>
        </w:rPr>
        <w:t xml:space="preserve"> </w:t>
      </w:r>
      <w:r w:rsidR="00157C35" w:rsidRPr="00D70F9D">
        <w:rPr>
          <w:rFonts w:ascii="Arial" w:hAnsi="Arial" w:cs="Arial"/>
        </w:rPr>
        <w:t xml:space="preserve">The trial court </w:t>
      </w:r>
      <w:r w:rsidR="00C05A00" w:rsidRPr="00D70F9D">
        <w:rPr>
          <w:rFonts w:ascii="Arial" w:hAnsi="Arial" w:cs="Arial"/>
        </w:rPr>
        <w:t>allowed</w:t>
      </w:r>
      <w:r w:rsidR="00157C35" w:rsidRPr="00D70F9D">
        <w:rPr>
          <w:rFonts w:ascii="Arial" w:hAnsi="Arial" w:cs="Arial"/>
        </w:rPr>
        <w:t xml:space="preserve"> the State to impeach the codefendant with an unredacted version of the confession</w:t>
      </w:r>
      <w:r w:rsidR="007A5431" w:rsidRPr="00D70F9D">
        <w:rPr>
          <w:rFonts w:ascii="Arial" w:hAnsi="Arial" w:cs="Arial"/>
        </w:rPr>
        <w:t xml:space="preserve">, which </w:t>
      </w:r>
      <w:r w:rsidR="00676CF0" w:rsidRPr="00D70F9D">
        <w:rPr>
          <w:rFonts w:ascii="Arial" w:hAnsi="Arial" w:cs="Arial"/>
        </w:rPr>
        <w:t>incriminated the defendant</w:t>
      </w:r>
      <w:r w:rsidR="00C05A00" w:rsidRPr="00D70F9D">
        <w:rPr>
          <w:rFonts w:ascii="Arial" w:hAnsi="Arial" w:cs="Arial"/>
        </w:rPr>
        <w:t xml:space="preserve">. </w:t>
      </w:r>
      <w:r w:rsidR="007A5431" w:rsidRPr="00D70F9D">
        <w:rPr>
          <w:rFonts w:ascii="Arial" w:hAnsi="Arial" w:cs="Arial"/>
        </w:rPr>
        <w:t>The</w:t>
      </w:r>
      <w:r w:rsidR="00C05A00" w:rsidRPr="00D70F9D">
        <w:rPr>
          <w:rFonts w:ascii="Arial" w:hAnsi="Arial" w:cs="Arial"/>
        </w:rPr>
        <w:t xml:space="preserve"> defendant </w:t>
      </w:r>
      <w:r w:rsidR="007A5431" w:rsidRPr="00D70F9D">
        <w:rPr>
          <w:rFonts w:ascii="Arial" w:hAnsi="Arial" w:cs="Arial"/>
        </w:rPr>
        <w:t xml:space="preserve">was convicted and appealed, </w:t>
      </w:r>
      <w:r w:rsidR="00676CF0" w:rsidRPr="00D70F9D">
        <w:rPr>
          <w:rFonts w:ascii="Arial" w:hAnsi="Arial" w:cs="Arial"/>
        </w:rPr>
        <w:t xml:space="preserve">arguing a violation of </w:t>
      </w:r>
      <w:r w:rsidR="00676CF0" w:rsidRPr="00D70F9D">
        <w:rPr>
          <w:rFonts w:ascii="Arial" w:hAnsi="Arial" w:cs="Arial"/>
          <w:i/>
          <w:iCs/>
        </w:rPr>
        <w:t>Bruton</w:t>
      </w:r>
      <w:r w:rsidR="007A5431" w:rsidRPr="00D70F9D">
        <w:rPr>
          <w:rFonts w:ascii="Arial" w:hAnsi="Arial" w:cs="Arial"/>
        </w:rPr>
        <w:t>, due process</w:t>
      </w:r>
      <w:r w:rsidR="0026508D">
        <w:rPr>
          <w:rFonts w:ascii="Arial" w:hAnsi="Arial" w:cs="Arial"/>
        </w:rPr>
        <w:t>,</w:t>
      </w:r>
      <w:r w:rsidR="007A5431" w:rsidRPr="00D70F9D">
        <w:rPr>
          <w:rFonts w:ascii="Arial" w:hAnsi="Arial" w:cs="Arial"/>
        </w:rPr>
        <w:t xml:space="preserve"> and </w:t>
      </w:r>
      <w:r w:rsidR="00676CF0" w:rsidRPr="00D70F9D">
        <w:rPr>
          <w:rFonts w:ascii="Arial" w:hAnsi="Arial" w:cs="Arial"/>
        </w:rPr>
        <w:t xml:space="preserve">G.S. 15A-927. </w:t>
      </w:r>
      <w:r w:rsidR="007A5431" w:rsidRPr="00D70F9D">
        <w:rPr>
          <w:rFonts w:ascii="Arial" w:hAnsi="Arial" w:cs="Arial"/>
        </w:rPr>
        <w:t>The</w:t>
      </w:r>
      <w:r w:rsidR="00676CF0" w:rsidRPr="00D70F9D">
        <w:rPr>
          <w:rFonts w:ascii="Arial" w:hAnsi="Arial" w:cs="Arial"/>
        </w:rPr>
        <w:t xml:space="preserve"> Court </w:t>
      </w:r>
      <w:r w:rsidR="007A5431" w:rsidRPr="00D70F9D">
        <w:rPr>
          <w:rFonts w:ascii="Arial" w:hAnsi="Arial" w:cs="Arial"/>
        </w:rPr>
        <w:t xml:space="preserve">found no error, reasoning </w:t>
      </w:r>
      <w:r w:rsidR="00676CF0" w:rsidRPr="00D70F9D">
        <w:rPr>
          <w:rFonts w:ascii="Arial" w:hAnsi="Arial" w:cs="Arial"/>
        </w:rPr>
        <w:t xml:space="preserve">that </w:t>
      </w:r>
      <w:r w:rsidR="00676CF0" w:rsidRPr="00D70F9D">
        <w:rPr>
          <w:rFonts w:ascii="Arial" w:hAnsi="Arial" w:cs="Arial"/>
          <w:i/>
          <w:iCs/>
        </w:rPr>
        <w:t xml:space="preserve">Bruton </w:t>
      </w:r>
      <w:r w:rsidR="00676CF0" w:rsidRPr="00D70F9D">
        <w:rPr>
          <w:rFonts w:ascii="Arial" w:hAnsi="Arial" w:cs="Arial"/>
        </w:rPr>
        <w:t>did not apply because the codefendant testified</w:t>
      </w:r>
      <w:r w:rsidR="007A5431" w:rsidRPr="00D70F9D">
        <w:rPr>
          <w:rFonts w:ascii="Arial" w:hAnsi="Arial" w:cs="Arial"/>
        </w:rPr>
        <w:t>, thus affording the defendant his right to confrontation. The C</w:t>
      </w:r>
      <w:r w:rsidR="00D70F9D">
        <w:rPr>
          <w:rFonts w:ascii="Arial" w:hAnsi="Arial" w:cs="Arial"/>
        </w:rPr>
        <w:t>o</w:t>
      </w:r>
      <w:r w:rsidR="007A5431" w:rsidRPr="00D70F9D">
        <w:rPr>
          <w:rFonts w:ascii="Arial" w:hAnsi="Arial" w:cs="Arial"/>
        </w:rPr>
        <w:t>u</w:t>
      </w:r>
      <w:r w:rsidR="00D70F9D">
        <w:rPr>
          <w:rFonts w:ascii="Arial" w:hAnsi="Arial" w:cs="Arial"/>
        </w:rPr>
        <w:t>r</w:t>
      </w:r>
      <w:r w:rsidR="007A5431" w:rsidRPr="00D70F9D">
        <w:rPr>
          <w:rFonts w:ascii="Arial" w:hAnsi="Arial" w:cs="Arial"/>
        </w:rPr>
        <w:t>t further held there was no violation of</w:t>
      </w:r>
      <w:r w:rsidR="00676CF0" w:rsidRPr="00D70F9D">
        <w:rPr>
          <w:rFonts w:ascii="Arial" w:hAnsi="Arial" w:cs="Arial"/>
        </w:rPr>
        <w:t xml:space="preserve"> </w:t>
      </w:r>
      <w:r w:rsidR="00EF4441" w:rsidRPr="00D70F9D">
        <w:rPr>
          <w:rFonts w:ascii="Arial" w:hAnsi="Arial" w:cs="Arial"/>
        </w:rPr>
        <w:t xml:space="preserve">due process </w:t>
      </w:r>
      <w:r w:rsidR="007A5431" w:rsidRPr="00D70F9D">
        <w:rPr>
          <w:rFonts w:ascii="Arial" w:hAnsi="Arial" w:cs="Arial"/>
        </w:rPr>
        <w:t>or</w:t>
      </w:r>
      <w:r w:rsidR="00676CF0" w:rsidRPr="00D70F9D">
        <w:rPr>
          <w:rFonts w:ascii="Arial" w:hAnsi="Arial" w:cs="Arial"/>
        </w:rPr>
        <w:t xml:space="preserve"> G.S. 15A-927(c)(2)</w:t>
      </w:r>
      <w:r w:rsidR="007A5431" w:rsidRPr="00D70F9D">
        <w:rPr>
          <w:rFonts w:ascii="Arial" w:hAnsi="Arial" w:cs="Arial"/>
        </w:rPr>
        <w:t>, noting plenary evidence irrespective of the codefendant’s statements that the defendant was involved in the murder for which he was tried</w:t>
      </w:r>
      <w:r w:rsidR="00BF4177" w:rsidRPr="00D70F9D">
        <w:rPr>
          <w:rFonts w:ascii="Arial" w:hAnsi="Arial" w:cs="Arial"/>
        </w:rPr>
        <w:t xml:space="preserve">. The Court </w:t>
      </w:r>
      <w:r w:rsidR="007A5431" w:rsidRPr="00D70F9D">
        <w:rPr>
          <w:rFonts w:ascii="Arial" w:hAnsi="Arial" w:cs="Arial"/>
        </w:rPr>
        <w:t xml:space="preserve">further </w:t>
      </w:r>
      <w:r w:rsidR="00BF4177" w:rsidRPr="00D70F9D">
        <w:rPr>
          <w:rFonts w:ascii="Arial" w:hAnsi="Arial" w:cs="Arial"/>
        </w:rPr>
        <w:t xml:space="preserve">noted </w:t>
      </w:r>
      <w:r w:rsidR="007A5431" w:rsidRPr="00D70F9D">
        <w:rPr>
          <w:rFonts w:ascii="Arial" w:hAnsi="Arial" w:cs="Arial"/>
        </w:rPr>
        <w:t>that</w:t>
      </w:r>
      <w:r w:rsidR="00BF4177" w:rsidRPr="00D70F9D">
        <w:rPr>
          <w:rFonts w:ascii="Arial" w:hAnsi="Arial" w:cs="Arial"/>
        </w:rPr>
        <w:t xml:space="preserve"> the trial court’s instruction to the jury limiting the use of the codefendant’s statement to assessment of </w:t>
      </w:r>
      <w:r w:rsidR="0026508D">
        <w:rPr>
          <w:rFonts w:ascii="Arial" w:hAnsi="Arial" w:cs="Arial"/>
        </w:rPr>
        <w:t>the codefendant’s</w:t>
      </w:r>
      <w:r w:rsidR="00BF4177" w:rsidRPr="00D70F9D">
        <w:rPr>
          <w:rFonts w:ascii="Arial" w:hAnsi="Arial" w:cs="Arial"/>
        </w:rPr>
        <w:t xml:space="preserve"> credibility</w:t>
      </w:r>
      <w:r w:rsidR="007A5431" w:rsidRPr="00D70F9D">
        <w:rPr>
          <w:rFonts w:ascii="Arial" w:hAnsi="Arial" w:cs="Arial"/>
        </w:rPr>
        <w:t xml:space="preserve"> cured “[a]</w:t>
      </w:r>
      <w:proofErr w:type="spellStart"/>
      <w:r w:rsidR="007A5431" w:rsidRPr="00D70F9D">
        <w:rPr>
          <w:rFonts w:ascii="Arial" w:hAnsi="Arial" w:cs="Arial"/>
        </w:rPr>
        <w:t>ny</w:t>
      </w:r>
      <w:proofErr w:type="spellEnd"/>
      <w:r w:rsidR="007A5431" w:rsidRPr="00D70F9D">
        <w:rPr>
          <w:rFonts w:ascii="Arial" w:hAnsi="Arial" w:cs="Arial"/>
        </w:rPr>
        <w:t xml:space="preserve"> error in the admission of [the codefendant’s] statements</w:t>
      </w:r>
      <w:r w:rsidR="00BF4177" w:rsidRPr="00D70F9D">
        <w:rPr>
          <w:rFonts w:ascii="Arial" w:hAnsi="Arial" w:cs="Arial"/>
        </w:rPr>
        <w:t>.</w:t>
      </w:r>
      <w:r w:rsidR="007A5431" w:rsidRPr="00D70F9D">
        <w:rPr>
          <w:rFonts w:ascii="Arial" w:hAnsi="Arial" w:cs="Arial"/>
        </w:rPr>
        <w:t>”</w:t>
      </w:r>
      <w:r w:rsidR="00BF4177" w:rsidRPr="00D70F9D">
        <w:rPr>
          <w:rFonts w:ascii="Arial" w:hAnsi="Arial" w:cs="Arial"/>
        </w:rPr>
        <w:t xml:space="preserve"> 346 N.C. at 232</w:t>
      </w:r>
      <w:r w:rsidR="007A5431" w:rsidRPr="00D70F9D">
        <w:rPr>
          <w:rFonts w:ascii="Arial" w:hAnsi="Arial" w:cs="Arial"/>
        </w:rPr>
        <w:t>-33</w:t>
      </w:r>
      <w:r w:rsidR="00BF4177" w:rsidRPr="00D70F9D">
        <w:rPr>
          <w:rFonts w:ascii="Arial" w:hAnsi="Arial" w:cs="Arial"/>
        </w:rPr>
        <w:t xml:space="preserve">. </w:t>
      </w:r>
      <w:r w:rsidR="007A5431" w:rsidRPr="00D70F9D">
        <w:rPr>
          <w:rFonts w:ascii="Arial" w:hAnsi="Arial" w:cs="Arial"/>
          <w:i/>
          <w:iCs/>
        </w:rPr>
        <w:t>Cf.</w:t>
      </w:r>
      <w:r w:rsidR="00BF4177" w:rsidRPr="00D70F9D">
        <w:rPr>
          <w:rFonts w:ascii="Arial" w:hAnsi="Arial" w:cs="Arial"/>
        </w:rPr>
        <w:t xml:space="preserve"> State v. Jones, 280 N.C. 322, 339 (1972) (noting, in a case decided prior to enactment of G.S. 15A-927, the possibility that a defendant’s right to a fair trial could be infringed by the introduction of a codefendant’s statement incriminating the defendant even if the codefendant takes the stand and there is no violation of the right of confrontation).</w:t>
      </w:r>
    </w:p>
    <w:p w14:paraId="2409FC21" w14:textId="77777777" w:rsidR="00481F47" w:rsidRDefault="00481F47" w:rsidP="00E14468">
      <w:pPr>
        <w:pStyle w:val="ListParagraph"/>
        <w:spacing w:after="0" w:line="240" w:lineRule="auto"/>
        <w:ind w:left="0"/>
        <w:rPr>
          <w:rFonts w:ascii="Arial" w:hAnsi="Arial" w:cs="Arial"/>
        </w:rPr>
      </w:pPr>
    </w:p>
    <w:p w14:paraId="4708A001" w14:textId="77777777" w:rsidR="005A38D0" w:rsidRDefault="005A38D0" w:rsidP="00481F47">
      <w:pPr>
        <w:spacing w:after="0" w:line="240" w:lineRule="auto"/>
      </w:pPr>
    </w:p>
    <w:p w14:paraId="15CF4A22" w14:textId="77777777" w:rsidR="00D70F9D" w:rsidRDefault="00D70F9D" w:rsidP="00481F47">
      <w:pPr>
        <w:spacing w:after="0" w:line="240" w:lineRule="auto"/>
      </w:pPr>
    </w:p>
    <w:p w14:paraId="7505C5BA" w14:textId="77777777" w:rsidR="00D70F9D" w:rsidRDefault="00D70F9D" w:rsidP="00481F47">
      <w:pPr>
        <w:spacing w:after="0" w:line="240" w:lineRule="auto"/>
      </w:pPr>
    </w:p>
    <w:p w14:paraId="2775605B" w14:textId="77777777" w:rsidR="00D70F9D" w:rsidRDefault="00D70F9D" w:rsidP="00481F47">
      <w:pPr>
        <w:spacing w:after="0" w:line="240" w:lineRule="auto"/>
      </w:pPr>
    </w:p>
    <w:p w14:paraId="22C091F0" w14:textId="77777777" w:rsidR="00D70F9D" w:rsidRDefault="00D70F9D" w:rsidP="00481F47">
      <w:pPr>
        <w:spacing w:after="0" w:line="240" w:lineRule="auto"/>
      </w:pPr>
    </w:p>
    <w:p w14:paraId="5D1D2F14" w14:textId="77777777" w:rsidR="00D70F9D" w:rsidRDefault="00D70F9D" w:rsidP="00481F47">
      <w:pPr>
        <w:spacing w:after="0" w:line="240" w:lineRule="auto"/>
      </w:pPr>
    </w:p>
    <w:p w14:paraId="02B6D8B5" w14:textId="77777777" w:rsidR="00D70F9D" w:rsidRDefault="00D70F9D" w:rsidP="00481F47">
      <w:pPr>
        <w:spacing w:after="0" w:line="240" w:lineRule="auto"/>
      </w:pPr>
    </w:p>
    <w:p w14:paraId="2AE0D159" w14:textId="77777777" w:rsidR="00D70F9D" w:rsidRDefault="00D70F9D" w:rsidP="00481F47">
      <w:pPr>
        <w:spacing w:after="0" w:line="240" w:lineRule="auto"/>
      </w:pPr>
    </w:p>
    <w:p w14:paraId="75E5923E" w14:textId="77777777" w:rsidR="00D70F9D" w:rsidRDefault="00D70F9D" w:rsidP="00481F47">
      <w:pPr>
        <w:spacing w:after="0" w:line="240" w:lineRule="auto"/>
      </w:pPr>
    </w:p>
    <w:p w14:paraId="4282F826" w14:textId="77777777" w:rsidR="00D70F9D" w:rsidRDefault="00D70F9D" w:rsidP="00481F47">
      <w:pPr>
        <w:spacing w:after="0" w:line="240" w:lineRule="auto"/>
      </w:pPr>
    </w:p>
    <w:p w14:paraId="250BD01F" w14:textId="77777777" w:rsidR="00D70F9D" w:rsidRDefault="00D70F9D" w:rsidP="00481F47">
      <w:pPr>
        <w:spacing w:after="0" w:line="240" w:lineRule="auto"/>
      </w:pPr>
    </w:p>
    <w:p w14:paraId="05F722D2" w14:textId="77777777" w:rsidR="00D70F9D" w:rsidRDefault="00D70F9D" w:rsidP="00481F47">
      <w:pPr>
        <w:spacing w:after="0" w:line="240" w:lineRule="auto"/>
      </w:pPr>
    </w:p>
    <w:p w14:paraId="0CA40062" w14:textId="77777777" w:rsidR="00D70F9D" w:rsidRDefault="00D70F9D" w:rsidP="00481F47">
      <w:pPr>
        <w:spacing w:after="0" w:line="240" w:lineRule="auto"/>
      </w:pPr>
    </w:p>
    <w:p w14:paraId="066FFCD2" w14:textId="77777777" w:rsidR="00D70F9D" w:rsidRDefault="00D70F9D" w:rsidP="00481F47">
      <w:pPr>
        <w:spacing w:after="0" w:line="240" w:lineRule="auto"/>
      </w:pPr>
    </w:p>
    <w:p w14:paraId="4620BC6E" w14:textId="77777777" w:rsidR="00D70F9D" w:rsidRDefault="00D70F9D" w:rsidP="00481F47">
      <w:pPr>
        <w:spacing w:after="0" w:line="240" w:lineRule="auto"/>
      </w:pPr>
    </w:p>
    <w:p w14:paraId="4C6FD879" w14:textId="77777777" w:rsidR="00D70F9D" w:rsidRDefault="00D70F9D" w:rsidP="00481F47">
      <w:pPr>
        <w:spacing w:after="0" w:line="240" w:lineRule="auto"/>
      </w:pPr>
    </w:p>
    <w:p w14:paraId="4F2A916F" w14:textId="77777777" w:rsidR="00D70F9D" w:rsidRDefault="00D70F9D" w:rsidP="00481F47">
      <w:pPr>
        <w:spacing w:after="0" w:line="240" w:lineRule="auto"/>
      </w:pPr>
    </w:p>
    <w:p w14:paraId="68B367BC" w14:textId="77777777" w:rsidR="00D70F9D" w:rsidRDefault="00D70F9D" w:rsidP="00481F47">
      <w:pPr>
        <w:spacing w:after="0" w:line="240" w:lineRule="auto"/>
      </w:pPr>
    </w:p>
    <w:p w14:paraId="13A11C69" w14:textId="77777777" w:rsidR="00D70F9D" w:rsidRDefault="00D70F9D" w:rsidP="00481F47">
      <w:pPr>
        <w:spacing w:after="0" w:line="240" w:lineRule="auto"/>
      </w:pPr>
    </w:p>
    <w:p w14:paraId="0AE35651" w14:textId="77777777" w:rsidR="00D70F9D" w:rsidRDefault="00D70F9D" w:rsidP="00481F47">
      <w:pPr>
        <w:spacing w:after="0" w:line="240" w:lineRule="auto"/>
      </w:pPr>
    </w:p>
    <w:p w14:paraId="2D231251" w14:textId="77777777" w:rsidR="00613279" w:rsidRDefault="00613279" w:rsidP="00481F47">
      <w:pPr>
        <w:spacing w:after="0" w:line="240" w:lineRule="auto"/>
      </w:pPr>
    </w:p>
    <w:p w14:paraId="6043219B" w14:textId="22BBD70A" w:rsidR="005A38D0" w:rsidRPr="00613279" w:rsidRDefault="00481F47" w:rsidP="00613279">
      <w:pPr>
        <w:spacing w:after="0" w:line="240" w:lineRule="auto"/>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5A38D0" w:rsidRPr="00613279" w:rsidSect="001765F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2D33A" w14:textId="77777777" w:rsidR="00A44EB5" w:rsidRDefault="00A44EB5" w:rsidP="00182931">
      <w:pPr>
        <w:spacing w:after="0" w:line="240" w:lineRule="auto"/>
      </w:pPr>
      <w:r>
        <w:separator/>
      </w:r>
    </w:p>
  </w:endnote>
  <w:endnote w:type="continuationSeparator" w:id="0">
    <w:p w14:paraId="4C4BC976" w14:textId="77777777" w:rsidR="00A44EB5" w:rsidRDefault="00A44EB5" w:rsidP="0018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ABED" w14:textId="77777777" w:rsidR="001765FC" w:rsidRDefault="001765FC">
    <w:pPr>
      <w:pStyle w:val="Footer"/>
      <w:jc w:val="center"/>
    </w:pPr>
    <w:r w:rsidRPr="001765FC">
      <w:rPr>
        <w:rFonts w:ascii="Arial" w:hAnsi="Arial" w:cs="Arial"/>
        <w:sz w:val="20"/>
        <w:szCs w:val="20"/>
      </w:rPr>
      <w:t xml:space="preserve">The </w:t>
    </w:r>
    <w:r w:rsidRPr="001765FC">
      <w:rPr>
        <w:rFonts w:ascii="Arial" w:hAnsi="Arial" w:cs="Arial"/>
        <w:i/>
        <w:iCs/>
        <w:sz w:val="20"/>
        <w:szCs w:val="20"/>
      </w:rPr>
      <w:t xml:space="preserve">Bruton </w:t>
    </w:r>
    <w:r w:rsidRPr="001765FC">
      <w:rPr>
        <w:rFonts w:ascii="Arial" w:hAnsi="Arial" w:cs="Arial"/>
        <w:sz w:val="20"/>
        <w:szCs w:val="20"/>
      </w:rPr>
      <w:t>Rule --</w:t>
    </w:r>
    <w:r>
      <w:rPr>
        <w:rFonts w:ascii="Arial" w:hAnsi="Arial" w:cs="Arial"/>
        <w:sz w:val="20"/>
        <w:szCs w:val="20"/>
      </w:rPr>
      <w:t xml:space="preserve"> </w:t>
    </w:r>
    <w:r w:rsidR="00B21B58">
      <w:fldChar w:fldCharType="begin"/>
    </w:r>
    <w:r>
      <w:instrText xml:space="preserve"> PAGE   \* MERGEFORMAT </w:instrText>
    </w:r>
    <w:r w:rsidR="00B21B58">
      <w:fldChar w:fldCharType="separate"/>
    </w:r>
    <w:r w:rsidR="00D10444">
      <w:rPr>
        <w:noProof/>
      </w:rPr>
      <w:t>3</w:t>
    </w:r>
    <w:r w:rsidR="00B21B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0390" w14:textId="77777777" w:rsidR="00A44EB5" w:rsidRDefault="00A44EB5" w:rsidP="00182931">
      <w:pPr>
        <w:spacing w:after="0" w:line="240" w:lineRule="auto"/>
      </w:pPr>
      <w:r>
        <w:separator/>
      </w:r>
    </w:p>
  </w:footnote>
  <w:footnote w:type="continuationSeparator" w:id="0">
    <w:p w14:paraId="51A2CA0B" w14:textId="77777777" w:rsidR="00A44EB5" w:rsidRDefault="00A44EB5" w:rsidP="0018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F37E" w14:textId="77777777" w:rsidR="00630DB7" w:rsidRDefault="00630DB7">
    <w:pPr>
      <w:pStyle w:val="Header"/>
    </w:pPr>
    <w:r w:rsidRPr="00630DB7">
      <w:rPr>
        <w:noProof/>
      </w:rPr>
      <w:drawing>
        <wp:anchor distT="0" distB="0" distL="114300" distR="114300" simplePos="0" relativeHeight="251659264" behindDoc="0" locked="0" layoutInCell="1" allowOverlap="0" wp14:anchorId="6C6B339A" wp14:editId="67A77E13">
          <wp:simplePos x="0" y="0"/>
          <wp:positionH relativeFrom="page">
            <wp:posOffset>155275</wp:posOffset>
          </wp:positionH>
          <wp:positionV relativeFrom="page">
            <wp:posOffset>155275</wp:posOffset>
          </wp:positionV>
          <wp:extent cx="7772400" cy="340983"/>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27708FB" w14:textId="77777777" w:rsidR="00630DB7" w:rsidRDefault="0063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356F"/>
    <w:multiLevelType w:val="hybridMultilevel"/>
    <w:tmpl w:val="9A4CE67E"/>
    <w:lvl w:ilvl="0" w:tplc="2406704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D32DDB"/>
    <w:multiLevelType w:val="hybridMultilevel"/>
    <w:tmpl w:val="AD2E6A56"/>
    <w:lvl w:ilvl="0" w:tplc="DF042E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B0CD7"/>
    <w:multiLevelType w:val="hybridMultilevel"/>
    <w:tmpl w:val="82C4F71E"/>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3" w15:restartNumberingAfterBreak="0">
    <w:nsid w:val="3C607A25"/>
    <w:multiLevelType w:val="hybridMultilevel"/>
    <w:tmpl w:val="F514A53E"/>
    <w:lvl w:ilvl="0" w:tplc="DF042EBA">
      <w:start w:val="1"/>
      <w:numFmt w:val="decimal"/>
      <w:lvlText w:val="%1."/>
      <w:lvlJc w:val="lef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5A7804BC"/>
    <w:multiLevelType w:val="hybridMultilevel"/>
    <w:tmpl w:val="208C0988"/>
    <w:lvl w:ilvl="0" w:tplc="18C48C9C">
      <w:start w:val="1"/>
      <w:numFmt w:val="upperLetter"/>
      <w:pStyle w:val="Heading2"/>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202D56"/>
    <w:multiLevelType w:val="hybridMultilevel"/>
    <w:tmpl w:val="0FDE0E2E"/>
    <w:lvl w:ilvl="0" w:tplc="5F3840EA">
      <w:start w:val="1"/>
      <w:numFmt w:val="upperRoman"/>
      <w:pStyle w:val="Heading1"/>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3223A6"/>
    <w:multiLevelType w:val="hybridMultilevel"/>
    <w:tmpl w:val="4C9EA790"/>
    <w:lvl w:ilvl="0" w:tplc="BB7042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C7465B7"/>
    <w:multiLevelType w:val="hybridMultilevel"/>
    <w:tmpl w:val="E2880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053918">
    <w:abstractNumId w:val="5"/>
  </w:num>
  <w:num w:numId="2" w16cid:durableId="771390269">
    <w:abstractNumId w:val="0"/>
  </w:num>
  <w:num w:numId="3" w16cid:durableId="1025473913">
    <w:abstractNumId w:val="4"/>
  </w:num>
  <w:num w:numId="4" w16cid:durableId="1724407884">
    <w:abstractNumId w:val="2"/>
  </w:num>
  <w:num w:numId="5" w16cid:durableId="1669795927">
    <w:abstractNumId w:val="6"/>
  </w:num>
  <w:num w:numId="6" w16cid:durableId="1193495681">
    <w:abstractNumId w:val="3"/>
  </w:num>
  <w:num w:numId="7" w16cid:durableId="1762724818">
    <w:abstractNumId w:val="1"/>
  </w:num>
  <w:num w:numId="8" w16cid:durableId="1911426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A10"/>
    <w:rsid w:val="000028A3"/>
    <w:rsid w:val="00006A76"/>
    <w:rsid w:val="000112E8"/>
    <w:rsid w:val="00017D61"/>
    <w:rsid w:val="00020DD0"/>
    <w:rsid w:val="00023AA9"/>
    <w:rsid w:val="00026738"/>
    <w:rsid w:val="00032512"/>
    <w:rsid w:val="00032D86"/>
    <w:rsid w:val="00045993"/>
    <w:rsid w:val="0005083B"/>
    <w:rsid w:val="000818DB"/>
    <w:rsid w:val="00091FDF"/>
    <w:rsid w:val="000954F0"/>
    <w:rsid w:val="000A4D17"/>
    <w:rsid w:val="000B0562"/>
    <w:rsid w:val="000B2021"/>
    <w:rsid w:val="000E4BC1"/>
    <w:rsid w:val="000F4C19"/>
    <w:rsid w:val="000F7E17"/>
    <w:rsid w:val="00111E1B"/>
    <w:rsid w:val="00120A53"/>
    <w:rsid w:val="00121BE1"/>
    <w:rsid w:val="00124CAE"/>
    <w:rsid w:val="00127738"/>
    <w:rsid w:val="00144BC9"/>
    <w:rsid w:val="001510E3"/>
    <w:rsid w:val="00155330"/>
    <w:rsid w:val="00157C35"/>
    <w:rsid w:val="00165495"/>
    <w:rsid w:val="001752CA"/>
    <w:rsid w:val="001765FC"/>
    <w:rsid w:val="00182931"/>
    <w:rsid w:val="00185E4F"/>
    <w:rsid w:val="001902C6"/>
    <w:rsid w:val="00197EC6"/>
    <w:rsid w:val="001A09E0"/>
    <w:rsid w:val="001A2E43"/>
    <w:rsid w:val="001A63F3"/>
    <w:rsid w:val="001B0EA8"/>
    <w:rsid w:val="001B2F8E"/>
    <w:rsid w:val="001D149C"/>
    <w:rsid w:val="001E7DB1"/>
    <w:rsid w:val="001F419D"/>
    <w:rsid w:val="001F4AF8"/>
    <w:rsid w:val="001F4BD4"/>
    <w:rsid w:val="00205C8B"/>
    <w:rsid w:val="00212B83"/>
    <w:rsid w:val="00222179"/>
    <w:rsid w:val="00223727"/>
    <w:rsid w:val="00227903"/>
    <w:rsid w:val="0023438B"/>
    <w:rsid w:val="00240AB8"/>
    <w:rsid w:val="0024641E"/>
    <w:rsid w:val="0024668D"/>
    <w:rsid w:val="002471B8"/>
    <w:rsid w:val="00252E99"/>
    <w:rsid w:val="00257B5E"/>
    <w:rsid w:val="00264E3C"/>
    <w:rsid w:val="0026508D"/>
    <w:rsid w:val="00283B55"/>
    <w:rsid w:val="0029311C"/>
    <w:rsid w:val="00294637"/>
    <w:rsid w:val="002A05A2"/>
    <w:rsid w:val="002A366C"/>
    <w:rsid w:val="002A5B8B"/>
    <w:rsid w:val="002C3E7D"/>
    <w:rsid w:val="002C49C4"/>
    <w:rsid w:val="002C5AE2"/>
    <w:rsid w:val="002E2C32"/>
    <w:rsid w:val="002E52F6"/>
    <w:rsid w:val="002F7F55"/>
    <w:rsid w:val="0030550A"/>
    <w:rsid w:val="003200CC"/>
    <w:rsid w:val="003225DC"/>
    <w:rsid w:val="003366EE"/>
    <w:rsid w:val="00337971"/>
    <w:rsid w:val="003469B2"/>
    <w:rsid w:val="00364447"/>
    <w:rsid w:val="00364461"/>
    <w:rsid w:val="00371AC9"/>
    <w:rsid w:val="00376E2A"/>
    <w:rsid w:val="00393A39"/>
    <w:rsid w:val="00395E39"/>
    <w:rsid w:val="003A086E"/>
    <w:rsid w:val="003C04E1"/>
    <w:rsid w:val="003C4D8B"/>
    <w:rsid w:val="003F0635"/>
    <w:rsid w:val="003F1197"/>
    <w:rsid w:val="003F4000"/>
    <w:rsid w:val="00403DBB"/>
    <w:rsid w:val="00405418"/>
    <w:rsid w:val="00411169"/>
    <w:rsid w:val="0043156F"/>
    <w:rsid w:val="00447C58"/>
    <w:rsid w:val="00450AE8"/>
    <w:rsid w:val="00456481"/>
    <w:rsid w:val="0047059E"/>
    <w:rsid w:val="00477102"/>
    <w:rsid w:val="00480645"/>
    <w:rsid w:val="00481F47"/>
    <w:rsid w:val="004838AB"/>
    <w:rsid w:val="004A5534"/>
    <w:rsid w:val="004B7045"/>
    <w:rsid w:val="004B7AB8"/>
    <w:rsid w:val="004D5FD0"/>
    <w:rsid w:val="004E36DA"/>
    <w:rsid w:val="004E719D"/>
    <w:rsid w:val="004E7762"/>
    <w:rsid w:val="004E7A26"/>
    <w:rsid w:val="0050336B"/>
    <w:rsid w:val="00507AE4"/>
    <w:rsid w:val="00526F7C"/>
    <w:rsid w:val="00557189"/>
    <w:rsid w:val="00570A17"/>
    <w:rsid w:val="00571216"/>
    <w:rsid w:val="005730FD"/>
    <w:rsid w:val="0057451F"/>
    <w:rsid w:val="00575612"/>
    <w:rsid w:val="00581090"/>
    <w:rsid w:val="005822B0"/>
    <w:rsid w:val="005879CC"/>
    <w:rsid w:val="005A38D0"/>
    <w:rsid w:val="005A7225"/>
    <w:rsid w:val="005C5088"/>
    <w:rsid w:val="005C5A34"/>
    <w:rsid w:val="005C7195"/>
    <w:rsid w:val="005F247D"/>
    <w:rsid w:val="005F3395"/>
    <w:rsid w:val="005F58F0"/>
    <w:rsid w:val="005F6A60"/>
    <w:rsid w:val="005F6B17"/>
    <w:rsid w:val="005F70F1"/>
    <w:rsid w:val="005F75DC"/>
    <w:rsid w:val="00606F64"/>
    <w:rsid w:val="00613279"/>
    <w:rsid w:val="00613764"/>
    <w:rsid w:val="00615213"/>
    <w:rsid w:val="006213B5"/>
    <w:rsid w:val="00623272"/>
    <w:rsid w:val="00626DE4"/>
    <w:rsid w:val="00630DB7"/>
    <w:rsid w:val="00636573"/>
    <w:rsid w:val="00636F24"/>
    <w:rsid w:val="006513E4"/>
    <w:rsid w:val="00661431"/>
    <w:rsid w:val="00671B76"/>
    <w:rsid w:val="006729DB"/>
    <w:rsid w:val="0067565B"/>
    <w:rsid w:val="00676CF0"/>
    <w:rsid w:val="00687263"/>
    <w:rsid w:val="00691952"/>
    <w:rsid w:val="006A0839"/>
    <w:rsid w:val="006A3541"/>
    <w:rsid w:val="006A72D2"/>
    <w:rsid w:val="006C4932"/>
    <w:rsid w:val="006C5CD6"/>
    <w:rsid w:val="006D7301"/>
    <w:rsid w:val="006F6DAD"/>
    <w:rsid w:val="00710E3F"/>
    <w:rsid w:val="00714964"/>
    <w:rsid w:val="0071621D"/>
    <w:rsid w:val="00716B69"/>
    <w:rsid w:val="007230C5"/>
    <w:rsid w:val="007350B1"/>
    <w:rsid w:val="007362E9"/>
    <w:rsid w:val="00754F85"/>
    <w:rsid w:val="0075758B"/>
    <w:rsid w:val="0076143F"/>
    <w:rsid w:val="0076282D"/>
    <w:rsid w:val="0077086F"/>
    <w:rsid w:val="00773881"/>
    <w:rsid w:val="007962B9"/>
    <w:rsid w:val="007A53CB"/>
    <w:rsid w:val="007A5431"/>
    <w:rsid w:val="007B1063"/>
    <w:rsid w:val="007B7200"/>
    <w:rsid w:val="007C15C4"/>
    <w:rsid w:val="007D3271"/>
    <w:rsid w:val="007D4C15"/>
    <w:rsid w:val="007F57C7"/>
    <w:rsid w:val="008142E6"/>
    <w:rsid w:val="008177F4"/>
    <w:rsid w:val="00836821"/>
    <w:rsid w:val="00842DF3"/>
    <w:rsid w:val="00847AE0"/>
    <w:rsid w:val="00876965"/>
    <w:rsid w:val="008945DF"/>
    <w:rsid w:val="0089645A"/>
    <w:rsid w:val="008B15C5"/>
    <w:rsid w:val="008B32F3"/>
    <w:rsid w:val="008C4913"/>
    <w:rsid w:val="008D7878"/>
    <w:rsid w:val="0090469C"/>
    <w:rsid w:val="00912CFC"/>
    <w:rsid w:val="00917D08"/>
    <w:rsid w:val="00925709"/>
    <w:rsid w:val="00932D06"/>
    <w:rsid w:val="00950648"/>
    <w:rsid w:val="0095686E"/>
    <w:rsid w:val="00963E4C"/>
    <w:rsid w:val="00971E68"/>
    <w:rsid w:val="00977E16"/>
    <w:rsid w:val="00990731"/>
    <w:rsid w:val="00992590"/>
    <w:rsid w:val="009A297D"/>
    <w:rsid w:val="009A71A8"/>
    <w:rsid w:val="009B7934"/>
    <w:rsid w:val="009C3FC1"/>
    <w:rsid w:val="009C7B04"/>
    <w:rsid w:val="009D75D0"/>
    <w:rsid w:val="009D7A3B"/>
    <w:rsid w:val="009F079B"/>
    <w:rsid w:val="009F2355"/>
    <w:rsid w:val="00A01D6E"/>
    <w:rsid w:val="00A13FF7"/>
    <w:rsid w:val="00A16ABA"/>
    <w:rsid w:val="00A3263F"/>
    <w:rsid w:val="00A37614"/>
    <w:rsid w:val="00A43A1B"/>
    <w:rsid w:val="00A44EB5"/>
    <w:rsid w:val="00A5007E"/>
    <w:rsid w:val="00A50965"/>
    <w:rsid w:val="00A53527"/>
    <w:rsid w:val="00A6250B"/>
    <w:rsid w:val="00A74D20"/>
    <w:rsid w:val="00A875CF"/>
    <w:rsid w:val="00AA6C1A"/>
    <w:rsid w:val="00AD0B47"/>
    <w:rsid w:val="00AD0CBD"/>
    <w:rsid w:val="00AD4ADA"/>
    <w:rsid w:val="00AD5628"/>
    <w:rsid w:val="00AE3D13"/>
    <w:rsid w:val="00AF1004"/>
    <w:rsid w:val="00B12527"/>
    <w:rsid w:val="00B21B58"/>
    <w:rsid w:val="00B31551"/>
    <w:rsid w:val="00B53DA6"/>
    <w:rsid w:val="00B758EC"/>
    <w:rsid w:val="00B80050"/>
    <w:rsid w:val="00B8288D"/>
    <w:rsid w:val="00B873C0"/>
    <w:rsid w:val="00B951F7"/>
    <w:rsid w:val="00BA01FB"/>
    <w:rsid w:val="00BA1472"/>
    <w:rsid w:val="00BD2049"/>
    <w:rsid w:val="00BE18FA"/>
    <w:rsid w:val="00BE5C8D"/>
    <w:rsid w:val="00BE65F4"/>
    <w:rsid w:val="00BF4177"/>
    <w:rsid w:val="00C04A33"/>
    <w:rsid w:val="00C05A00"/>
    <w:rsid w:val="00C279D7"/>
    <w:rsid w:val="00C32E47"/>
    <w:rsid w:val="00C34F1C"/>
    <w:rsid w:val="00C41091"/>
    <w:rsid w:val="00C43B52"/>
    <w:rsid w:val="00C6467B"/>
    <w:rsid w:val="00C74E56"/>
    <w:rsid w:val="00C77A7C"/>
    <w:rsid w:val="00C84C5D"/>
    <w:rsid w:val="00C869EC"/>
    <w:rsid w:val="00C916C5"/>
    <w:rsid w:val="00CB095F"/>
    <w:rsid w:val="00CB3C91"/>
    <w:rsid w:val="00CB6E44"/>
    <w:rsid w:val="00CC02CB"/>
    <w:rsid w:val="00CC32D9"/>
    <w:rsid w:val="00CC6BF5"/>
    <w:rsid w:val="00CD3251"/>
    <w:rsid w:val="00CF227F"/>
    <w:rsid w:val="00D10444"/>
    <w:rsid w:val="00D12B7C"/>
    <w:rsid w:val="00D33BAB"/>
    <w:rsid w:val="00D347EE"/>
    <w:rsid w:val="00D34B02"/>
    <w:rsid w:val="00D42C35"/>
    <w:rsid w:val="00D44236"/>
    <w:rsid w:val="00D46E13"/>
    <w:rsid w:val="00D52660"/>
    <w:rsid w:val="00D56722"/>
    <w:rsid w:val="00D6621B"/>
    <w:rsid w:val="00D70F9D"/>
    <w:rsid w:val="00D71A1B"/>
    <w:rsid w:val="00D72816"/>
    <w:rsid w:val="00D736A6"/>
    <w:rsid w:val="00D75220"/>
    <w:rsid w:val="00D96498"/>
    <w:rsid w:val="00D96698"/>
    <w:rsid w:val="00DA33A1"/>
    <w:rsid w:val="00DA788A"/>
    <w:rsid w:val="00DC24F9"/>
    <w:rsid w:val="00DC36F8"/>
    <w:rsid w:val="00DC594B"/>
    <w:rsid w:val="00DC7405"/>
    <w:rsid w:val="00DD1EF3"/>
    <w:rsid w:val="00DE2C20"/>
    <w:rsid w:val="00DE5564"/>
    <w:rsid w:val="00DF17E6"/>
    <w:rsid w:val="00E016FB"/>
    <w:rsid w:val="00E1082C"/>
    <w:rsid w:val="00E14468"/>
    <w:rsid w:val="00E1714E"/>
    <w:rsid w:val="00E21534"/>
    <w:rsid w:val="00E276D8"/>
    <w:rsid w:val="00E35568"/>
    <w:rsid w:val="00E424C7"/>
    <w:rsid w:val="00E70475"/>
    <w:rsid w:val="00E90ECF"/>
    <w:rsid w:val="00E9616C"/>
    <w:rsid w:val="00ED02AA"/>
    <w:rsid w:val="00ED74C9"/>
    <w:rsid w:val="00ED782A"/>
    <w:rsid w:val="00EE0467"/>
    <w:rsid w:val="00EE0670"/>
    <w:rsid w:val="00EF4441"/>
    <w:rsid w:val="00EF791F"/>
    <w:rsid w:val="00EF7D4D"/>
    <w:rsid w:val="00F04110"/>
    <w:rsid w:val="00F06F68"/>
    <w:rsid w:val="00F15D93"/>
    <w:rsid w:val="00F269BC"/>
    <w:rsid w:val="00F274C9"/>
    <w:rsid w:val="00F41C19"/>
    <w:rsid w:val="00F43447"/>
    <w:rsid w:val="00F44BEE"/>
    <w:rsid w:val="00F538AA"/>
    <w:rsid w:val="00F561D7"/>
    <w:rsid w:val="00F60611"/>
    <w:rsid w:val="00F64C58"/>
    <w:rsid w:val="00F73145"/>
    <w:rsid w:val="00F87D4A"/>
    <w:rsid w:val="00FA0A10"/>
    <w:rsid w:val="00FB2ABE"/>
    <w:rsid w:val="00FB497A"/>
    <w:rsid w:val="00FB554F"/>
    <w:rsid w:val="00FC0B65"/>
    <w:rsid w:val="00FD1985"/>
    <w:rsid w:val="00FD4782"/>
    <w:rsid w:val="00FE1897"/>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CCE01"/>
  <w15:docId w15:val="{91041B8E-48D5-2249-97A1-6478256B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782"/>
    <w:pPr>
      <w:spacing w:after="200" w:line="276" w:lineRule="auto"/>
    </w:pPr>
    <w:rPr>
      <w:rFonts w:cs="Calibri"/>
    </w:rPr>
  </w:style>
  <w:style w:type="paragraph" w:styleId="Heading1">
    <w:name w:val="heading 1"/>
    <w:basedOn w:val="ListParagraph"/>
    <w:next w:val="Normal"/>
    <w:link w:val="Heading1Char"/>
    <w:qFormat/>
    <w:locked/>
    <w:rsid w:val="00C279D7"/>
    <w:pPr>
      <w:numPr>
        <w:numId w:val="1"/>
      </w:numPr>
      <w:spacing w:after="0" w:line="240" w:lineRule="auto"/>
      <w:ind w:left="720"/>
      <w:outlineLvl w:val="0"/>
    </w:pPr>
    <w:rPr>
      <w:rFonts w:ascii="Arial" w:hAnsi="Arial" w:cs="Arial"/>
      <w:b/>
      <w:bCs/>
    </w:rPr>
  </w:style>
  <w:style w:type="paragraph" w:styleId="Heading2">
    <w:name w:val="heading 2"/>
    <w:basedOn w:val="ListParagraph"/>
    <w:next w:val="Normal"/>
    <w:link w:val="Heading2Char"/>
    <w:unhideWhenUsed/>
    <w:qFormat/>
    <w:locked/>
    <w:rsid w:val="00C279D7"/>
    <w:pPr>
      <w:numPr>
        <w:numId w:val="3"/>
      </w:numPr>
      <w:spacing w:after="0" w:line="240" w:lineRule="auto"/>
      <w:ind w:left="1440" w:hanging="7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10"/>
    <w:pPr>
      <w:ind w:left="720"/>
    </w:pPr>
  </w:style>
  <w:style w:type="paragraph" w:styleId="Header">
    <w:name w:val="header"/>
    <w:basedOn w:val="Normal"/>
    <w:link w:val="HeaderChar"/>
    <w:uiPriority w:val="99"/>
    <w:rsid w:val="0018293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2931"/>
  </w:style>
  <w:style w:type="paragraph" w:styleId="Footer">
    <w:name w:val="footer"/>
    <w:basedOn w:val="Normal"/>
    <w:link w:val="FooterChar"/>
    <w:uiPriority w:val="99"/>
    <w:rsid w:val="0018293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2931"/>
  </w:style>
  <w:style w:type="paragraph" w:styleId="BalloonText">
    <w:name w:val="Balloon Text"/>
    <w:basedOn w:val="Normal"/>
    <w:link w:val="BalloonTextChar"/>
    <w:uiPriority w:val="99"/>
    <w:semiHidden/>
    <w:rsid w:val="00D46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E13"/>
    <w:rPr>
      <w:rFonts w:ascii="Tahoma" w:hAnsi="Tahoma" w:cs="Tahoma"/>
      <w:sz w:val="16"/>
      <w:szCs w:val="16"/>
    </w:rPr>
  </w:style>
  <w:style w:type="character" w:styleId="CommentReference">
    <w:name w:val="annotation reference"/>
    <w:basedOn w:val="DefaultParagraphFont"/>
    <w:uiPriority w:val="99"/>
    <w:semiHidden/>
    <w:rsid w:val="00456481"/>
    <w:rPr>
      <w:sz w:val="16"/>
      <w:szCs w:val="16"/>
    </w:rPr>
  </w:style>
  <w:style w:type="paragraph" w:styleId="CommentText">
    <w:name w:val="annotation text"/>
    <w:basedOn w:val="Normal"/>
    <w:link w:val="CommentTextChar"/>
    <w:uiPriority w:val="99"/>
    <w:semiHidden/>
    <w:rsid w:val="00456481"/>
    <w:rPr>
      <w:sz w:val="20"/>
      <w:szCs w:val="20"/>
    </w:rPr>
  </w:style>
  <w:style w:type="character" w:customStyle="1" w:styleId="CommentTextChar">
    <w:name w:val="Comment Text Char"/>
    <w:basedOn w:val="DefaultParagraphFont"/>
    <w:link w:val="CommentText"/>
    <w:uiPriority w:val="99"/>
    <w:semiHidden/>
    <w:locked/>
    <w:rsid w:val="001752CA"/>
    <w:rPr>
      <w:sz w:val="20"/>
      <w:szCs w:val="20"/>
    </w:rPr>
  </w:style>
  <w:style w:type="paragraph" w:styleId="CommentSubject">
    <w:name w:val="annotation subject"/>
    <w:basedOn w:val="CommentText"/>
    <w:next w:val="CommentText"/>
    <w:link w:val="CommentSubjectChar"/>
    <w:uiPriority w:val="99"/>
    <w:semiHidden/>
    <w:rsid w:val="00456481"/>
    <w:rPr>
      <w:b/>
      <w:bCs/>
    </w:rPr>
  </w:style>
  <w:style w:type="character" w:customStyle="1" w:styleId="CommentSubjectChar">
    <w:name w:val="Comment Subject Char"/>
    <w:basedOn w:val="CommentTextChar"/>
    <w:link w:val="CommentSubject"/>
    <w:uiPriority w:val="99"/>
    <w:semiHidden/>
    <w:locked/>
    <w:rsid w:val="001752CA"/>
    <w:rPr>
      <w:b/>
      <w:bCs/>
      <w:sz w:val="20"/>
      <w:szCs w:val="20"/>
    </w:rPr>
  </w:style>
  <w:style w:type="character" w:styleId="Hyperlink">
    <w:name w:val="Hyperlink"/>
    <w:uiPriority w:val="99"/>
    <w:unhideWhenUsed/>
    <w:rsid w:val="002E2C32"/>
    <w:rPr>
      <w:color w:val="0000FF"/>
      <w:u w:val="single"/>
    </w:rPr>
  </w:style>
  <w:style w:type="character" w:customStyle="1" w:styleId="Heading1Char">
    <w:name w:val="Heading 1 Char"/>
    <w:basedOn w:val="DefaultParagraphFont"/>
    <w:link w:val="Heading1"/>
    <w:rsid w:val="00C279D7"/>
    <w:rPr>
      <w:rFonts w:ascii="Arial" w:hAnsi="Arial" w:cs="Arial"/>
      <w:b/>
      <w:bCs/>
    </w:rPr>
  </w:style>
  <w:style w:type="character" w:customStyle="1" w:styleId="Heading2Char">
    <w:name w:val="Heading 2 Char"/>
    <w:basedOn w:val="DefaultParagraphFont"/>
    <w:link w:val="Heading2"/>
    <w:rsid w:val="00C279D7"/>
    <w:rPr>
      <w:rFonts w:ascii="Arial" w:hAnsi="Arial" w:cs="Arial"/>
      <w:b/>
      <w:bCs/>
    </w:rPr>
  </w:style>
  <w:style w:type="paragraph" w:styleId="TOC1">
    <w:name w:val="toc 1"/>
    <w:basedOn w:val="Normal"/>
    <w:next w:val="Normal"/>
    <w:autoRedefine/>
    <w:uiPriority w:val="39"/>
    <w:locked/>
    <w:rsid w:val="00C279D7"/>
    <w:pPr>
      <w:spacing w:after="0" w:line="240" w:lineRule="auto"/>
    </w:pPr>
    <w:rPr>
      <w:rFonts w:ascii="Arial" w:hAnsi="Arial"/>
    </w:rPr>
  </w:style>
  <w:style w:type="paragraph" w:styleId="TOC2">
    <w:name w:val="toc 2"/>
    <w:basedOn w:val="Normal"/>
    <w:next w:val="Normal"/>
    <w:autoRedefine/>
    <w:uiPriority w:val="39"/>
    <w:locked/>
    <w:rsid w:val="00C279D7"/>
    <w:pPr>
      <w:spacing w:after="0" w:line="240" w:lineRule="auto"/>
      <w:ind w:left="720"/>
    </w:pPr>
    <w:rPr>
      <w:rFonts w:ascii="Arial" w:hAnsi="Arial"/>
    </w:rPr>
  </w:style>
  <w:style w:type="paragraph" w:styleId="Revision">
    <w:name w:val="Revision"/>
    <w:hidden/>
    <w:uiPriority w:val="99"/>
    <w:semiHidden/>
    <w:rsid w:val="00032512"/>
    <w:rPr>
      <w:rFonts w:cs="Calibri"/>
    </w:rPr>
  </w:style>
  <w:style w:type="character" w:styleId="UnresolvedMention">
    <w:name w:val="Unresolved Mention"/>
    <w:basedOn w:val="DefaultParagraphFont"/>
    <w:uiPriority w:val="99"/>
    <w:semiHidden/>
    <w:unhideWhenUsed/>
    <w:rsid w:val="00D75220"/>
    <w:rPr>
      <w:color w:val="605E5C"/>
      <w:shd w:val="clear" w:color="auto" w:fill="E1DFDD"/>
    </w:rPr>
  </w:style>
  <w:style w:type="character" w:styleId="FollowedHyperlink">
    <w:name w:val="FollowedHyperlink"/>
    <w:basedOn w:val="DefaultParagraphFont"/>
    <w:uiPriority w:val="99"/>
    <w:semiHidden/>
    <w:unhideWhenUsed/>
    <w:rsid w:val="00222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47521">
      <w:marLeft w:val="0"/>
      <w:marRight w:val="0"/>
      <w:marTop w:val="0"/>
      <w:marBottom w:val="0"/>
      <w:divBdr>
        <w:top w:val="none" w:sz="0" w:space="0" w:color="auto"/>
        <w:left w:val="none" w:sz="0" w:space="0" w:color="auto"/>
        <w:bottom w:val="none" w:sz="0" w:space="0" w:color="auto"/>
        <w:right w:val="none" w:sz="0" w:space="0" w:color="auto"/>
      </w:divBdr>
      <w:divsChild>
        <w:div w:id="1101147522">
          <w:marLeft w:val="0"/>
          <w:marRight w:val="0"/>
          <w:marTop w:val="0"/>
          <w:marBottom w:val="0"/>
          <w:divBdr>
            <w:top w:val="none" w:sz="0" w:space="0" w:color="auto"/>
            <w:left w:val="none" w:sz="0" w:space="0" w:color="auto"/>
            <w:bottom w:val="none" w:sz="0" w:space="0" w:color="auto"/>
            <w:right w:val="none" w:sz="0" w:space="0" w:color="auto"/>
          </w:divBdr>
          <w:divsChild>
            <w:div w:id="11011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24">
      <w:marLeft w:val="0"/>
      <w:marRight w:val="0"/>
      <w:marTop w:val="0"/>
      <w:marBottom w:val="0"/>
      <w:divBdr>
        <w:top w:val="none" w:sz="0" w:space="0" w:color="auto"/>
        <w:left w:val="none" w:sz="0" w:space="0" w:color="auto"/>
        <w:bottom w:val="none" w:sz="0" w:space="0" w:color="auto"/>
        <w:right w:val="none" w:sz="0" w:space="0" w:color="auto"/>
      </w:divBdr>
      <w:divsChild>
        <w:div w:id="1101147529">
          <w:marLeft w:val="0"/>
          <w:marRight w:val="0"/>
          <w:marTop w:val="0"/>
          <w:marBottom w:val="0"/>
          <w:divBdr>
            <w:top w:val="none" w:sz="0" w:space="0" w:color="auto"/>
            <w:left w:val="none" w:sz="0" w:space="0" w:color="auto"/>
            <w:bottom w:val="none" w:sz="0" w:space="0" w:color="auto"/>
            <w:right w:val="none" w:sz="0" w:space="0" w:color="auto"/>
          </w:divBdr>
          <w:divsChild>
            <w:div w:id="1101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31">
      <w:marLeft w:val="0"/>
      <w:marRight w:val="0"/>
      <w:marTop w:val="0"/>
      <w:marBottom w:val="0"/>
      <w:divBdr>
        <w:top w:val="none" w:sz="0" w:space="0" w:color="auto"/>
        <w:left w:val="none" w:sz="0" w:space="0" w:color="auto"/>
        <w:bottom w:val="none" w:sz="0" w:space="0" w:color="auto"/>
        <w:right w:val="none" w:sz="0" w:space="0" w:color="auto"/>
      </w:divBdr>
      <w:divsChild>
        <w:div w:id="1101147525">
          <w:marLeft w:val="0"/>
          <w:marRight w:val="0"/>
          <w:marTop w:val="0"/>
          <w:marBottom w:val="0"/>
          <w:divBdr>
            <w:top w:val="none" w:sz="0" w:space="0" w:color="auto"/>
            <w:left w:val="none" w:sz="0" w:space="0" w:color="auto"/>
            <w:bottom w:val="none" w:sz="0" w:space="0" w:color="auto"/>
            <w:right w:val="none" w:sz="0" w:space="0" w:color="auto"/>
          </w:divBdr>
          <w:divsChild>
            <w:div w:id="11011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32">
      <w:marLeft w:val="0"/>
      <w:marRight w:val="0"/>
      <w:marTop w:val="0"/>
      <w:marBottom w:val="0"/>
      <w:divBdr>
        <w:top w:val="none" w:sz="0" w:space="0" w:color="auto"/>
        <w:left w:val="none" w:sz="0" w:space="0" w:color="auto"/>
        <w:bottom w:val="none" w:sz="0" w:space="0" w:color="auto"/>
        <w:right w:val="none" w:sz="0" w:space="0" w:color="auto"/>
      </w:divBdr>
      <w:divsChild>
        <w:div w:id="1101147518">
          <w:marLeft w:val="0"/>
          <w:marRight w:val="0"/>
          <w:marTop w:val="0"/>
          <w:marBottom w:val="0"/>
          <w:divBdr>
            <w:top w:val="none" w:sz="0" w:space="0" w:color="auto"/>
            <w:left w:val="none" w:sz="0" w:space="0" w:color="auto"/>
            <w:bottom w:val="none" w:sz="0" w:space="0" w:color="auto"/>
            <w:right w:val="none" w:sz="0" w:space="0" w:color="auto"/>
          </w:divBdr>
          <w:divsChild>
            <w:div w:id="1101147516">
              <w:marLeft w:val="0"/>
              <w:marRight w:val="0"/>
              <w:marTop w:val="0"/>
              <w:marBottom w:val="0"/>
              <w:divBdr>
                <w:top w:val="none" w:sz="0" w:space="0" w:color="auto"/>
                <w:left w:val="none" w:sz="0" w:space="0" w:color="auto"/>
                <w:bottom w:val="none" w:sz="0" w:space="0" w:color="auto"/>
                <w:right w:val="none" w:sz="0" w:space="0" w:color="auto"/>
              </w:divBdr>
            </w:div>
            <w:div w:id="1101147530">
              <w:marLeft w:val="0"/>
              <w:marRight w:val="0"/>
              <w:marTop w:val="240"/>
              <w:marBottom w:val="0"/>
              <w:divBdr>
                <w:top w:val="none" w:sz="0" w:space="0" w:color="auto"/>
                <w:left w:val="none" w:sz="0" w:space="0" w:color="auto"/>
                <w:bottom w:val="none" w:sz="0" w:space="0" w:color="auto"/>
                <w:right w:val="none" w:sz="0" w:space="0" w:color="auto"/>
              </w:divBdr>
            </w:div>
            <w:div w:id="1101147536">
              <w:marLeft w:val="0"/>
              <w:marRight w:val="0"/>
              <w:marTop w:val="0"/>
              <w:marBottom w:val="0"/>
              <w:divBdr>
                <w:top w:val="none" w:sz="0" w:space="0" w:color="auto"/>
                <w:left w:val="none" w:sz="0" w:space="0" w:color="auto"/>
                <w:bottom w:val="none" w:sz="0" w:space="0" w:color="auto"/>
                <w:right w:val="none" w:sz="0" w:space="0" w:color="auto"/>
              </w:divBdr>
              <w:divsChild>
                <w:div w:id="1101147523">
                  <w:marLeft w:val="0"/>
                  <w:marRight w:val="0"/>
                  <w:marTop w:val="0"/>
                  <w:marBottom w:val="0"/>
                  <w:divBdr>
                    <w:top w:val="none" w:sz="0" w:space="0" w:color="auto"/>
                    <w:left w:val="none" w:sz="0" w:space="0" w:color="auto"/>
                    <w:bottom w:val="none" w:sz="0" w:space="0" w:color="auto"/>
                    <w:right w:val="none" w:sz="0" w:space="0" w:color="auto"/>
                  </w:divBdr>
                  <w:divsChild>
                    <w:div w:id="1101147520">
                      <w:marLeft w:val="0"/>
                      <w:marRight w:val="0"/>
                      <w:marTop w:val="0"/>
                      <w:marBottom w:val="0"/>
                      <w:divBdr>
                        <w:top w:val="none" w:sz="0" w:space="0" w:color="auto"/>
                        <w:left w:val="none" w:sz="0" w:space="0" w:color="auto"/>
                        <w:bottom w:val="none" w:sz="0" w:space="0" w:color="auto"/>
                        <w:right w:val="none" w:sz="0" w:space="0" w:color="auto"/>
                      </w:divBdr>
                      <w:divsChild>
                        <w:div w:id="11011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47533">
      <w:marLeft w:val="0"/>
      <w:marRight w:val="0"/>
      <w:marTop w:val="0"/>
      <w:marBottom w:val="0"/>
      <w:divBdr>
        <w:top w:val="none" w:sz="0" w:space="0" w:color="auto"/>
        <w:left w:val="none" w:sz="0" w:space="0" w:color="auto"/>
        <w:bottom w:val="none" w:sz="0" w:space="0" w:color="auto"/>
        <w:right w:val="none" w:sz="0" w:space="0" w:color="auto"/>
      </w:divBdr>
      <w:divsChild>
        <w:div w:id="1101147514">
          <w:marLeft w:val="0"/>
          <w:marRight w:val="0"/>
          <w:marTop w:val="0"/>
          <w:marBottom w:val="0"/>
          <w:divBdr>
            <w:top w:val="none" w:sz="0" w:space="0" w:color="auto"/>
            <w:left w:val="none" w:sz="0" w:space="0" w:color="auto"/>
            <w:bottom w:val="none" w:sz="0" w:space="0" w:color="auto"/>
            <w:right w:val="none" w:sz="0" w:space="0" w:color="auto"/>
          </w:divBdr>
          <w:divsChild>
            <w:div w:id="11011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38">
      <w:marLeft w:val="0"/>
      <w:marRight w:val="0"/>
      <w:marTop w:val="0"/>
      <w:marBottom w:val="0"/>
      <w:divBdr>
        <w:top w:val="none" w:sz="0" w:space="0" w:color="auto"/>
        <w:left w:val="none" w:sz="0" w:space="0" w:color="auto"/>
        <w:bottom w:val="none" w:sz="0" w:space="0" w:color="auto"/>
        <w:right w:val="none" w:sz="0" w:space="0" w:color="auto"/>
      </w:divBdr>
      <w:divsChild>
        <w:div w:id="1101147539">
          <w:marLeft w:val="0"/>
          <w:marRight w:val="0"/>
          <w:marTop w:val="0"/>
          <w:marBottom w:val="0"/>
          <w:divBdr>
            <w:top w:val="none" w:sz="0" w:space="0" w:color="auto"/>
            <w:left w:val="none" w:sz="0" w:space="0" w:color="auto"/>
            <w:bottom w:val="none" w:sz="0" w:space="0" w:color="auto"/>
            <w:right w:val="none" w:sz="0" w:space="0" w:color="auto"/>
          </w:divBdr>
          <w:divsChild>
            <w:div w:id="1101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41">
      <w:marLeft w:val="0"/>
      <w:marRight w:val="0"/>
      <w:marTop w:val="0"/>
      <w:marBottom w:val="0"/>
      <w:divBdr>
        <w:top w:val="none" w:sz="0" w:space="0" w:color="auto"/>
        <w:left w:val="none" w:sz="0" w:space="0" w:color="auto"/>
        <w:bottom w:val="none" w:sz="0" w:space="0" w:color="auto"/>
        <w:right w:val="none" w:sz="0" w:space="0" w:color="auto"/>
      </w:divBdr>
      <w:divsChild>
        <w:div w:id="1101147534">
          <w:marLeft w:val="0"/>
          <w:marRight w:val="0"/>
          <w:marTop w:val="0"/>
          <w:marBottom w:val="0"/>
          <w:divBdr>
            <w:top w:val="none" w:sz="0" w:space="0" w:color="auto"/>
            <w:left w:val="none" w:sz="0" w:space="0" w:color="auto"/>
            <w:bottom w:val="none" w:sz="0" w:space="0" w:color="auto"/>
            <w:right w:val="none" w:sz="0" w:space="0" w:color="auto"/>
          </w:divBdr>
          <w:divsChild>
            <w:div w:id="1101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42">
      <w:marLeft w:val="0"/>
      <w:marRight w:val="0"/>
      <w:marTop w:val="0"/>
      <w:marBottom w:val="0"/>
      <w:divBdr>
        <w:top w:val="none" w:sz="0" w:space="0" w:color="auto"/>
        <w:left w:val="none" w:sz="0" w:space="0" w:color="auto"/>
        <w:bottom w:val="none" w:sz="0" w:space="0" w:color="auto"/>
        <w:right w:val="none" w:sz="0" w:space="0" w:color="auto"/>
      </w:divBdr>
      <w:divsChild>
        <w:div w:id="1101147537">
          <w:marLeft w:val="0"/>
          <w:marRight w:val="0"/>
          <w:marTop w:val="0"/>
          <w:marBottom w:val="0"/>
          <w:divBdr>
            <w:top w:val="none" w:sz="0" w:space="0" w:color="auto"/>
            <w:left w:val="none" w:sz="0" w:space="0" w:color="auto"/>
            <w:bottom w:val="none" w:sz="0" w:space="0" w:color="auto"/>
            <w:right w:val="none" w:sz="0" w:space="0" w:color="auto"/>
          </w:divBdr>
          <w:divsChild>
            <w:div w:id="11011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544">
      <w:marLeft w:val="0"/>
      <w:marRight w:val="0"/>
      <w:marTop w:val="0"/>
      <w:marBottom w:val="0"/>
      <w:divBdr>
        <w:top w:val="none" w:sz="0" w:space="0" w:color="auto"/>
        <w:left w:val="none" w:sz="0" w:space="0" w:color="auto"/>
        <w:bottom w:val="none" w:sz="0" w:space="0" w:color="auto"/>
        <w:right w:val="none" w:sz="0" w:space="0" w:color="auto"/>
      </w:divBdr>
      <w:divsChild>
        <w:div w:id="1101147526">
          <w:marLeft w:val="0"/>
          <w:marRight w:val="0"/>
          <w:marTop w:val="0"/>
          <w:marBottom w:val="0"/>
          <w:divBdr>
            <w:top w:val="none" w:sz="0" w:space="0" w:color="auto"/>
            <w:left w:val="none" w:sz="0" w:space="0" w:color="auto"/>
            <w:bottom w:val="none" w:sz="0" w:space="0" w:color="auto"/>
            <w:right w:val="none" w:sz="0" w:space="0" w:color="auto"/>
          </w:divBdr>
          <w:divsChild>
            <w:div w:id="11011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nchbook.sog.unc.edu/evidence/guide-crawford-confrontation-cla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chbook.sog.unc.edu/criminal/joinder-and-severance-updated-march-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nchbook.sog.unc.edu/evidence/guide-crawford-confrontation-clause" TargetMode="External"/><Relationship Id="rId4" Type="http://schemas.openxmlformats.org/officeDocument/2006/relationships/settings" Target="settings.xml"/><Relationship Id="rId9" Type="http://schemas.openxmlformats.org/officeDocument/2006/relationships/hyperlink" Target="https://benchbook.sog.unc.edu/evidence/guide-crawford-confrontation-cla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A01F5-AD88-4C25-A187-C9350366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BRUTON RULE: JOINT TRIALS &amp; CODEFENDANTS’ CONFESSIONS</vt:lpstr>
    </vt:vector>
  </TitlesOfParts>
  <Company>The University of North Carolina at Chapel Hill</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BRUTON RULE: JOINT TRIALS &amp; CODEFENDANTS’ CONFESSIONS</dc:title>
  <dc:creator>Smith, Jessica</dc:creator>
  <cp:lastModifiedBy>Christopher Tyner</cp:lastModifiedBy>
  <cp:revision>2</cp:revision>
  <cp:lastPrinted>2012-05-14T14:34:00Z</cp:lastPrinted>
  <dcterms:created xsi:type="dcterms:W3CDTF">2025-05-02T15:02:00Z</dcterms:created>
  <dcterms:modified xsi:type="dcterms:W3CDTF">2025-05-02T15:02:00Z</dcterms:modified>
</cp:coreProperties>
</file>